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247340">
      <w:pPr>
        <w:pStyle w:val="85"/>
        <w:pageBreakBefore w:val="0"/>
        <w:shd w:val="clear"/>
        <w:kinsoku/>
        <w:wordWrap/>
        <w:overflowPunct/>
        <w:topLinePunct w:val="0"/>
        <w:autoSpaceDE/>
        <w:autoSpaceDN/>
        <w:bidi w:val="0"/>
        <w:adjustRightInd/>
        <w:snapToGrid/>
        <w:spacing w:before="0" w:line="360" w:lineRule="auto"/>
        <w:jc w:val="center"/>
        <w:textAlignment w:val="auto"/>
        <w:rPr>
          <w:rFonts w:hint="default" w:ascii="Times New Roman" w:hAnsi="Times New Roman" w:eastAsia="宋体" w:cs="Times New Roman"/>
          <w:b/>
          <w:bCs/>
          <w:snapToGrid w:val="0"/>
          <w:color w:val="auto"/>
          <w:kern w:val="0"/>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lang w:val="en-US" w:eastAsia="zh-CN"/>
        </w:rPr>
        <w:t xml:space="preserve"> </w:t>
      </w:r>
      <w:r>
        <w:rPr>
          <w:rFonts w:hint="default" w:ascii="Times New Roman" w:hAnsi="Times New Roman" w:eastAsia="宋体" w:cs="Times New Roman"/>
          <w:color w:val="auto"/>
          <w:sz w:val="24"/>
          <w:szCs w:val="24"/>
          <w:highlight w:val="none"/>
          <w:shd w:val="clear" w:color="auto" w:fill="auto"/>
          <w:lang w:val="zh-CN"/>
        </w:rPr>
        <w:t>目 录</w:t>
      </w:r>
    </w:p>
    <w:p w14:paraId="118B2B7C">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snapToGrid w:val="0"/>
          <w:color w:val="auto"/>
          <w:kern w:val="0"/>
          <w:sz w:val="24"/>
          <w:szCs w:val="24"/>
          <w:highlight w:val="none"/>
          <w:shd w:val="clear" w:color="auto" w:fill="auto"/>
        </w:rPr>
        <w:fldChar w:fldCharType="begin"/>
      </w:r>
      <w:r>
        <w:rPr>
          <w:rFonts w:hint="default" w:ascii="Times New Roman" w:hAnsi="Times New Roman" w:eastAsia="宋体" w:cs="Times New Roman"/>
          <w:b/>
          <w:bCs/>
          <w:snapToGrid w:val="0"/>
          <w:color w:val="auto"/>
          <w:sz w:val="24"/>
          <w:szCs w:val="24"/>
          <w:highlight w:val="none"/>
          <w:shd w:val="clear" w:color="auto" w:fill="auto"/>
        </w:rPr>
        <w:instrText xml:space="preserve"> TOC \o "1-3" \h \z \u </w:instrText>
      </w:r>
      <w:r>
        <w:rPr>
          <w:rFonts w:hint="default" w:ascii="Times New Roman" w:hAnsi="Times New Roman" w:eastAsia="宋体" w:cs="Times New Roman"/>
          <w:b/>
          <w:bCs/>
          <w:snapToGrid w:val="0"/>
          <w:color w:val="auto"/>
          <w:kern w:val="0"/>
          <w:sz w:val="24"/>
          <w:szCs w:val="24"/>
          <w:highlight w:val="none"/>
          <w:shd w:val="clear" w:color="auto" w:fill="auto"/>
        </w:rPr>
        <w:fldChar w:fldCharType="separate"/>
      </w:r>
      <w:r>
        <w:rPr>
          <w:rFonts w:hint="default" w:ascii="Times New Roman" w:hAnsi="Times New Roman" w:eastAsia="宋体" w:cs="Times New Roman"/>
          <w:bCs/>
          <w:snapToGrid w:val="0"/>
          <w:color w:val="auto"/>
          <w:kern w:val="0"/>
          <w:sz w:val="24"/>
          <w:szCs w:val="24"/>
          <w:highlight w:val="none"/>
          <w:shd w:val="clear" w:color="auto" w:fill="auto"/>
        </w:rPr>
        <w:fldChar w:fldCharType="begin"/>
      </w:r>
      <w:r>
        <w:rPr>
          <w:rFonts w:hint="default" w:ascii="Times New Roman" w:hAnsi="Times New Roman" w:eastAsia="宋体" w:cs="Times New Roman"/>
          <w:bCs/>
          <w:snapToGrid w:val="0"/>
          <w:color w:val="auto"/>
          <w:kern w:val="0"/>
          <w:sz w:val="24"/>
          <w:szCs w:val="24"/>
          <w:highlight w:val="none"/>
          <w:shd w:val="clear" w:color="auto" w:fill="auto"/>
        </w:rPr>
        <w:instrText xml:space="preserve"> HYPERLINK \l _Toc14205 </w:instrText>
      </w:r>
      <w:r>
        <w:rPr>
          <w:rFonts w:hint="default" w:ascii="Times New Roman" w:hAnsi="Times New Roman" w:eastAsia="宋体" w:cs="Times New Roman"/>
          <w:bCs/>
          <w:snapToGrid w:val="0"/>
          <w:color w:val="auto"/>
          <w:kern w:val="0"/>
          <w:sz w:val="24"/>
          <w:szCs w:val="24"/>
          <w:highlight w:val="none"/>
          <w:shd w:val="clear" w:color="auto" w:fill="auto"/>
        </w:rPr>
        <w:fldChar w:fldCharType="separate"/>
      </w:r>
      <w:r>
        <w:rPr>
          <w:rFonts w:hint="default" w:ascii="Times New Roman" w:hAnsi="Times New Roman" w:eastAsia="宋体" w:cs="Times New Roman"/>
          <w:color w:val="auto"/>
          <w:sz w:val="24"/>
          <w:szCs w:val="24"/>
          <w:highlight w:val="none"/>
          <w:shd w:val="clear" w:color="auto" w:fill="auto"/>
        </w:rPr>
        <w:t>前 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_Toc14205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kern w:val="0"/>
          <w:sz w:val="24"/>
          <w:szCs w:val="24"/>
          <w:highlight w:val="none"/>
          <w:shd w:val="clear" w:color="auto" w:fill="auto"/>
        </w:rPr>
        <w:fldChar w:fldCharType="end"/>
      </w:r>
    </w:p>
    <w:p w14:paraId="684C6FA1">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_Toc12417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_Toc12417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3492614E">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_Toc28456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二、建设内容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_Toc28456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464A48B4">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_Toc31325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三、生态环境现状、保护目标及评价标准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_Toc31325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5CC1AB7B">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_Toc227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四、生态环境影响分析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20D66582">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_Toc9951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五、主要生态环境保护措施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_Toc9951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1408B9F2">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_Toc12173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六、生态环境保护措施监督检查清单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_Toc12173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795B2972">
      <w:pPr>
        <w:pStyle w:val="35"/>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napToGrid w:val="0"/>
          <w:color w:val="auto"/>
          <w:sz w:val="24"/>
          <w:szCs w:val="24"/>
          <w:highlight w:val="none"/>
          <w:shd w:val="clear" w:color="auto" w:fill="auto"/>
        </w:rPr>
        <w:fldChar w:fldCharType="begin"/>
      </w:r>
      <w:r>
        <w:rPr>
          <w:rFonts w:hint="default" w:ascii="Times New Roman" w:hAnsi="Times New Roman" w:eastAsia="宋体" w:cs="Times New Roman"/>
          <w:bCs/>
          <w:snapToGrid w:val="0"/>
          <w:color w:val="auto"/>
          <w:sz w:val="24"/>
          <w:szCs w:val="24"/>
          <w:highlight w:val="none"/>
          <w:shd w:val="clear" w:color="auto" w:fill="auto"/>
        </w:rPr>
        <w:instrText xml:space="preserve"> HYPERLINK \l _Toc17412 </w:instrText>
      </w:r>
      <w:r>
        <w:rPr>
          <w:rFonts w:hint="default" w:ascii="Times New Roman" w:hAnsi="Times New Roman" w:eastAsia="宋体" w:cs="Times New Roman"/>
          <w:bCs/>
          <w:snapToGrid w:val="0"/>
          <w:color w:val="auto"/>
          <w:sz w:val="24"/>
          <w:szCs w:val="24"/>
          <w:highlight w:val="none"/>
          <w:shd w:val="clear" w:color="auto" w:fill="auto"/>
        </w:rPr>
        <w:fldChar w:fldCharType="separate"/>
      </w:r>
      <w:r>
        <w:rPr>
          <w:rFonts w:hint="default" w:ascii="Times New Roman" w:hAnsi="Times New Roman" w:eastAsia="宋体" w:cs="Times New Roman"/>
          <w:bCs/>
          <w:snapToGrid w:val="0"/>
          <w:color w:val="auto"/>
          <w:sz w:val="24"/>
          <w:szCs w:val="24"/>
          <w:highlight w:val="none"/>
          <w:shd w:val="clear" w:color="auto" w:fill="auto"/>
        </w:rPr>
        <w:t>七、结论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_Toc17412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snapToGrid w:val="0"/>
          <w:color w:val="auto"/>
          <w:sz w:val="24"/>
          <w:szCs w:val="24"/>
          <w:highlight w:val="none"/>
          <w:shd w:val="clear" w:color="auto" w:fill="auto"/>
        </w:rPr>
        <w:fldChar w:fldCharType="end"/>
      </w:r>
    </w:p>
    <w:p w14:paraId="0C423ED8">
      <w:pPr>
        <w:pageBreakBefore w:val="0"/>
        <w:shd w:val="clear"/>
        <w:kinsoku/>
        <w:wordWrap/>
        <w:overflowPunct/>
        <w:topLinePunct w:val="0"/>
        <w:autoSpaceDE/>
        <w:autoSpaceDN/>
        <w:bidi w:val="0"/>
        <w:adjustRightInd/>
        <w:snapToGrid/>
        <w:spacing w:line="360" w:lineRule="auto"/>
        <w:textAlignment w:val="auto"/>
        <w:rPr>
          <w:b/>
          <w:snapToGrid w:val="0"/>
          <w:color w:val="auto"/>
          <w:sz w:val="24"/>
          <w:highlight w:val="none"/>
          <w:shd w:val="clear" w:color="auto" w:fill="auto"/>
        </w:rPr>
      </w:pPr>
      <w:r>
        <w:rPr>
          <w:rFonts w:hint="default" w:ascii="Times New Roman" w:hAnsi="Times New Roman" w:eastAsia="宋体" w:cs="Times New Roman"/>
          <w:bCs/>
          <w:snapToGrid w:val="0"/>
          <w:color w:val="auto"/>
          <w:sz w:val="24"/>
          <w:szCs w:val="24"/>
          <w:highlight w:val="none"/>
          <w:shd w:val="clear" w:color="auto" w:fill="auto"/>
        </w:rPr>
        <w:fldChar w:fldCharType="end"/>
      </w:r>
    </w:p>
    <w:p w14:paraId="51EC5996">
      <w:pPr>
        <w:shd w:val="clear"/>
        <w:spacing w:line="360" w:lineRule="auto"/>
        <w:rPr>
          <w:b/>
          <w:bCs/>
          <w:snapToGrid w:val="0"/>
          <w:color w:val="auto"/>
          <w:sz w:val="24"/>
          <w:highlight w:val="none"/>
          <w:shd w:val="clear" w:color="auto" w:fill="auto"/>
        </w:rPr>
      </w:pPr>
      <w:r>
        <w:rPr>
          <w:b/>
          <w:snapToGrid w:val="0"/>
          <w:color w:val="auto"/>
          <w:sz w:val="24"/>
          <w:highlight w:val="none"/>
          <w:shd w:val="clear" w:color="auto" w:fill="auto"/>
        </w:rPr>
        <w:t>附图：</w:t>
      </w:r>
    </w:p>
    <w:p w14:paraId="47A90F5F">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w:t>
      </w:r>
      <w:r>
        <w:rPr>
          <w:rFonts w:hint="eastAsia"/>
          <w:b w:val="0"/>
          <w:bCs/>
          <w:snapToGrid w:val="0"/>
          <w:color w:val="auto"/>
          <w:sz w:val="24"/>
          <w:highlight w:val="none"/>
          <w:lang w:val="en-US" w:eastAsia="zh-CN"/>
        </w:rPr>
        <w:t xml:space="preserve">：项目地理位置图 </w:t>
      </w:r>
    </w:p>
    <w:p w14:paraId="5538F611">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2</w:t>
      </w:r>
      <w:r>
        <w:rPr>
          <w:rFonts w:hint="eastAsia"/>
          <w:b w:val="0"/>
          <w:bCs/>
          <w:snapToGrid w:val="0"/>
          <w:color w:val="auto"/>
          <w:sz w:val="24"/>
          <w:highlight w:val="none"/>
          <w:lang w:val="en-US" w:eastAsia="zh-CN"/>
        </w:rPr>
        <w:t xml:space="preserve">：项目区域水系图 </w:t>
      </w:r>
    </w:p>
    <w:p w14:paraId="62AB77BE">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3</w:t>
      </w:r>
      <w:r>
        <w:rPr>
          <w:rFonts w:hint="eastAsia"/>
          <w:b w:val="0"/>
          <w:bCs/>
          <w:snapToGrid w:val="0"/>
          <w:color w:val="auto"/>
          <w:sz w:val="24"/>
          <w:highlight w:val="none"/>
          <w:lang w:val="en-US" w:eastAsia="zh-CN"/>
        </w:rPr>
        <w:t xml:space="preserve">：项目总平面布置图 </w:t>
      </w:r>
    </w:p>
    <w:p w14:paraId="718943C5">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4：箱变基础平面图 </w:t>
      </w:r>
    </w:p>
    <w:p w14:paraId="120B8B80">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5：项目生态环境保护目标分布及位置关系图 </w:t>
      </w:r>
    </w:p>
    <w:p w14:paraId="44BD22A0">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6：项目现状监测及监测计划布点图 </w:t>
      </w:r>
    </w:p>
    <w:p w14:paraId="0D4EDB7E">
      <w:pPr>
        <w:spacing w:line="360" w:lineRule="auto"/>
        <w:rPr>
          <w:rFonts w:hint="eastAsia" w:ascii="Times New Roman" w:hAnsi="Times New Roman" w:eastAsia="宋体" w:cs="Times New Roman"/>
          <w:b w:val="0"/>
          <w:bCs/>
          <w:snapToGrid w:val="0"/>
          <w:color w:val="auto"/>
          <w:sz w:val="24"/>
          <w:highlight w:val="none"/>
          <w:lang w:val="en-US" w:eastAsia="zh-CN"/>
        </w:rPr>
      </w:pPr>
      <w:r>
        <w:rPr>
          <w:rFonts w:hint="eastAsia" w:ascii="Times New Roman" w:hAnsi="Times New Roman" w:eastAsia="宋体" w:cs="Times New Roman"/>
          <w:b w:val="0"/>
          <w:bCs/>
          <w:snapToGrid w:val="0"/>
          <w:color w:val="auto"/>
          <w:sz w:val="24"/>
          <w:highlight w:val="none"/>
          <w:lang w:val="en-US" w:eastAsia="zh-CN"/>
        </w:rPr>
        <w:t xml:space="preserve">附图 7：项目施工和防治措施布置图 </w:t>
      </w:r>
    </w:p>
    <w:p w14:paraId="379C3942">
      <w:pPr>
        <w:spacing w:line="360" w:lineRule="auto"/>
        <w:rPr>
          <w:rFonts w:hint="default" w:ascii="Times New Roman" w:hAnsi="Times New Roman" w:eastAsia="宋体" w:cs="Times New Roman"/>
          <w:b w:val="0"/>
          <w:bCs/>
          <w:snapToGrid w:val="0"/>
          <w:color w:val="auto"/>
          <w:sz w:val="24"/>
          <w:highlight w:val="none"/>
          <w:lang w:val="en-US" w:eastAsia="zh-CN"/>
        </w:rPr>
      </w:pPr>
      <w:r>
        <w:rPr>
          <w:rFonts w:hint="eastAsia" w:ascii="Times New Roman" w:hAnsi="Times New Roman" w:eastAsia="宋体" w:cs="Times New Roman"/>
          <w:b w:val="0"/>
          <w:bCs/>
          <w:snapToGrid w:val="0"/>
          <w:color w:val="auto"/>
          <w:sz w:val="24"/>
          <w:highlight w:val="none"/>
          <w:lang w:val="en-US" w:eastAsia="zh-CN"/>
        </w:rPr>
        <w:t>附图</w:t>
      </w:r>
      <w:r>
        <w:rPr>
          <w:rFonts w:hint="eastAsia" w:cs="Times New Roman"/>
          <w:b w:val="0"/>
          <w:bCs/>
          <w:snapToGrid w:val="0"/>
          <w:color w:val="auto"/>
          <w:sz w:val="24"/>
          <w:highlight w:val="none"/>
          <w:lang w:val="en-US" w:eastAsia="zh-CN"/>
        </w:rPr>
        <w:t xml:space="preserve"> </w:t>
      </w:r>
      <w:r>
        <w:rPr>
          <w:rFonts w:hint="eastAsia" w:ascii="Times New Roman" w:hAnsi="Times New Roman" w:eastAsia="宋体" w:cs="Times New Roman"/>
          <w:b w:val="0"/>
          <w:bCs/>
          <w:snapToGrid w:val="0"/>
          <w:color w:val="auto"/>
          <w:sz w:val="24"/>
          <w:highlight w:val="none"/>
          <w:lang w:val="en-US" w:eastAsia="zh-CN"/>
        </w:rPr>
        <w:t>8：排水沟及沉砂池典型设计图</w:t>
      </w:r>
    </w:p>
    <w:p w14:paraId="587150B4">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9：项目评价区土地利用现状图 </w:t>
      </w:r>
    </w:p>
    <w:p w14:paraId="4D882746">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10</w:t>
      </w:r>
      <w:r>
        <w:rPr>
          <w:rFonts w:hint="eastAsia"/>
          <w:b w:val="0"/>
          <w:bCs/>
          <w:snapToGrid w:val="0"/>
          <w:color w:val="auto"/>
          <w:sz w:val="24"/>
          <w:highlight w:val="none"/>
          <w:lang w:val="en-US" w:eastAsia="zh-CN"/>
        </w:rPr>
        <w:t xml:space="preserve">：项目评价区植被类型图 </w:t>
      </w:r>
    </w:p>
    <w:p w14:paraId="559BAEAB">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11</w:t>
      </w:r>
      <w:r>
        <w:rPr>
          <w:rFonts w:hint="eastAsia"/>
          <w:b w:val="0"/>
          <w:bCs/>
          <w:snapToGrid w:val="0"/>
          <w:color w:val="auto"/>
          <w:sz w:val="24"/>
          <w:highlight w:val="none"/>
          <w:lang w:val="en-US" w:eastAsia="zh-CN"/>
        </w:rPr>
        <w:t>：项目与牛栏江（云南段）水环境保护分区位置关系图</w:t>
      </w:r>
    </w:p>
    <w:p w14:paraId="519930DE">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12</w:t>
      </w:r>
      <w:r>
        <w:rPr>
          <w:rFonts w:hint="eastAsia"/>
          <w:b w:val="0"/>
          <w:bCs/>
          <w:snapToGrid w:val="0"/>
          <w:color w:val="auto"/>
          <w:sz w:val="24"/>
          <w:highlight w:val="none"/>
          <w:lang w:val="en-US" w:eastAsia="zh-CN"/>
        </w:rPr>
        <w:t>：项目与牛栏江（寻甸段）水环境保护分区位置关系图</w:t>
      </w:r>
    </w:p>
    <w:p w14:paraId="2593A9EF">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13</w:t>
      </w:r>
      <w:r>
        <w:rPr>
          <w:rFonts w:hint="eastAsia"/>
          <w:b w:val="0"/>
          <w:bCs/>
          <w:snapToGrid w:val="0"/>
          <w:color w:val="auto"/>
          <w:sz w:val="24"/>
          <w:highlight w:val="none"/>
          <w:lang w:val="en-US" w:eastAsia="zh-CN"/>
        </w:rPr>
        <w:t>：项目与寻甸回族彝族自治县“三区三线”划定成果的位置关系图</w:t>
      </w:r>
    </w:p>
    <w:p w14:paraId="2F0B1869">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14</w:t>
      </w:r>
      <w:r>
        <w:rPr>
          <w:rFonts w:hint="eastAsia"/>
          <w:b w:val="0"/>
          <w:bCs/>
          <w:snapToGrid w:val="0"/>
          <w:color w:val="auto"/>
          <w:sz w:val="24"/>
          <w:highlight w:val="none"/>
          <w:lang w:val="en-US" w:eastAsia="zh-CN"/>
        </w:rPr>
        <w:t>：项目在云南省主体功能区划分总图中的位置图</w:t>
      </w:r>
    </w:p>
    <w:p w14:paraId="43A7E8B4">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15</w:t>
      </w:r>
      <w:r>
        <w:rPr>
          <w:rFonts w:hint="eastAsia"/>
          <w:b w:val="0"/>
          <w:bCs/>
          <w:snapToGrid w:val="0"/>
          <w:color w:val="auto"/>
          <w:sz w:val="24"/>
          <w:highlight w:val="none"/>
          <w:lang w:val="en-US" w:eastAsia="zh-CN"/>
        </w:rPr>
        <w:t>：项目在云南省生态功能类型区中的位置图</w:t>
      </w:r>
    </w:p>
    <w:p w14:paraId="6B600B72">
      <w:pPr>
        <w:spacing w:line="360" w:lineRule="auto"/>
        <w:rPr>
          <w:b w:val="0"/>
          <w:bCs/>
          <w:snapToGrid w:val="0"/>
          <w:color w:val="auto"/>
          <w:sz w:val="24"/>
          <w:highlight w:val="none"/>
        </w:rPr>
      </w:pPr>
      <w:r>
        <w:rPr>
          <w:rFonts w:hint="eastAsia"/>
          <w:b w:val="0"/>
          <w:bCs/>
          <w:snapToGrid w:val="0"/>
          <w:color w:val="auto"/>
          <w:sz w:val="24"/>
          <w:highlight w:val="none"/>
          <w:lang w:val="en-US" w:eastAsia="zh-CN"/>
        </w:rPr>
        <w:t xml:space="preserve">附图 </w:t>
      </w:r>
      <w:r>
        <w:rPr>
          <w:rFonts w:hint="default"/>
          <w:b w:val="0"/>
          <w:bCs/>
          <w:snapToGrid w:val="0"/>
          <w:color w:val="auto"/>
          <w:sz w:val="24"/>
          <w:highlight w:val="none"/>
          <w:lang w:val="en-US" w:eastAsia="zh-CN"/>
        </w:rPr>
        <w:t>16</w:t>
      </w:r>
      <w:r>
        <w:rPr>
          <w:rFonts w:hint="eastAsia"/>
          <w:b w:val="0"/>
          <w:bCs/>
          <w:snapToGrid w:val="0"/>
          <w:color w:val="auto"/>
          <w:sz w:val="24"/>
          <w:highlight w:val="none"/>
          <w:lang w:val="en-US" w:eastAsia="zh-CN"/>
        </w:rPr>
        <w:t>：项目与云南省生物多样性保护优先区域位置关系图</w:t>
      </w:r>
    </w:p>
    <w:p w14:paraId="4E28E126">
      <w:pPr>
        <w:spacing w:line="360" w:lineRule="auto"/>
        <w:rPr>
          <w:b/>
          <w:snapToGrid w:val="0"/>
          <w:color w:val="auto"/>
          <w:sz w:val="24"/>
          <w:highlight w:val="none"/>
        </w:rPr>
      </w:pPr>
    </w:p>
    <w:p w14:paraId="119D6167">
      <w:pPr>
        <w:pStyle w:val="30"/>
        <w:rPr>
          <w:color w:val="auto"/>
          <w:highlight w:val="none"/>
        </w:rPr>
      </w:pPr>
    </w:p>
    <w:p w14:paraId="20EAFF0E">
      <w:pPr>
        <w:spacing w:line="360" w:lineRule="auto"/>
        <w:rPr>
          <w:b/>
          <w:snapToGrid w:val="0"/>
          <w:color w:val="auto"/>
          <w:sz w:val="24"/>
          <w:highlight w:val="none"/>
        </w:rPr>
      </w:pPr>
      <w:r>
        <w:rPr>
          <w:b/>
          <w:snapToGrid w:val="0"/>
          <w:color w:val="auto"/>
          <w:sz w:val="24"/>
          <w:highlight w:val="none"/>
        </w:rPr>
        <w:t>附件：</w:t>
      </w:r>
    </w:p>
    <w:p w14:paraId="288B92B3">
      <w:pPr>
        <w:keepLines w:val="0"/>
        <w:pageBreakBefore w:val="0"/>
        <w:kinsoku/>
        <w:wordWrap/>
        <w:topLinePunct w:val="0"/>
        <w:autoSpaceDE/>
        <w:autoSpaceDN/>
        <w:bidi w:val="0"/>
        <w:adjustRightInd/>
        <w:spacing w:line="360" w:lineRule="auto"/>
        <w:ind w:firstLine="480" w:firstLineChars="200"/>
        <w:textAlignment w:val="auto"/>
        <w:rPr>
          <w:snapToGrid w:val="0"/>
          <w:color w:val="auto"/>
          <w:sz w:val="24"/>
          <w:highlight w:val="none"/>
        </w:rPr>
      </w:pPr>
      <w:r>
        <w:rPr>
          <w:snapToGrid w:val="0"/>
          <w:color w:val="auto"/>
          <w:sz w:val="24"/>
          <w:highlight w:val="none"/>
        </w:rPr>
        <w:t>附件1：委托书</w:t>
      </w:r>
    </w:p>
    <w:p w14:paraId="39F21C4D">
      <w:pPr>
        <w:keepLines w:val="0"/>
        <w:pageBreakBefore w:val="0"/>
        <w:kinsoku/>
        <w:wordWrap/>
        <w:topLinePunct w:val="0"/>
        <w:autoSpaceDE/>
        <w:autoSpaceDN/>
        <w:bidi w:val="0"/>
        <w:adjustRightInd/>
        <w:spacing w:line="360" w:lineRule="auto"/>
        <w:ind w:firstLine="480" w:firstLineChars="200"/>
        <w:textAlignment w:val="auto"/>
        <w:rPr>
          <w:snapToGrid w:val="0"/>
          <w:color w:val="auto"/>
          <w:sz w:val="24"/>
          <w:highlight w:val="none"/>
        </w:rPr>
      </w:pPr>
      <w:r>
        <w:rPr>
          <w:snapToGrid w:val="0"/>
          <w:color w:val="auto"/>
          <w:sz w:val="24"/>
          <w:highlight w:val="none"/>
        </w:rPr>
        <w:t>附件</w:t>
      </w:r>
      <w:r>
        <w:rPr>
          <w:rFonts w:hint="eastAsia"/>
          <w:snapToGrid w:val="0"/>
          <w:color w:val="auto"/>
          <w:sz w:val="24"/>
          <w:highlight w:val="none"/>
          <w:lang w:val="en-US" w:eastAsia="zh-CN"/>
        </w:rPr>
        <w:t>2</w:t>
      </w:r>
      <w:r>
        <w:rPr>
          <w:snapToGrid w:val="0"/>
          <w:color w:val="auto"/>
          <w:sz w:val="24"/>
          <w:highlight w:val="none"/>
        </w:rPr>
        <w:t>：</w:t>
      </w:r>
      <w:r>
        <w:rPr>
          <w:rFonts w:hint="eastAsia"/>
          <w:snapToGrid w:val="0"/>
          <w:color w:val="auto"/>
          <w:sz w:val="24"/>
          <w:highlight w:val="none"/>
        </w:rPr>
        <w:t>营业执照</w:t>
      </w:r>
    </w:p>
    <w:p w14:paraId="64690697">
      <w:pPr>
        <w:keepLines w:val="0"/>
        <w:pageBreakBefore w:val="0"/>
        <w:kinsoku/>
        <w:wordWrap/>
        <w:topLinePunct w:val="0"/>
        <w:autoSpaceDE/>
        <w:autoSpaceDN/>
        <w:bidi w:val="0"/>
        <w:adjustRightInd/>
        <w:spacing w:line="360" w:lineRule="auto"/>
        <w:ind w:firstLine="480" w:firstLineChars="200"/>
        <w:textAlignment w:val="auto"/>
        <w:rPr>
          <w:color w:val="auto"/>
        </w:rPr>
      </w:pPr>
      <w:r>
        <w:rPr>
          <w:rFonts w:hint="eastAsia"/>
          <w:snapToGrid w:val="0"/>
          <w:color w:val="auto"/>
          <w:sz w:val="24"/>
          <w:highlight w:val="none"/>
          <w:lang w:val="en-US" w:eastAsia="zh-CN"/>
        </w:rPr>
        <w:t>附件3：技术咨询合同</w:t>
      </w:r>
    </w:p>
    <w:p w14:paraId="3D8AF0C2">
      <w:pPr>
        <w:keepLines w:val="0"/>
        <w:pageBreakBefore w:val="0"/>
        <w:kinsoku/>
        <w:wordWrap/>
        <w:topLinePunct w:val="0"/>
        <w:autoSpaceDE/>
        <w:autoSpaceDN/>
        <w:bidi w:val="0"/>
        <w:adjustRightInd/>
        <w:spacing w:line="360" w:lineRule="auto"/>
        <w:ind w:firstLine="480" w:firstLineChars="200"/>
        <w:textAlignment w:val="auto"/>
        <w:rPr>
          <w:snapToGrid w:val="0"/>
          <w:color w:val="auto"/>
          <w:sz w:val="24"/>
          <w:highlight w:val="none"/>
        </w:rPr>
      </w:pPr>
      <w:r>
        <w:rPr>
          <w:snapToGrid w:val="0"/>
          <w:color w:val="auto"/>
          <w:sz w:val="24"/>
          <w:highlight w:val="none"/>
        </w:rPr>
        <w:t>附件</w:t>
      </w:r>
      <w:r>
        <w:rPr>
          <w:rFonts w:hint="eastAsia"/>
          <w:snapToGrid w:val="0"/>
          <w:color w:val="auto"/>
          <w:sz w:val="24"/>
          <w:highlight w:val="none"/>
          <w:lang w:val="en-US" w:eastAsia="zh-CN"/>
        </w:rPr>
        <w:t>4</w:t>
      </w:r>
      <w:r>
        <w:rPr>
          <w:snapToGrid w:val="0"/>
          <w:color w:val="auto"/>
          <w:sz w:val="24"/>
          <w:highlight w:val="none"/>
        </w:rPr>
        <w:t>：投资项目备案证</w:t>
      </w:r>
    </w:p>
    <w:p w14:paraId="00A0D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napToGrid w:val="0"/>
          <w:color w:val="auto"/>
          <w:sz w:val="24"/>
          <w:highlight w:val="none"/>
        </w:rPr>
      </w:pPr>
      <w:r>
        <w:rPr>
          <w:rFonts w:hint="eastAsia" w:cs="Times New Roman"/>
          <w:snapToGrid w:val="0"/>
          <w:color w:val="auto"/>
          <w:sz w:val="24"/>
          <w:highlight w:val="none"/>
          <w:lang w:val="en-US" w:eastAsia="zh-CN"/>
        </w:rPr>
        <w:t>附件5：寻甸梳山</w:t>
      </w:r>
      <w:r>
        <w:rPr>
          <w:rFonts w:hint="eastAsia"/>
          <w:snapToGrid w:val="0"/>
          <w:color w:val="auto"/>
          <w:sz w:val="24"/>
          <w:highlight w:val="none"/>
        </w:rPr>
        <w:t>光伏发电项目35kV送出线路工程</w:t>
      </w:r>
      <w:r>
        <w:rPr>
          <w:snapToGrid w:val="0"/>
          <w:color w:val="auto"/>
          <w:sz w:val="24"/>
          <w:highlight w:val="none"/>
        </w:rPr>
        <w:t>备案证</w:t>
      </w:r>
    </w:p>
    <w:p w14:paraId="3F8B95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color w:val="auto"/>
          <w:sz w:val="24"/>
          <w:highlight w:val="none"/>
        </w:rPr>
      </w:pPr>
      <w:r>
        <w:rPr>
          <w:rFonts w:hint="eastAsia"/>
          <w:snapToGrid w:val="0"/>
          <w:color w:val="auto"/>
          <w:sz w:val="24"/>
          <w:highlight w:val="none"/>
        </w:rPr>
        <w:t>附件</w:t>
      </w:r>
      <w:r>
        <w:rPr>
          <w:rFonts w:hint="eastAsia"/>
          <w:snapToGrid w:val="0"/>
          <w:color w:val="auto"/>
          <w:sz w:val="24"/>
          <w:highlight w:val="none"/>
          <w:lang w:val="en-US" w:eastAsia="zh-CN"/>
        </w:rPr>
        <w:t>6</w:t>
      </w:r>
      <w:r>
        <w:rPr>
          <w:rFonts w:hint="eastAsia"/>
          <w:snapToGrid w:val="0"/>
          <w:color w:val="auto"/>
          <w:sz w:val="24"/>
          <w:highlight w:val="none"/>
        </w:rPr>
        <w:t>：</w:t>
      </w:r>
      <w:r>
        <w:rPr>
          <w:rFonts w:hint="eastAsia" w:cs="Times New Roman"/>
          <w:snapToGrid w:val="0"/>
          <w:color w:val="auto"/>
          <w:sz w:val="24"/>
          <w:highlight w:val="none"/>
          <w:lang w:val="en-US" w:eastAsia="zh-CN"/>
        </w:rPr>
        <w:t>寻甸回族彝族自治县林业和草原局关于委托维护和修建梳山、竹园沟、石崖、白石岩光伏发电项目周边道路工程的函（寻林函〔2024</w:t>
      </w:r>
      <w:r>
        <w:rPr>
          <w:rFonts w:hint="eastAsia"/>
          <w:snapToGrid w:val="0"/>
          <w:color w:val="auto"/>
          <w:sz w:val="24"/>
          <w:highlight w:val="none"/>
        </w:rPr>
        <w:t>〕</w:t>
      </w:r>
      <w:r>
        <w:rPr>
          <w:rFonts w:hint="eastAsia" w:cs="Times New Roman"/>
          <w:snapToGrid w:val="0"/>
          <w:color w:val="auto"/>
          <w:sz w:val="24"/>
          <w:highlight w:val="none"/>
          <w:lang w:val="en-US" w:eastAsia="zh-CN"/>
        </w:rPr>
        <w:t>12号）</w:t>
      </w:r>
    </w:p>
    <w:p w14:paraId="070A4F6C">
      <w:pPr>
        <w:keepLines w:val="0"/>
        <w:pageBreakBefore w:val="0"/>
        <w:kinsoku/>
        <w:wordWrap/>
        <w:topLinePunct w:val="0"/>
        <w:autoSpaceDE/>
        <w:autoSpaceDN/>
        <w:bidi w:val="0"/>
        <w:adjustRightInd/>
        <w:spacing w:line="360" w:lineRule="auto"/>
        <w:ind w:firstLine="480" w:firstLineChars="200"/>
        <w:textAlignment w:val="auto"/>
        <w:rPr>
          <w:snapToGrid w:val="0"/>
          <w:color w:val="auto"/>
          <w:sz w:val="24"/>
          <w:highlight w:val="none"/>
        </w:rPr>
      </w:pPr>
      <w:r>
        <w:rPr>
          <w:rFonts w:hint="eastAsia" w:ascii="Times New Roman" w:hAnsi="Times New Roman" w:eastAsia="宋体" w:cs="Times New Roman"/>
          <w:snapToGrid w:val="0"/>
          <w:color w:val="auto"/>
          <w:sz w:val="24"/>
          <w:highlight w:val="none"/>
          <w:lang w:val="en-US" w:eastAsia="zh-CN"/>
        </w:rPr>
        <w:t>附件</w:t>
      </w:r>
      <w:r>
        <w:rPr>
          <w:rFonts w:hint="eastAsia" w:cs="Times New Roman"/>
          <w:snapToGrid w:val="0"/>
          <w:color w:val="auto"/>
          <w:sz w:val="24"/>
          <w:highlight w:val="none"/>
          <w:lang w:val="en-US" w:eastAsia="zh-CN"/>
        </w:rPr>
        <w:t>7</w:t>
      </w:r>
      <w:r>
        <w:rPr>
          <w:rFonts w:hint="eastAsia" w:ascii="Times New Roman" w:hAnsi="Times New Roman" w:eastAsia="宋体" w:cs="Times New Roman"/>
          <w:snapToGrid w:val="0"/>
          <w:color w:val="auto"/>
          <w:sz w:val="24"/>
          <w:highlight w:val="none"/>
          <w:lang w:val="en-US" w:eastAsia="zh-CN"/>
        </w:rPr>
        <w:t>：</w:t>
      </w:r>
      <w:r>
        <w:rPr>
          <w:rFonts w:hint="eastAsia" w:cs="Times New Roman"/>
          <w:snapToGrid w:val="0"/>
          <w:color w:val="auto"/>
          <w:sz w:val="24"/>
          <w:highlight w:val="none"/>
          <w:lang w:val="en-US" w:eastAsia="zh-CN"/>
        </w:rPr>
        <w:t>各部门选址意见</w:t>
      </w:r>
    </w:p>
    <w:p w14:paraId="0E091297">
      <w:pPr>
        <w:keepLines w:val="0"/>
        <w:pageBreakBefore w:val="0"/>
        <w:kinsoku/>
        <w:wordWrap/>
        <w:topLinePunct w:val="0"/>
        <w:autoSpaceDE/>
        <w:autoSpaceDN/>
        <w:bidi w:val="0"/>
        <w:adjustRightInd/>
        <w:spacing w:line="360" w:lineRule="auto"/>
        <w:ind w:firstLine="480" w:firstLineChars="200"/>
        <w:textAlignment w:val="auto"/>
        <w:rPr>
          <w:rFonts w:hint="eastAsia"/>
          <w:snapToGrid w:val="0"/>
          <w:color w:val="auto"/>
          <w:sz w:val="24"/>
          <w:highlight w:val="none"/>
        </w:rPr>
      </w:pPr>
      <w:r>
        <w:rPr>
          <w:rFonts w:hint="eastAsia"/>
          <w:snapToGrid w:val="0"/>
          <w:color w:val="auto"/>
          <w:sz w:val="24"/>
          <w:highlight w:val="none"/>
        </w:rPr>
        <w:t>附件</w:t>
      </w:r>
      <w:r>
        <w:rPr>
          <w:rFonts w:hint="eastAsia"/>
          <w:snapToGrid w:val="0"/>
          <w:color w:val="auto"/>
          <w:sz w:val="24"/>
          <w:highlight w:val="none"/>
          <w:lang w:val="en-US" w:eastAsia="zh-CN"/>
        </w:rPr>
        <w:t>8</w:t>
      </w:r>
      <w:r>
        <w:rPr>
          <w:rFonts w:hint="eastAsia"/>
          <w:snapToGrid w:val="0"/>
          <w:color w:val="auto"/>
          <w:sz w:val="24"/>
          <w:highlight w:val="none"/>
        </w:rPr>
        <w:t>：《云南省发展和改革委员会 云南省能源局关于印发云南省2023年第一批新能源建设方案的通知》</w:t>
      </w:r>
      <w:r>
        <w:rPr>
          <w:rFonts w:hint="eastAsia"/>
          <w:snapToGrid w:val="0"/>
          <w:color w:val="auto"/>
          <w:sz w:val="24"/>
          <w:highlight w:val="none"/>
          <w:lang w:eastAsia="zh-CN"/>
        </w:rPr>
        <w:t>（</w:t>
      </w:r>
      <w:r>
        <w:rPr>
          <w:rFonts w:hint="eastAsia"/>
          <w:snapToGrid w:val="0"/>
          <w:color w:val="auto"/>
          <w:sz w:val="24"/>
          <w:highlight w:val="none"/>
        </w:rPr>
        <w:t>云能源水电〔2023〕170号</w:t>
      </w:r>
      <w:r>
        <w:rPr>
          <w:rFonts w:hint="eastAsia"/>
          <w:snapToGrid w:val="0"/>
          <w:color w:val="auto"/>
          <w:sz w:val="24"/>
          <w:highlight w:val="none"/>
          <w:lang w:eastAsia="zh-CN"/>
        </w:rPr>
        <w:t>）</w:t>
      </w:r>
    </w:p>
    <w:p w14:paraId="1F72022E">
      <w:pPr>
        <w:keepNext w:val="0"/>
        <w:keepLines w:val="0"/>
        <w:pageBreakBefore w:val="0"/>
        <w:widowControl/>
        <w:suppressLineNumbers w:val="0"/>
        <w:kinsoku/>
        <w:wordWrap/>
        <w:topLinePunct w:val="0"/>
        <w:autoSpaceDE/>
        <w:autoSpaceDN/>
        <w:bidi w:val="0"/>
        <w:adjustRightInd/>
        <w:spacing w:line="360" w:lineRule="auto"/>
        <w:ind w:firstLine="480" w:firstLineChars="200"/>
        <w:jc w:val="left"/>
        <w:textAlignment w:val="auto"/>
        <w:rPr>
          <w:rFonts w:hint="default" w:ascii="Times New Roman" w:hAnsi="Times New Roman" w:cs="Times New Roman"/>
          <w:snapToGrid w:val="0"/>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附件</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：昆明市生态环境工程评估中心关于查询</w:t>
      </w:r>
      <w:r>
        <w:rPr>
          <w:rFonts w:hint="eastAsia" w:cs="Times New Roman"/>
          <w:color w:val="auto"/>
          <w:kern w:val="0"/>
          <w:sz w:val="24"/>
          <w:szCs w:val="24"/>
          <w:highlight w:val="none"/>
          <w:lang w:val="en-US" w:eastAsia="zh-CN" w:bidi="ar"/>
        </w:rPr>
        <w:t>寻甸回族彝族自治县</w:t>
      </w:r>
      <w:r>
        <w:rPr>
          <w:rFonts w:hint="default" w:ascii="Times New Roman" w:hAnsi="Times New Roman" w:eastAsia="宋体" w:cs="Times New Roman"/>
          <w:color w:val="auto"/>
          <w:kern w:val="0"/>
          <w:sz w:val="24"/>
          <w:szCs w:val="24"/>
          <w:highlight w:val="none"/>
          <w:lang w:val="en-US" w:eastAsia="zh-CN" w:bidi="ar"/>
        </w:rPr>
        <w:t>四个光伏项目涉及生态环境分区管控情况的复函（昆环评估复函〔2024〕97 号）</w:t>
      </w:r>
    </w:p>
    <w:p w14:paraId="7929608D">
      <w:pPr>
        <w:keepLines w:val="0"/>
        <w:pageBreakBefore w:val="0"/>
        <w:kinsoku/>
        <w:wordWrap/>
        <w:topLinePunct w:val="0"/>
        <w:autoSpaceDE/>
        <w:autoSpaceDN/>
        <w:bidi w:val="0"/>
        <w:adjustRightInd/>
        <w:spacing w:line="360" w:lineRule="auto"/>
        <w:ind w:firstLine="480" w:firstLineChars="200"/>
        <w:textAlignment w:val="auto"/>
        <w:rPr>
          <w:rFonts w:hint="eastAsia"/>
          <w:snapToGrid w:val="0"/>
          <w:color w:val="auto"/>
          <w:sz w:val="24"/>
          <w:highlight w:val="none"/>
          <w:lang w:val="en-US" w:eastAsia="zh-CN"/>
        </w:rPr>
      </w:pPr>
      <w:r>
        <w:rPr>
          <w:rFonts w:hint="eastAsia"/>
          <w:snapToGrid w:val="0"/>
          <w:color w:val="auto"/>
          <w:sz w:val="24"/>
          <w:highlight w:val="none"/>
        </w:rPr>
        <w:t>附</w:t>
      </w:r>
      <w:r>
        <w:rPr>
          <w:snapToGrid w:val="0"/>
          <w:color w:val="auto"/>
          <w:sz w:val="24"/>
          <w:highlight w:val="none"/>
        </w:rPr>
        <w:t>件</w:t>
      </w:r>
      <w:r>
        <w:rPr>
          <w:rFonts w:hint="eastAsia"/>
          <w:snapToGrid w:val="0"/>
          <w:color w:val="auto"/>
          <w:sz w:val="24"/>
          <w:highlight w:val="none"/>
          <w:lang w:val="en-US" w:eastAsia="zh-CN"/>
        </w:rPr>
        <w:t>10</w:t>
      </w:r>
      <w:r>
        <w:rPr>
          <w:rFonts w:hint="eastAsia"/>
          <w:snapToGrid w:val="0"/>
          <w:color w:val="auto"/>
          <w:sz w:val="24"/>
          <w:highlight w:val="none"/>
        </w:rPr>
        <w:t>：项目环境质量现状监测报告</w:t>
      </w:r>
    </w:p>
    <w:p w14:paraId="0DF5618A">
      <w:pPr>
        <w:keepLines w:val="0"/>
        <w:pageBreakBefore w:val="0"/>
        <w:kinsoku/>
        <w:wordWrap/>
        <w:topLinePunct w:val="0"/>
        <w:autoSpaceDE/>
        <w:autoSpaceDN/>
        <w:bidi w:val="0"/>
        <w:adjustRightInd/>
        <w:spacing w:line="360" w:lineRule="auto"/>
        <w:ind w:firstLine="480" w:firstLineChars="200"/>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附件11：寻甸回族彝族自治县乾润新能源有限公司关于《杭山光伏发电项目环境影响报告表》全本信息公开</w:t>
      </w:r>
    </w:p>
    <w:p w14:paraId="0C654D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附件12：项目现场踏勘基本情况记录表</w:t>
      </w:r>
    </w:p>
    <w:p w14:paraId="63AAE9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napToGrid w:val="0"/>
          <w:color w:val="auto"/>
          <w:sz w:val="24"/>
          <w:highlight w:val="none"/>
        </w:rPr>
      </w:pPr>
      <w:r>
        <w:rPr>
          <w:rFonts w:hint="eastAsia"/>
          <w:snapToGrid w:val="0"/>
          <w:color w:val="auto"/>
          <w:sz w:val="24"/>
          <w:highlight w:val="none"/>
          <w:lang w:val="en-US" w:eastAsia="zh-CN"/>
        </w:rPr>
        <w:t>附件13：</w:t>
      </w:r>
      <w:r>
        <w:rPr>
          <w:rFonts w:hint="eastAsia"/>
          <w:snapToGrid w:val="0"/>
          <w:color w:val="auto"/>
          <w:sz w:val="24"/>
          <w:highlight w:val="none"/>
        </w:rPr>
        <w:t>项目进度管理表+项目内部审核单</w:t>
      </w:r>
    </w:p>
    <w:p w14:paraId="64496871">
      <w:pPr>
        <w:keepLines w:val="0"/>
        <w:pageBreakBefore w:val="0"/>
        <w:kinsoku/>
        <w:wordWrap/>
        <w:topLinePunct w:val="0"/>
        <w:autoSpaceDE/>
        <w:autoSpaceDN/>
        <w:bidi w:val="0"/>
        <w:adjustRightInd/>
        <w:spacing w:line="360" w:lineRule="auto"/>
        <w:ind w:firstLine="420" w:firstLineChars="200"/>
        <w:textAlignment w:val="auto"/>
        <w:rPr>
          <w:rFonts w:hint="eastAsia"/>
          <w:color w:val="auto"/>
          <w:highlight w:val="none"/>
        </w:rPr>
        <w:sectPr>
          <w:footerReference r:id="rId3" w:type="default"/>
          <w:pgSz w:w="11906" w:h="16838"/>
          <w:pgMar w:top="1701" w:right="1531" w:bottom="1701" w:left="1531" w:header="851" w:footer="1077" w:gutter="0"/>
          <w:pgNumType w:fmt="upperRoman" w:start="1"/>
          <w:cols w:space="720" w:num="1"/>
          <w:docGrid w:linePitch="312" w:charSpace="0"/>
        </w:sectPr>
      </w:pPr>
    </w:p>
    <w:p w14:paraId="7FCF70AA">
      <w:pPr>
        <w:pStyle w:val="4"/>
        <w:shd w:val="clear"/>
        <w:bidi w:val="0"/>
        <w:jc w:val="center"/>
        <w:rPr>
          <w:color w:val="auto"/>
          <w:highlight w:val="none"/>
        </w:rPr>
      </w:pPr>
      <w:bookmarkStart w:id="0" w:name="_Toc14205"/>
      <w:r>
        <w:rPr>
          <w:rFonts w:hint="eastAsia" w:ascii="宋体" w:hAnsi="宋体" w:eastAsia="宋体" w:cs="宋体"/>
          <w:color w:val="auto"/>
          <w:highlight w:val="none"/>
          <w:shd w:val="clear" w:color="auto" w:fill="auto"/>
        </w:rPr>
        <w:t>前 言</w:t>
      </w:r>
      <w:bookmarkEnd w:id="0"/>
    </w:p>
    <w:p w14:paraId="621F919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val="en-US" w:eastAsia="zh-CN"/>
        </w:rPr>
        <w:t>为贯彻落实省委、省政府有关工作部署，全面实施“3815”战略发展目标，持续提高我省能源安全保障水平，支撑经济社会发展，云南省发展和改革委员会、云南省能源局下发了《云南省</w:t>
      </w: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第一批新能源项目开发建设方案》，要求组织实施新能源项目，本项目为实施方案内的工程。本项目的开发建设能有效的促进地方经济，带动光伏产业链的发展，落实国家实施碳达峰、碳中和的目标，具有良好的社会效益和经济效益，对于改善当地电网电源结构，推动云南省太阳能发电事业发展，开发可再生能源有着积极的意义。</w:t>
      </w:r>
    </w:p>
    <w:p w14:paraId="76FD4D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shd w:val="clear" w:color="auto" w:fill="auto"/>
        </w:rPr>
      </w:pPr>
      <w:r>
        <w:rPr>
          <w:rFonts w:hint="default"/>
          <w:color w:val="auto"/>
          <w:sz w:val="24"/>
          <w:szCs w:val="24"/>
          <w:highlight w:val="none"/>
          <w:shd w:val="clear" w:color="auto" w:fill="auto"/>
          <w:lang w:val="en-US" w:eastAsia="zh-CN"/>
        </w:rPr>
        <w:t>202</w:t>
      </w:r>
      <w:r>
        <w:rPr>
          <w:rFonts w:hint="eastAsia"/>
          <w:color w:val="auto"/>
          <w:sz w:val="24"/>
          <w:szCs w:val="24"/>
          <w:highlight w:val="none"/>
          <w:shd w:val="clear" w:color="auto" w:fill="auto"/>
          <w:lang w:val="en-US" w:eastAsia="zh-CN"/>
        </w:rPr>
        <w:t>3年9月21日，</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szCs w:val="24"/>
          <w:highlight w:val="none"/>
          <w:shd w:val="clear" w:color="auto" w:fill="auto"/>
          <w:lang w:val="en-US" w:eastAsia="zh-CN"/>
        </w:rPr>
        <w:t>（以下简称“建设单位”）取得寻甸回族彝族自治县发展和改革局出具的投资备案证，</w:t>
      </w:r>
      <w:r>
        <w:rPr>
          <w:rFonts w:hint="eastAsia" w:cs="Times New Roman"/>
          <w:color w:val="auto"/>
          <w:sz w:val="24"/>
          <w:szCs w:val="24"/>
          <w:highlight w:val="none"/>
          <w:shd w:val="clear" w:color="auto" w:fill="auto"/>
          <w:lang w:val="en-US" w:eastAsia="zh-CN"/>
        </w:rPr>
        <w:t>梳山</w:t>
      </w:r>
      <w:r>
        <w:rPr>
          <w:rFonts w:hint="eastAsia" w:ascii="Times New Roman" w:hAnsi="Times New Roman" w:cs="Times New Roman"/>
          <w:color w:val="auto"/>
          <w:sz w:val="24"/>
          <w:szCs w:val="24"/>
          <w:highlight w:val="none"/>
          <w:shd w:val="clear" w:color="auto" w:fill="auto"/>
          <w:lang w:val="en-US" w:eastAsia="zh-CN"/>
        </w:rPr>
        <w:t>光伏发电</w:t>
      </w:r>
      <w:r>
        <w:rPr>
          <w:rFonts w:hint="eastAsia"/>
          <w:color w:val="auto"/>
          <w:sz w:val="24"/>
          <w:szCs w:val="24"/>
          <w:highlight w:val="none"/>
          <w:shd w:val="clear" w:color="auto" w:fill="auto"/>
          <w:lang w:val="en-US" w:eastAsia="zh-CN"/>
        </w:rPr>
        <w:t>项目总投资21400万元，装机容量50MW，配套建设箱变、逆变器、光伏阵列区。</w:t>
      </w:r>
    </w:p>
    <w:p w14:paraId="33B58B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b/>
          <w:bCs/>
          <w:color w:val="auto"/>
          <w:sz w:val="24"/>
          <w:szCs w:val="24"/>
          <w:highlight w:val="none"/>
          <w:lang w:val="en-US" w:eastAsia="zh-CN"/>
        </w:rPr>
      </w:pPr>
      <w:r>
        <w:rPr>
          <w:rFonts w:hint="eastAsia" w:cs="Times New Roman"/>
          <w:color w:val="auto"/>
          <w:sz w:val="24"/>
          <w:szCs w:val="24"/>
          <w:highlight w:val="none"/>
          <w:shd w:val="clear" w:color="auto" w:fill="auto"/>
          <w:lang w:val="en-US" w:eastAsia="zh-CN"/>
        </w:rPr>
        <w:t>梳山光伏发电项目</w:t>
      </w:r>
      <w:r>
        <w:rPr>
          <w:rFonts w:hint="eastAsia" w:ascii="Times New Roman" w:hAnsi="Times New Roman" w:cs="Times New Roman"/>
          <w:color w:val="auto"/>
          <w:sz w:val="24"/>
          <w:szCs w:val="24"/>
          <w:highlight w:val="none"/>
          <w:shd w:val="clear" w:color="auto" w:fill="auto"/>
          <w:lang w:val="en-US" w:eastAsia="zh-CN"/>
        </w:rPr>
        <w:t>位于云南省昆明市寻甸回族彝族自治县河口镇境内，项目区中心坐标位于东经</w:t>
      </w:r>
      <w:r>
        <w:rPr>
          <w:rFonts w:hint="eastAsia"/>
          <w:color w:val="auto"/>
          <w:sz w:val="24"/>
          <w:szCs w:val="24"/>
          <w:highlight w:val="none"/>
          <w:shd w:val="clear" w:color="auto" w:fill="auto"/>
          <w:lang w:val="en-US" w:eastAsia="zh-CN"/>
        </w:rPr>
        <w:t>103°27′20.819″</w:t>
      </w:r>
      <w:r>
        <w:rPr>
          <w:rFonts w:hint="default" w:ascii="Times New Roman" w:hAnsi="Times New Roman" w:cs="Times New Roman"/>
          <w:color w:val="auto"/>
          <w:sz w:val="24"/>
          <w:szCs w:val="24"/>
          <w:highlight w:val="none"/>
          <w:shd w:val="clear" w:color="auto" w:fill="auto"/>
          <w:lang w:val="en-US" w:eastAsia="zh-CN"/>
        </w:rPr>
        <w:t>，北纬</w:t>
      </w:r>
      <w:r>
        <w:rPr>
          <w:rFonts w:hint="eastAsia"/>
          <w:color w:val="auto"/>
          <w:sz w:val="24"/>
          <w:szCs w:val="24"/>
          <w:highlight w:val="none"/>
          <w:shd w:val="clear" w:color="auto" w:fill="auto"/>
          <w:lang w:val="en-US" w:eastAsia="zh-CN"/>
        </w:rPr>
        <w:t>25°44′38.869″</w:t>
      </w:r>
      <w:r>
        <w:rPr>
          <w:rFonts w:hint="eastAsia" w:ascii="Times New Roman" w:hAnsi="Times New Roman"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rPr>
        <w:t>项目规划装机容量为</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MW，实际直流侧安装容量</w:t>
      </w:r>
      <w:r>
        <w:rPr>
          <w:rFonts w:hint="eastAsia" w:cs="Times New Roman"/>
          <w:color w:val="auto"/>
          <w:sz w:val="24"/>
          <w:szCs w:val="24"/>
          <w:highlight w:val="none"/>
          <w:lang w:val="en-US" w:eastAsia="zh-CN"/>
        </w:rPr>
        <w:t>64.24392</w:t>
      </w:r>
      <w:r>
        <w:rPr>
          <w:rFonts w:hint="default" w:ascii="Times New Roman" w:hAnsi="Times New Roman" w:eastAsia="宋体" w:cs="Times New Roman"/>
          <w:color w:val="auto"/>
          <w:sz w:val="24"/>
          <w:szCs w:val="24"/>
          <w:highlight w:val="none"/>
        </w:rPr>
        <w:t>MWp</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在布设的</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个光伏</w:t>
      </w:r>
      <w:r>
        <w:rPr>
          <w:rFonts w:hint="default" w:ascii="Times New Roman" w:hAnsi="Times New Roman" w:eastAsia="宋体" w:cs="Times New Roman"/>
          <w:color w:val="auto"/>
          <w:sz w:val="24"/>
          <w:szCs w:val="24"/>
          <w:highlight w:val="none"/>
          <w:lang w:val="en-US" w:eastAsia="zh-CN"/>
        </w:rPr>
        <w:t>子阵</w:t>
      </w:r>
      <w:r>
        <w:rPr>
          <w:rFonts w:hint="default" w:ascii="Times New Roman" w:hAnsi="Times New Roman" w:eastAsia="宋体" w:cs="Times New Roman"/>
          <w:color w:val="auto"/>
          <w:sz w:val="24"/>
          <w:szCs w:val="24"/>
          <w:highlight w:val="none"/>
        </w:rPr>
        <w:t>共安装</w:t>
      </w:r>
      <w:r>
        <w:rPr>
          <w:rFonts w:hint="eastAsia" w:cs="Times New Roman"/>
          <w:color w:val="auto"/>
          <w:sz w:val="24"/>
          <w:szCs w:val="24"/>
          <w:highlight w:val="none"/>
          <w:lang w:val="en-US" w:eastAsia="zh-CN"/>
        </w:rPr>
        <w:t>108888块590Wp单晶硅N型光伏组件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并设</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台箱式变压器及</w:t>
      </w:r>
      <w:r>
        <w:rPr>
          <w:rFonts w:hint="eastAsia" w:cs="Times New Roman"/>
          <w:color w:val="auto"/>
          <w:sz w:val="24"/>
          <w:szCs w:val="24"/>
          <w:highlight w:val="none"/>
          <w:lang w:val="en-US" w:eastAsia="zh-CN"/>
        </w:rPr>
        <w:t>157台</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0kW的组串式逆变器。本光伏电站每个光伏子方阵经逆变升压后输出电压为35kV。每个光伏方阵电力经箱变升压至35kV后，通过35kV电缆分接箱并联至35kV集电线路，通过</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回35kV集电线路汇集电力后输送至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ascii="Times New Roman" w:hAnsi="Times New Roman" w:eastAsia="宋体" w:cs="Times New Roman"/>
          <w:color w:val="auto"/>
          <w:sz w:val="24"/>
          <w:szCs w:val="24"/>
          <w:highlight w:val="none"/>
          <w:shd w:val="clear" w:color="auto" w:fill="auto"/>
          <w:lang w:val="en-US" w:eastAsia="zh-CN"/>
        </w:rPr>
        <w:t>。</w:t>
      </w:r>
      <w:r>
        <w:rPr>
          <w:rFonts w:hint="eastAsia" w:eastAsia="宋体"/>
          <w:b/>
          <w:bCs/>
          <w:color w:val="auto"/>
          <w:sz w:val="24"/>
          <w:szCs w:val="24"/>
          <w:highlight w:val="none"/>
          <w:lang w:val="en-US" w:eastAsia="zh-CN"/>
        </w:rPr>
        <w:t>因</w:t>
      </w:r>
      <w:r>
        <w:rPr>
          <w:rFonts w:hint="default" w:eastAsia="宋体"/>
          <w:b/>
          <w:bCs/>
          <w:color w:val="auto"/>
          <w:sz w:val="24"/>
          <w:szCs w:val="24"/>
          <w:highlight w:val="none"/>
          <w:lang w:val="en-US" w:eastAsia="zh-CN"/>
        </w:rPr>
        <w:t>35kV</w:t>
      </w:r>
      <w:r>
        <w:rPr>
          <w:rFonts w:hint="eastAsia"/>
          <w:b/>
          <w:bCs/>
          <w:color w:val="auto"/>
          <w:sz w:val="24"/>
          <w:szCs w:val="24"/>
          <w:highlight w:val="none"/>
          <w:lang w:val="en-US" w:eastAsia="zh-CN"/>
        </w:rPr>
        <w:t>集电线路按照</w:t>
      </w:r>
      <w:r>
        <w:rPr>
          <w:rFonts w:hint="eastAsia" w:eastAsia="宋体"/>
          <w:b/>
          <w:bCs/>
          <w:color w:val="auto"/>
          <w:sz w:val="24"/>
          <w:szCs w:val="24"/>
          <w:highlight w:val="none"/>
          <w:lang w:val="en-US" w:eastAsia="zh-CN"/>
        </w:rPr>
        <w:t>送出</w:t>
      </w:r>
      <w:r>
        <w:rPr>
          <w:rFonts w:hint="default" w:eastAsia="宋体"/>
          <w:b/>
          <w:bCs/>
          <w:color w:val="auto"/>
          <w:sz w:val="24"/>
          <w:szCs w:val="24"/>
          <w:highlight w:val="none"/>
          <w:lang w:val="en-US" w:eastAsia="zh-CN"/>
        </w:rPr>
        <w:t>线路</w:t>
      </w:r>
      <w:r>
        <w:rPr>
          <w:rFonts w:hint="eastAsia" w:eastAsia="宋体"/>
          <w:b/>
          <w:bCs/>
          <w:color w:val="auto"/>
          <w:sz w:val="24"/>
          <w:szCs w:val="24"/>
          <w:highlight w:val="none"/>
          <w:lang w:val="en-US" w:eastAsia="zh-CN"/>
        </w:rPr>
        <w:t>单独进行核准，</w:t>
      </w:r>
      <w:r>
        <w:rPr>
          <w:rFonts w:hint="eastAsia" w:eastAsia="宋体"/>
          <w:b/>
          <w:bCs/>
          <w:color w:val="auto"/>
          <w:sz w:val="24"/>
          <w:szCs w:val="24"/>
          <w:highlight w:val="none"/>
        </w:rPr>
        <w:t>本次评价不包含</w:t>
      </w:r>
      <w:r>
        <w:rPr>
          <w:rFonts w:hint="eastAsia" w:eastAsia="宋体"/>
          <w:b/>
          <w:bCs/>
          <w:color w:val="auto"/>
          <w:sz w:val="24"/>
          <w:szCs w:val="24"/>
          <w:highlight w:val="none"/>
          <w:lang w:val="en-US" w:eastAsia="zh-CN"/>
        </w:rPr>
        <w:t>35kV</w:t>
      </w:r>
      <w:r>
        <w:rPr>
          <w:rFonts w:hint="eastAsia"/>
          <w:b/>
          <w:bCs/>
          <w:color w:val="auto"/>
          <w:sz w:val="24"/>
          <w:szCs w:val="24"/>
          <w:highlight w:val="none"/>
        </w:rPr>
        <w:t>送出线路工程内容，建设单位在开展送出线路工程时另行办理相关环保手续</w:t>
      </w:r>
      <w:r>
        <w:rPr>
          <w:rFonts w:hint="eastAsia"/>
          <w:b/>
          <w:bCs/>
          <w:color w:val="auto"/>
          <w:sz w:val="24"/>
          <w:szCs w:val="24"/>
          <w:highlight w:val="none"/>
          <w:lang w:eastAsia="zh-CN"/>
        </w:rPr>
        <w:t>；</w:t>
      </w:r>
      <w:r>
        <w:rPr>
          <w:rFonts w:hint="eastAsia"/>
          <w:b/>
          <w:bCs/>
          <w:color w:val="auto"/>
          <w:sz w:val="24"/>
          <w:szCs w:val="24"/>
          <w:highlight w:val="none"/>
          <w:lang w:val="en-US" w:eastAsia="zh-CN"/>
        </w:rPr>
        <w:t>升压站已包含在竹园沟光伏发电项目中另行办理环评手续，本次不再做评价。</w:t>
      </w:r>
    </w:p>
    <w:p w14:paraId="5921968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val="0"/>
          <w:bCs w:val="0"/>
          <w:color w:val="auto"/>
          <w:kern w:val="0"/>
          <w:sz w:val="24"/>
          <w:highlight w:val="none"/>
          <w:lang w:eastAsia="zh-CN"/>
        </w:rPr>
      </w:pPr>
      <w:r>
        <w:rPr>
          <w:rFonts w:hint="eastAsia" w:ascii="宋体" w:hAnsi="宋体" w:eastAsia="宋体" w:cs="宋体"/>
          <w:b/>
          <w:bCs/>
          <w:color w:val="auto"/>
          <w:kern w:val="0"/>
          <w:sz w:val="24"/>
          <w:szCs w:val="24"/>
          <w:highlight w:val="none"/>
          <w:shd w:val="clear" w:color="auto" w:fill="auto"/>
          <w:lang w:val="en-US" w:eastAsia="zh-CN" w:bidi="ar"/>
        </w:rPr>
        <w:t>同时</w:t>
      </w:r>
      <w:r>
        <w:rPr>
          <w:rFonts w:hint="eastAsia" w:ascii="宋体" w:hAnsi="宋体" w:cs="宋体"/>
          <w:b/>
          <w:bCs/>
          <w:color w:val="auto"/>
          <w:kern w:val="0"/>
          <w:sz w:val="24"/>
          <w:szCs w:val="24"/>
          <w:highlight w:val="none"/>
          <w:shd w:val="clear" w:color="auto" w:fill="auto"/>
          <w:lang w:val="en-US" w:eastAsia="zh-CN" w:bidi="ar"/>
        </w:rPr>
        <w:t>场区道路</w:t>
      </w:r>
      <w:r>
        <w:rPr>
          <w:rFonts w:hint="eastAsia" w:ascii="宋体" w:hAnsi="宋体" w:eastAsia="宋体" w:cs="宋体"/>
          <w:b/>
          <w:bCs/>
          <w:color w:val="auto"/>
          <w:kern w:val="0"/>
          <w:sz w:val="24"/>
          <w:szCs w:val="24"/>
          <w:highlight w:val="none"/>
          <w:shd w:val="clear" w:color="auto" w:fill="auto"/>
          <w:lang w:val="en-US" w:eastAsia="zh-CN" w:bidi="ar"/>
        </w:rPr>
        <w:t>以</w:t>
      </w:r>
      <w:r>
        <w:rPr>
          <w:rFonts w:hint="eastAsia" w:ascii="宋体" w:hAnsi="宋体" w:cs="宋体"/>
          <w:b/>
          <w:bCs/>
          <w:color w:val="auto"/>
          <w:kern w:val="0"/>
          <w:sz w:val="24"/>
          <w:szCs w:val="24"/>
          <w:highlight w:val="none"/>
          <w:shd w:val="clear" w:color="auto" w:fill="auto"/>
          <w:lang w:val="en-US" w:eastAsia="zh-CN" w:bidi="ar"/>
        </w:rPr>
        <w:t>防火通道单独</w:t>
      </w:r>
      <w:r>
        <w:rPr>
          <w:rFonts w:hint="eastAsia" w:ascii="宋体" w:hAnsi="宋体" w:eastAsia="宋体" w:cs="宋体"/>
          <w:b/>
          <w:bCs/>
          <w:color w:val="auto"/>
          <w:kern w:val="0"/>
          <w:sz w:val="24"/>
          <w:szCs w:val="24"/>
          <w:highlight w:val="none"/>
          <w:shd w:val="clear" w:color="auto" w:fill="auto"/>
          <w:lang w:val="en-US" w:eastAsia="zh-CN" w:bidi="ar"/>
        </w:rPr>
        <w:t>进行立项报批</w:t>
      </w:r>
      <w:r>
        <w:rPr>
          <w:rFonts w:hint="eastAsia" w:ascii="宋体" w:hAnsi="宋体" w:cs="宋体"/>
          <w:b/>
          <w:bCs/>
          <w:color w:val="auto"/>
          <w:kern w:val="0"/>
          <w:sz w:val="24"/>
          <w:szCs w:val="24"/>
          <w:highlight w:val="none"/>
          <w:shd w:val="clear" w:color="auto" w:fill="auto"/>
          <w:lang w:val="en-US" w:eastAsia="zh-CN" w:bidi="ar"/>
        </w:rPr>
        <w:t>，</w:t>
      </w:r>
      <w:r>
        <w:rPr>
          <w:rFonts w:hint="eastAsia" w:ascii="宋体" w:hAnsi="宋体" w:eastAsia="宋体" w:cs="宋体"/>
          <w:b/>
          <w:bCs/>
          <w:color w:val="auto"/>
          <w:kern w:val="0"/>
          <w:sz w:val="24"/>
          <w:szCs w:val="24"/>
          <w:highlight w:val="none"/>
          <w:shd w:val="clear" w:color="auto" w:fill="auto"/>
          <w:lang w:val="en-US" w:eastAsia="zh-CN" w:bidi="ar"/>
        </w:rPr>
        <w:t>本次不进行评价</w:t>
      </w:r>
      <w:r>
        <w:rPr>
          <w:rFonts w:hint="eastAsia" w:ascii="宋体" w:hAnsi="宋体" w:cs="宋体"/>
          <w:b/>
          <w:bCs/>
          <w:color w:val="auto"/>
          <w:kern w:val="0"/>
          <w:sz w:val="24"/>
          <w:szCs w:val="24"/>
          <w:highlight w:val="none"/>
          <w:shd w:val="clear" w:color="auto" w:fill="auto"/>
          <w:lang w:val="en-US" w:eastAsia="zh-CN" w:bidi="ar"/>
        </w:rPr>
        <w:t>，</w:t>
      </w:r>
      <w:r>
        <w:rPr>
          <w:rFonts w:hint="eastAsia"/>
          <w:b w:val="0"/>
          <w:bCs w:val="0"/>
          <w:color w:val="auto"/>
          <w:sz w:val="24"/>
          <w:szCs w:val="24"/>
          <w:highlight w:val="none"/>
        </w:rPr>
        <w:t>建设单位在开展</w:t>
      </w:r>
      <w:r>
        <w:rPr>
          <w:rFonts w:hint="eastAsia"/>
          <w:b w:val="0"/>
          <w:bCs w:val="0"/>
          <w:color w:val="auto"/>
          <w:sz w:val="24"/>
          <w:szCs w:val="24"/>
          <w:highlight w:val="none"/>
          <w:lang w:val="en-US" w:eastAsia="zh-CN"/>
        </w:rPr>
        <w:t>道路</w:t>
      </w:r>
      <w:r>
        <w:rPr>
          <w:rFonts w:hint="eastAsia"/>
          <w:b w:val="0"/>
          <w:bCs w:val="0"/>
          <w:color w:val="auto"/>
          <w:sz w:val="24"/>
          <w:szCs w:val="24"/>
          <w:highlight w:val="none"/>
        </w:rPr>
        <w:t>工程时另行办理相关环保手续</w:t>
      </w:r>
      <w:r>
        <w:rPr>
          <w:rFonts w:hint="eastAsia" w:ascii="宋体" w:hAnsi="宋体" w:eastAsia="宋体" w:cs="宋体"/>
          <w:color w:val="auto"/>
          <w:kern w:val="0"/>
          <w:sz w:val="24"/>
          <w:szCs w:val="24"/>
          <w:highlight w:val="none"/>
          <w:shd w:val="clear" w:color="auto" w:fill="auto"/>
          <w:lang w:val="en-US" w:eastAsia="zh-CN" w:bidi="ar"/>
        </w:rPr>
        <w:t>。</w:t>
      </w:r>
      <w:r>
        <w:rPr>
          <w:rFonts w:hint="eastAsia" w:ascii="宋体" w:hAnsi="宋体" w:cs="宋体"/>
          <w:color w:val="auto"/>
          <w:kern w:val="0"/>
          <w:sz w:val="24"/>
          <w:szCs w:val="24"/>
          <w:highlight w:val="none"/>
          <w:shd w:val="clear" w:color="auto" w:fill="auto"/>
          <w:lang w:val="en-US" w:eastAsia="zh-CN" w:bidi="ar"/>
        </w:rPr>
        <w:t>此外</w:t>
      </w:r>
      <w:r>
        <w:rPr>
          <w:rFonts w:hint="eastAsia" w:ascii="宋体" w:hAnsi="宋体" w:eastAsia="宋体" w:cs="宋体"/>
          <w:color w:val="auto"/>
          <w:kern w:val="0"/>
          <w:sz w:val="24"/>
          <w:szCs w:val="24"/>
          <w:highlight w:val="none"/>
          <w:shd w:val="clear" w:color="auto" w:fill="auto"/>
          <w:lang w:val="en-US" w:eastAsia="zh-CN" w:bidi="ar"/>
        </w:rPr>
        <w:t>光伏电站</w:t>
      </w:r>
      <w:r>
        <w:rPr>
          <w:rFonts w:hint="eastAsia" w:ascii="宋体" w:hAnsi="宋体" w:cs="宋体"/>
          <w:color w:val="auto"/>
          <w:kern w:val="0"/>
          <w:sz w:val="24"/>
          <w:szCs w:val="24"/>
          <w:highlight w:val="none"/>
          <w:shd w:val="clear" w:color="auto" w:fill="auto"/>
          <w:lang w:val="en-US" w:eastAsia="zh-CN" w:bidi="ar"/>
        </w:rPr>
        <w:t>占用林地部分</w:t>
      </w:r>
      <w:r>
        <w:rPr>
          <w:rFonts w:hint="eastAsia" w:ascii="宋体" w:hAnsi="宋体" w:eastAsia="宋体" w:cs="宋体"/>
          <w:color w:val="auto"/>
          <w:kern w:val="0"/>
          <w:sz w:val="24"/>
          <w:szCs w:val="24"/>
          <w:highlight w:val="none"/>
          <w:shd w:val="clear" w:color="auto" w:fill="auto"/>
          <w:lang w:val="en-US" w:eastAsia="zh-CN" w:bidi="ar"/>
        </w:rPr>
        <w:t>还需实施林光互补工程，由于林业种植部分具体种植、经营、销售等实施方式还不确定，本次不进行评价。待林业种植方案确定后，建设单位依据《中华人民共和国环境影响评价法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建设项目环境影响评价分类管理名录》的规定，另行办理环评手续。</w:t>
      </w:r>
    </w:p>
    <w:p w14:paraId="5CD2A91F">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根据《中华人民共和国环境影响评价法</w:t>
      </w:r>
      <w:r>
        <w:rPr>
          <w:rFonts w:hint="eastAsia" w:ascii="宋体" w:hAnsi="宋体"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建设项目环境保护管理条例》等有关法律和规定，本项目应开展环境影响评价工作。根据《建设项目环境影响评价分类管理名录》</w:t>
      </w:r>
      <w:r>
        <w:rPr>
          <w:rFonts w:hint="eastAsia"/>
          <w:color w:val="auto"/>
          <w:sz w:val="24"/>
          <w:highlight w:val="none"/>
          <w:shd w:val="clear" w:color="auto" w:fill="auto"/>
        </w:rPr>
        <w:t>（2021版</w:t>
      </w:r>
      <w:r>
        <w:rPr>
          <w:color w:val="auto"/>
          <w:sz w:val="24"/>
          <w:highlight w:val="none"/>
          <w:shd w:val="clear" w:color="auto" w:fill="auto"/>
        </w:rPr>
        <w:t>）</w:t>
      </w:r>
      <w:r>
        <w:rPr>
          <w:rFonts w:hint="eastAsia" w:ascii="宋体" w:hAnsi="宋体" w:eastAsia="宋体" w:cs="宋体"/>
          <w:color w:val="auto"/>
          <w:kern w:val="0"/>
          <w:sz w:val="24"/>
          <w:szCs w:val="24"/>
          <w:highlight w:val="none"/>
          <w:shd w:val="clear" w:color="auto" w:fill="auto"/>
          <w:lang w:val="en-US" w:eastAsia="zh-CN" w:bidi="ar"/>
        </w:rPr>
        <w:t>，本项目属于“四十一、电力、热力生产和供应业中的</w:t>
      </w:r>
      <w:r>
        <w:rPr>
          <w:rFonts w:hint="default" w:ascii="Times New Roman" w:hAnsi="Times New Roman" w:eastAsia="宋体" w:cs="Times New Roman"/>
          <w:color w:val="auto"/>
          <w:kern w:val="0"/>
          <w:sz w:val="24"/>
          <w:szCs w:val="24"/>
          <w:highlight w:val="none"/>
          <w:shd w:val="clear" w:color="auto" w:fill="auto"/>
          <w:lang w:val="en-US" w:eastAsia="zh-CN" w:bidi="ar"/>
        </w:rPr>
        <w:t>90</w:t>
      </w:r>
      <w:r>
        <w:rPr>
          <w:rFonts w:hint="eastAsia" w:ascii="宋体" w:hAnsi="宋体" w:eastAsia="宋体" w:cs="宋体"/>
          <w:color w:val="auto"/>
          <w:kern w:val="0"/>
          <w:sz w:val="24"/>
          <w:szCs w:val="24"/>
          <w:highlight w:val="none"/>
          <w:shd w:val="clear" w:color="auto" w:fill="auto"/>
          <w:lang w:val="en-US" w:eastAsia="zh-CN" w:bidi="ar"/>
        </w:rPr>
        <w:t>—太阳能发电</w:t>
      </w:r>
      <w:r>
        <w:rPr>
          <w:rFonts w:hint="default" w:ascii="Times New Roman" w:hAnsi="Times New Roman" w:eastAsia="宋体" w:cs="Times New Roman"/>
          <w:color w:val="auto"/>
          <w:kern w:val="0"/>
          <w:sz w:val="24"/>
          <w:szCs w:val="24"/>
          <w:highlight w:val="none"/>
          <w:shd w:val="clear" w:color="auto" w:fill="auto"/>
          <w:lang w:val="en-US" w:eastAsia="zh-CN" w:bidi="ar"/>
        </w:rPr>
        <w:t>4416</w:t>
      </w:r>
      <w:r>
        <w:rPr>
          <w:rFonts w:hint="eastAsia" w:ascii="宋体" w:hAnsi="宋体" w:eastAsia="宋体" w:cs="宋体"/>
          <w:color w:val="auto"/>
          <w:kern w:val="0"/>
          <w:sz w:val="24"/>
          <w:szCs w:val="24"/>
          <w:highlight w:val="none"/>
          <w:shd w:val="clear" w:color="auto" w:fill="auto"/>
          <w:lang w:val="en-US" w:eastAsia="zh-CN" w:bidi="ar"/>
        </w:rPr>
        <w:t>（不含居民家用光伏发电）；地面集中光伏电站（总容量大于</w:t>
      </w:r>
      <w:r>
        <w:rPr>
          <w:rFonts w:hint="default" w:ascii="Times New Roman" w:hAnsi="Times New Roman" w:eastAsia="宋体" w:cs="Times New Roman"/>
          <w:color w:val="auto"/>
          <w:kern w:val="0"/>
          <w:sz w:val="24"/>
          <w:szCs w:val="24"/>
          <w:highlight w:val="none"/>
          <w:shd w:val="clear" w:color="auto" w:fill="auto"/>
          <w:lang w:val="en-US" w:eastAsia="zh-CN" w:bidi="ar"/>
        </w:rPr>
        <w:t>6000</w:t>
      </w:r>
      <w:r>
        <w:rPr>
          <w:rFonts w:hint="eastAsia" w:ascii="宋体" w:hAnsi="宋体" w:eastAsia="宋体" w:cs="宋体"/>
          <w:color w:val="auto"/>
          <w:kern w:val="0"/>
          <w:sz w:val="24"/>
          <w:szCs w:val="24"/>
          <w:highlight w:val="none"/>
          <w:shd w:val="clear" w:color="auto" w:fill="auto"/>
          <w:lang w:val="en-US" w:eastAsia="zh-CN" w:bidi="ar"/>
        </w:rPr>
        <w:t>千瓦，且接入电压等级不小于</w:t>
      </w:r>
      <w:r>
        <w:rPr>
          <w:rFonts w:hint="default" w:ascii="Times New Roman" w:hAnsi="Times New Roman" w:eastAsia="宋体" w:cs="Times New Roman"/>
          <w:color w:val="auto"/>
          <w:kern w:val="0"/>
          <w:sz w:val="24"/>
          <w:szCs w:val="24"/>
          <w:highlight w:val="none"/>
          <w:shd w:val="clear" w:color="auto" w:fill="auto"/>
          <w:lang w:val="en-US" w:eastAsia="zh-CN" w:bidi="ar"/>
        </w:rPr>
        <w:t>10</w:t>
      </w:r>
      <w:r>
        <w:rPr>
          <w:rFonts w:hint="eastAsia" w:ascii="宋体" w:hAnsi="宋体" w:eastAsia="宋体" w:cs="宋体"/>
          <w:color w:val="auto"/>
          <w:kern w:val="0"/>
          <w:sz w:val="24"/>
          <w:szCs w:val="24"/>
          <w:highlight w:val="none"/>
          <w:shd w:val="clear" w:color="auto" w:fill="auto"/>
          <w:lang w:val="en-US" w:eastAsia="zh-CN" w:bidi="ar"/>
        </w:rPr>
        <w:t>千伏）”，</w:t>
      </w:r>
      <w:r>
        <w:rPr>
          <w:rFonts w:hint="eastAsia" w:ascii="宋体" w:hAnsi="宋体" w:eastAsia="宋体" w:cs="宋体"/>
          <w:color w:val="auto"/>
          <w:kern w:val="0"/>
          <w:sz w:val="24"/>
          <w:szCs w:val="24"/>
          <w:highlight w:val="none"/>
          <w:lang w:val="en-US" w:eastAsia="zh-CN" w:bidi="ar"/>
        </w:rPr>
        <w:t>项目应编制环境影响报告表。</w:t>
      </w:r>
    </w:p>
    <w:p w14:paraId="121150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default" w:ascii="Times New Roman" w:hAnsi="Times New Roman" w:eastAsia="宋体" w:cs="Times New Roman"/>
          <w:color w:val="auto"/>
          <w:kern w:val="0"/>
          <w:sz w:val="24"/>
          <w:szCs w:val="24"/>
          <w:highlight w:val="none"/>
          <w:shd w:val="clear" w:color="auto" w:fill="auto"/>
          <w:lang w:val="en-US" w:eastAsia="zh-CN" w:bidi="ar"/>
        </w:rPr>
        <w:t>2023年</w:t>
      </w:r>
      <w:r>
        <w:rPr>
          <w:rFonts w:hint="eastAsia" w:cs="Times New Roman"/>
          <w:color w:val="auto"/>
          <w:kern w:val="0"/>
          <w:sz w:val="24"/>
          <w:szCs w:val="24"/>
          <w:highlight w:val="none"/>
          <w:shd w:val="clear" w:color="auto" w:fill="auto"/>
          <w:lang w:val="en-US" w:eastAsia="zh-CN" w:bidi="ar"/>
        </w:rPr>
        <w:t>12</w:t>
      </w:r>
      <w:r>
        <w:rPr>
          <w:rFonts w:hint="default" w:ascii="Times New Roman" w:hAnsi="Times New Roman" w:eastAsia="宋体" w:cs="Times New Roman"/>
          <w:color w:val="auto"/>
          <w:kern w:val="0"/>
          <w:sz w:val="24"/>
          <w:szCs w:val="24"/>
          <w:highlight w:val="none"/>
          <w:shd w:val="clear" w:color="auto" w:fill="auto"/>
          <w:lang w:val="en-US" w:eastAsia="zh-CN" w:bidi="ar"/>
        </w:rPr>
        <w:t>月建</w:t>
      </w:r>
      <w:r>
        <w:rPr>
          <w:rFonts w:hint="eastAsia" w:ascii="宋体" w:hAnsi="宋体" w:eastAsia="宋体" w:cs="宋体"/>
          <w:color w:val="auto"/>
          <w:kern w:val="0"/>
          <w:sz w:val="24"/>
          <w:szCs w:val="24"/>
          <w:highlight w:val="none"/>
          <w:shd w:val="clear" w:color="auto" w:fill="auto"/>
          <w:lang w:val="en-US" w:eastAsia="zh-CN" w:bidi="ar"/>
        </w:rPr>
        <w:t>设单位委托我公司（云南科环环境工程咨询有限公司）承担本项目的环境影响评价工作。接受委托后我公司对建设项目现场进行了调查和踏勘，并收集了相关资料，按照《建设项目环境影响报告表编制技术指南（生态影响类）（试行）》的要求，编制完成了《</w:t>
      </w:r>
      <w:r>
        <w:rPr>
          <w:rFonts w:hint="eastAsia" w:cs="Times New Roman"/>
          <w:color w:val="auto"/>
          <w:sz w:val="24"/>
          <w:szCs w:val="24"/>
          <w:highlight w:val="none"/>
          <w:shd w:val="clear" w:color="auto" w:fill="auto"/>
          <w:lang w:val="en-US" w:eastAsia="zh-CN"/>
        </w:rPr>
        <w:t>梳山光伏发电项目</w:t>
      </w:r>
      <w:r>
        <w:rPr>
          <w:rFonts w:hint="eastAsia" w:ascii="宋体" w:hAnsi="宋体" w:eastAsia="宋体" w:cs="宋体"/>
          <w:color w:val="auto"/>
          <w:kern w:val="0"/>
          <w:sz w:val="24"/>
          <w:szCs w:val="24"/>
          <w:highlight w:val="none"/>
          <w:shd w:val="clear" w:color="auto" w:fill="auto"/>
          <w:lang w:val="en-US" w:eastAsia="zh-CN" w:bidi="ar"/>
        </w:rPr>
        <w:t>环境影响报告表》，供建设单位上报审批部门审查。</w:t>
      </w:r>
    </w:p>
    <w:p w14:paraId="09378847">
      <w:pPr>
        <w:pStyle w:val="38"/>
        <w:shd w:val="clear"/>
        <w:adjustRightInd w:val="0"/>
        <w:snapToGrid w:val="0"/>
        <w:spacing w:before="0" w:beforeAutospacing="0" w:after="0" w:afterAutospacing="0" w:line="360" w:lineRule="auto"/>
        <w:outlineLvl w:val="0"/>
        <w:rPr>
          <w:b/>
          <w:bCs/>
          <w:snapToGrid w:val="0"/>
          <w:color w:val="auto"/>
          <w:sz w:val="24"/>
          <w:szCs w:val="24"/>
          <w:highlight w:val="none"/>
          <w:shd w:val="clear" w:color="auto" w:fill="auto"/>
        </w:rPr>
        <w:sectPr>
          <w:headerReference r:id="rId4" w:type="default"/>
          <w:footerReference r:id="rId5" w:type="default"/>
          <w:pgSz w:w="11906" w:h="16838"/>
          <w:pgMar w:top="1701" w:right="1531" w:bottom="1701" w:left="1531" w:header="851" w:footer="1077" w:gutter="0"/>
          <w:pgNumType w:fmt="decimal" w:start="1"/>
          <w:cols w:space="720" w:num="1"/>
          <w:docGrid w:linePitch="312" w:charSpace="0"/>
        </w:sectPr>
      </w:pPr>
    </w:p>
    <w:p w14:paraId="317F822E">
      <w:pPr>
        <w:pStyle w:val="38"/>
        <w:shd w:val="clear"/>
        <w:adjustRightInd w:val="0"/>
        <w:snapToGrid w:val="0"/>
        <w:spacing w:before="0" w:beforeAutospacing="0" w:after="0" w:afterAutospacing="0" w:line="360" w:lineRule="auto"/>
        <w:outlineLvl w:val="0"/>
        <w:rPr>
          <w:b/>
          <w:bCs/>
          <w:snapToGrid w:val="0"/>
          <w:color w:val="auto"/>
          <w:sz w:val="30"/>
          <w:szCs w:val="30"/>
          <w:highlight w:val="none"/>
          <w:shd w:val="clear" w:color="auto" w:fill="auto"/>
        </w:rPr>
      </w:pPr>
      <w:bookmarkStart w:id="1" w:name="_Toc12417"/>
      <w:r>
        <w:rPr>
          <w:b/>
          <w:bCs/>
          <w:snapToGrid w:val="0"/>
          <w:color w:val="auto"/>
          <w:sz w:val="30"/>
          <w:szCs w:val="30"/>
          <w:highlight w:val="none"/>
          <w:shd w:val="clear" w:color="auto" w:fill="auto"/>
        </w:rPr>
        <w:t>一、建设项目基本情况</w:t>
      </w:r>
      <w:bookmarkEnd w:id="1"/>
    </w:p>
    <w:tbl>
      <w:tblPr>
        <w:tblStyle w:val="41"/>
        <w:tblW w:w="4991"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3"/>
        <w:gridCol w:w="2248"/>
        <w:gridCol w:w="2012"/>
        <w:gridCol w:w="3061"/>
      </w:tblGrid>
      <w:tr w14:paraId="42237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4C615A0D">
            <w:pPr>
              <w:keepNext w:val="0"/>
              <w:keepLines w:val="0"/>
              <w:suppressLineNumbers w:val="0"/>
              <w:shd w:val="clear"/>
              <w:adjustRightInd w:val="0"/>
              <w:snapToGrid w:val="0"/>
              <w:spacing w:before="0" w:beforeAutospacing="0" w:after="0" w:afterAutospacing="0"/>
              <w:ind w:left="0" w:right="0"/>
              <w:jc w:val="center"/>
              <w:rPr>
                <w:rFonts w:hint="eastAsia"/>
                <w:color w:val="auto"/>
                <w:sz w:val="24"/>
                <w:szCs w:val="24"/>
                <w:highlight w:val="none"/>
                <w:shd w:val="clear" w:color="auto" w:fill="auto"/>
              </w:rPr>
            </w:pPr>
            <w:r>
              <w:rPr>
                <w:rFonts w:hint="eastAsia"/>
                <w:color w:val="auto"/>
                <w:sz w:val="24"/>
                <w:szCs w:val="24"/>
                <w:highlight w:val="none"/>
                <w:shd w:val="clear" w:color="auto" w:fill="auto"/>
              </w:rPr>
              <w:t>建设项目名称</w:t>
            </w:r>
          </w:p>
        </w:tc>
        <w:tc>
          <w:tcPr>
            <w:tcW w:w="4133" w:type="pct"/>
            <w:gridSpan w:val="3"/>
            <w:vAlign w:val="center"/>
          </w:tcPr>
          <w:p w14:paraId="4B7F07B9">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cs="Times New Roman"/>
                <w:color w:val="auto"/>
                <w:sz w:val="24"/>
                <w:szCs w:val="24"/>
                <w:highlight w:val="none"/>
                <w:shd w:val="clear" w:color="auto" w:fill="auto"/>
                <w:lang w:val="en-US" w:eastAsia="zh-CN"/>
              </w:rPr>
              <w:t>梳山光伏发电项目</w:t>
            </w:r>
          </w:p>
        </w:tc>
      </w:tr>
      <w:tr w14:paraId="29CD9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C3EB00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项目代码</w:t>
            </w:r>
          </w:p>
        </w:tc>
        <w:tc>
          <w:tcPr>
            <w:tcW w:w="4133" w:type="pct"/>
            <w:gridSpan w:val="3"/>
            <w:vAlign w:val="center"/>
          </w:tcPr>
          <w:p w14:paraId="0ACD43C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lang w:val="en-US"/>
              </w:rPr>
            </w:pPr>
            <w:r>
              <w:rPr>
                <w:rFonts w:hint="eastAsia"/>
                <w:color w:val="auto"/>
                <w:sz w:val="24"/>
                <w:szCs w:val="24"/>
                <w:highlight w:val="none"/>
                <w:shd w:val="clear" w:color="auto" w:fill="auto"/>
                <w:lang w:val="en-US" w:eastAsia="zh-CN"/>
              </w:rPr>
              <w:t>2309-530129-04-05-946808</w:t>
            </w:r>
          </w:p>
        </w:tc>
      </w:tr>
      <w:tr w14:paraId="3D735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66" w:type="pct"/>
            <w:tcMar>
              <w:top w:w="16" w:type="dxa"/>
              <w:left w:w="16" w:type="dxa"/>
              <w:right w:w="16" w:type="dxa"/>
            </w:tcMar>
            <w:vAlign w:val="center"/>
          </w:tcPr>
          <w:p w14:paraId="798EF998">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建设单位联系人</w:t>
            </w:r>
          </w:p>
        </w:tc>
        <w:tc>
          <w:tcPr>
            <w:tcW w:w="1269" w:type="pct"/>
            <w:vAlign w:val="center"/>
          </w:tcPr>
          <w:p w14:paraId="761305AD">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color w:val="auto"/>
                <w:kern w:val="2"/>
                <w:sz w:val="24"/>
                <w:szCs w:val="24"/>
                <w:highlight w:val="none"/>
                <w:lang w:val="en-US" w:eastAsia="zh-CN" w:bidi="ar-SA"/>
              </w:rPr>
            </w:pPr>
          </w:p>
        </w:tc>
        <w:tc>
          <w:tcPr>
            <w:tcW w:w="1136" w:type="pct"/>
            <w:vAlign w:val="center"/>
          </w:tcPr>
          <w:p w14:paraId="236E1F21">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联系方式</w:t>
            </w:r>
          </w:p>
        </w:tc>
        <w:tc>
          <w:tcPr>
            <w:tcW w:w="1728" w:type="pct"/>
            <w:vAlign w:val="center"/>
          </w:tcPr>
          <w:p w14:paraId="61274CA4">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lang w:val="en-US" w:eastAsia="zh-CN" w:bidi="ar-SA"/>
              </w:rPr>
            </w:pPr>
          </w:p>
        </w:tc>
      </w:tr>
      <w:tr w14:paraId="4F377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4" w:hRule="atLeast"/>
        </w:trPr>
        <w:tc>
          <w:tcPr>
            <w:tcW w:w="866" w:type="pct"/>
            <w:tcMar>
              <w:top w:w="16" w:type="dxa"/>
              <w:left w:w="16" w:type="dxa"/>
              <w:right w:w="16" w:type="dxa"/>
            </w:tcMar>
            <w:vAlign w:val="center"/>
          </w:tcPr>
          <w:p w14:paraId="73E13A2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建设地点</w:t>
            </w:r>
          </w:p>
        </w:tc>
        <w:tc>
          <w:tcPr>
            <w:tcW w:w="4133" w:type="pct"/>
            <w:gridSpan w:val="3"/>
            <w:vAlign w:val="center"/>
          </w:tcPr>
          <w:p w14:paraId="4176E2B9">
            <w:pPr>
              <w:keepNext w:val="0"/>
              <w:keepLines w:val="0"/>
              <w:widowControl/>
              <w:suppressLineNumbers w:val="0"/>
              <w:shd w:val="clear"/>
              <w:spacing w:before="0" w:beforeAutospacing="0" w:after="0" w:afterAutospacing="0"/>
              <w:ind w:left="0" w:right="0"/>
              <w:jc w:val="center"/>
              <w:rPr>
                <w:rFonts w:hint="default"/>
                <w:color w:val="auto"/>
                <w:sz w:val="24"/>
                <w:szCs w:val="24"/>
                <w:highlight w:val="none"/>
                <w:shd w:val="clear" w:color="auto" w:fill="auto"/>
                <w:lang w:val="en-US"/>
              </w:rPr>
            </w:pPr>
            <w:r>
              <w:rPr>
                <w:rFonts w:hint="eastAsia" w:ascii="宋体" w:hAnsi="宋体" w:cs="宋体"/>
                <w:color w:val="auto"/>
                <w:kern w:val="0"/>
                <w:sz w:val="24"/>
                <w:szCs w:val="24"/>
                <w:highlight w:val="none"/>
                <w:lang w:val="en-US" w:eastAsia="zh-CN" w:bidi="ar"/>
              </w:rPr>
              <w:t>云南省昆明市寻甸回族彝族自治县河口镇境内</w:t>
            </w:r>
          </w:p>
        </w:tc>
      </w:tr>
      <w:tr w14:paraId="3D8A1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785EEA37">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地理坐标</w:t>
            </w:r>
          </w:p>
        </w:tc>
        <w:tc>
          <w:tcPr>
            <w:tcW w:w="4133" w:type="pct"/>
            <w:gridSpan w:val="3"/>
            <w:vAlign w:val="center"/>
          </w:tcPr>
          <w:p w14:paraId="3496E998">
            <w:pPr>
              <w:keepNext w:val="0"/>
              <w:keepLines w:val="0"/>
              <w:suppressLineNumbers w:val="0"/>
              <w:adjustRightInd w:val="0"/>
              <w:snapToGrid w:val="0"/>
              <w:spacing w:before="0" w:beforeAutospacing="0" w:after="0" w:afterAutospacing="0"/>
              <w:ind w:left="0" w:right="0"/>
              <w:jc w:val="center"/>
              <w:rPr>
                <w:rFonts w:hint="default" w:eastAsia="宋体"/>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中心坐标：东经103°27′20.819″，北纬25°44′38.869″</w:t>
            </w:r>
          </w:p>
        </w:tc>
      </w:tr>
      <w:tr w14:paraId="5D554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866" w:type="pct"/>
            <w:tcMar>
              <w:top w:w="16" w:type="dxa"/>
              <w:left w:w="16" w:type="dxa"/>
              <w:right w:w="16" w:type="dxa"/>
            </w:tcMar>
            <w:vAlign w:val="center"/>
          </w:tcPr>
          <w:p w14:paraId="7D89FA16">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建设项目</w:t>
            </w:r>
          </w:p>
          <w:p w14:paraId="52A0C8AD">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行业类别</w:t>
            </w:r>
          </w:p>
        </w:tc>
        <w:tc>
          <w:tcPr>
            <w:tcW w:w="1269" w:type="pct"/>
            <w:vAlign w:val="center"/>
          </w:tcPr>
          <w:p w14:paraId="26C97392">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41-0</w:t>
            </w:r>
            <w:r>
              <w:rPr>
                <w:rFonts w:hint="default"/>
                <w:color w:val="auto"/>
                <w:sz w:val="24"/>
                <w:szCs w:val="24"/>
                <w:highlight w:val="none"/>
                <w:shd w:val="clear" w:color="auto" w:fill="auto"/>
              </w:rPr>
              <w:t>90</w:t>
            </w:r>
            <w:r>
              <w:rPr>
                <w:rFonts w:hint="eastAsia"/>
                <w:color w:val="auto"/>
                <w:sz w:val="24"/>
                <w:szCs w:val="24"/>
                <w:highlight w:val="none"/>
                <w:shd w:val="clear" w:color="auto" w:fill="auto"/>
              </w:rPr>
              <w:t>太阳能发电</w:t>
            </w:r>
          </w:p>
          <w:p w14:paraId="3DCAB4CA">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eastAsia"/>
                <w:color w:val="auto"/>
                <w:sz w:val="24"/>
                <w:szCs w:val="24"/>
                <w:highlight w:val="none"/>
                <w:shd w:val="clear" w:color="auto" w:fill="auto"/>
              </w:rPr>
              <w:t>地面集中光伏电站</w:t>
            </w:r>
          </w:p>
        </w:tc>
        <w:tc>
          <w:tcPr>
            <w:tcW w:w="1136" w:type="pct"/>
            <w:vAlign w:val="center"/>
          </w:tcPr>
          <w:p w14:paraId="3D097DEC">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用地面积（m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w:t>
            </w:r>
          </w:p>
        </w:tc>
        <w:tc>
          <w:tcPr>
            <w:tcW w:w="1728" w:type="pct"/>
            <w:vAlign w:val="center"/>
          </w:tcPr>
          <w:p w14:paraId="26DF2A5F">
            <w:pPr>
              <w:keepNext w:val="0"/>
              <w:keepLines w:val="0"/>
              <w:suppressLineNumbers w:val="0"/>
              <w:shd w:val="clear"/>
              <w:adjustRightInd w:val="0"/>
              <w:snapToGrid w:val="0"/>
              <w:spacing w:before="0" w:beforeAutospacing="0" w:after="0" w:afterAutospacing="0"/>
              <w:ind w:left="0" w:right="0"/>
              <w:jc w:val="center"/>
              <w:rPr>
                <w:rFonts w:hint="eastAsia" w:eastAsia="宋体"/>
                <w:color w:val="auto"/>
                <w:sz w:val="24"/>
                <w:szCs w:val="24"/>
                <w:highlight w:val="none"/>
                <w:shd w:val="clear" w:color="auto" w:fill="auto"/>
                <w:lang w:eastAsia="zh-CN"/>
              </w:rPr>
            </w:pPr>
            <w:r>
              <w:rPr>
                <w:rFonts w:hint="eastAsia" w:cs="Times New Roman"/>
                <w:color w:val="auto"/>
                <w:sz w:val="24"/>
                <w:szCs w:val="24"/>
                <w:highlight w:val="none"/>
                <w:lang w:val="en-US" w:eastAsia="zh-CN"/>
              </w:rPr>
              <w:t>69.76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其中永久占地</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0.05</w:t>
            </w:r>
            <w:r>
              <w:rPr>
                <w:rFonts w:hint="default" w:ascii="Times New Roman" w:hAnsi="Times New Roman" w:eastAsia="宋体" w:cs="Times New Roman"/>
                <w:color w:val="auto"/>
                <w:sz w:val="24"/>
                <w:szCs w:val="24"/>
                <w:highlight w:val="none"/>
                <w:lang w:val="en-US" w:eastAsia="zh-CN"/>
              </w:rPr>
              <w:t>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；临时占地：</w:t>
            </w:r>
            <w:r>
              <w:rPr>
                <w:rFonts w:hint="eastAsia" w:cs="Times New Roman"/>
                <w:color w:val="auto"/>
                <w:sz w:val="24"/>
                <w:szCs w:val="24"/>
                <w:highlight w:val="none"/>
                <w:lang w:val="en-US" w:eastAsia="zh-CN"/>
              </w:rPr>
              <w:t>69.71</w:t>
            </w:r>
            <w:r>
              <w:rPr>
                <w:rFonts w:hint="default" w:ascii="Times New Roman" w:hAnsi="Times New Roman" w:eastAsia="宋体" w:cs="Times New Roman"/>
                <w:color w:val="auto"/>
                <w:sz w:val="24"/>
                <w:szCs w:val="24"/>
                <w:highlight w:val="none"/>
                <w:lang w:val="en-US" w:eastAsia="zh-CN"/>
              </w:rPr>
              <w:t>hm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tc>
      </w:tr>
      <w:tr w14:paraId="4C58A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66" w:type="pct"/>
            <w:tcMar>
              <w:top w:w="16" w:type="dxa"/>
              <w:left w:w="16" w:type="dxa"/>
              <w:right w:w="16" w:type="dxa"/>
            </w:tcMar>
            <w:vAlign w:val="center"/>
          </w:tcPr>
          <w:p w14:paraId="17367E01">
            <w:pPr>
              <w:keepNext w:val="0"/>
              <w:keepLines w:val="0"/>
              <w:suppressLineNumbers w:val="0"/>
              <w:shd w:val="clear"/>
              <w:adjustRightInd w:val="0"/>
              <w:snapToGrid w:val="0"/>
              <w:spacing w:before="0" w:beforeAutospacing="0" w:after="0" w:afterAutospacing="0"/>
              <w:ind w:left="0" w:right="0"/>
              <w:jc w:val="center"/>
              <w:rPr>
                <w:rFonts w:hint="default"/>
                <w:color w:val="auto"/>
                <w:sz w:val="24"/>
                <w:szCs w:val="24"/>
                <w:highlight w:val="none"/>
                <w:shd w:val="clear" w:color="auto" w:fill="auto"/>
              </w:rPr>
            </w:pPr>
            <w:r>
              <w:rPr>
                <w:rFonts w:hint="default"/>
                <w:color w:val="auto"/>
                <w:sz w:val="24"/>
                <w:szCs w:val="24"/>
                <w:highlight w:val="none"/>
                <w:shd w:val="clear" w:color="auto" w:fill="auto"/>
              </w:rPr>
              <w:t>建设性质</w:t>
            </w:r>
          </w:p>
        </w:tc>
        <w:tc>
          <w:tcPr>
            <w:tcW w:w="1269" w:type="pct"/>
            <w:vAlign w:val="center"/>
          </w:tcPr>
          <w:p w14:paraId="666D5D0E">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highlight w:val="none"/>
                <w:shd w:val="clear" w:color="auto" w:fill="auto"/>
                <w:lang w:eastAsia="zh-CN"/>
              </w:rPr>
              <w:t>☑</w:t>
            </w:r>
            <w:r>
              <w:rPr>
                <w:rFonts w:hint="default"/>
                <w:color w:val="auto"/>
                <w:sz w:val="24"/>
                <w:szCs w:val="24"/>
                <w:highlight w:val="none"/>
                <w:shd w:val="clear" w:color="auto" w:fill="auto"/>
              </w:rPr>
              <w:t>新建</w:t>
            </w:r>
          </w:p>
          <w:p w14:paraId="15C9E3F0">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改建</w:t>
            </w:r>
          </w:p>
          <w:p w14:paraId="638B5A29">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扩建</w:t>
            </w:r>
          </w:p>
          <w:p w14:paraId="25C91BD5">
            <w:pPr>
              <w:keepNext w:val="0"/>
              <w:keepLines w:val="0"/>
              <w:suppressLineNumbers w:val="0"/>
              <w:shd w:val="clear"/>
              <w:adjustRightInd w:val="0"/>
              <w:snapToGrid w:val="0"/>
              <w:spacing w:before="0" w:beforeAutospacing="0" w:after="0" w:afterAutospacing="0"/>
              <w:ind w:left="0" w:right="0"/>
              <w:jc w:val="left"/>
              <w:rPr>
                <w:rFonts w:hint="default"/>
                <w:color w:val="auto"/>
                <w:sz w:val="24"/>
                <w:szCs w:val="24"/>
                <w:highlight w:val="none"/>
                <w:shd w:val="clear" w:color="auto" w:fill="auto"/>
              </w:rPr>
            </w:pP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技术改造</w:t>
            </w:r>
          </w:p>
        </w:tc>
        <w:tc>
          <w:tcPr>
            <w:tcW w:w="1136" w:type="pct"/>
            <w:vAlign w:val="center"/>
          </w:tcPr>
          <w:p w14:paraId="6C01FB2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建设项目</w:t>
            </w:r>
          </w:p>
          <w:p w14:paraId="44BE0FE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申报情形</w:t>
            </w:r>
          </w:p>
        </w:tc>
        <w:tc>
          <w:tcPr>
            <w:tcW w:w="1728" w:type="pct"/>
            <w:vAlign w:val="center"/>
          </w:tcPr>
          <w:p w14:paraId="4A6F0D87">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首次申报项目</w:t>
            </w:r>
          </w:p>
          <w:p w14:paraId="247AF98D">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不予批准后再次申报项目</w:t>
            </w:r>
          </w:p>
          <w:p w14:paraId="67F9ED54">
            <w:pPr>
              <w:keepNext w:val="0"/>
              <w:keepLines w:val="0"/>
              <w:suppressLineNumbers w:val="0"/>
              <w:shd w:val="clear"/>
              <w:adjustRightInd w:val="0"/>
              <w:snapToGrid w:val="0"/>
              <w:spacing w:before="0" w:beforeAutospacing="0" w:after="0" w:afterAutospacing="0"/>
              <w:ind w:left="0" w:right="0"/>
              <w:jc w:val="left"/>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超五年重新审核项目</w:t>
            </w:r>
          </w:p>
          <w:p w14:paraId="58EB2789">
            <w:pPr>
              <w:keepNext w:val="0"/>
              <w:keepLines w:val="0"/>
              <w:suppressLineNumbers w:val="0"/>
              <w:shd w:val="clear"/>
              <w:adjustRightInd w:val="0"/>
              <w:snapToGrid w:val="0"/>
              <w:spacing w:before="0" w:beforeAutospacing="0" w:after="0" w:afterAutospacing="0"/>
              <w:ind w:left="0" w:right="0"/>
              <w:rPr>
                <w:rFonts w:hint="default"/>
                <w:color w:val="auto"/>
                <w:sz w:val="24"/>
                <w:highlight w:val="none"/>
                <w:shd w:val="clear" w:color="auto" w:fill="auto"/>
              </w:rPr>
            </w:pPr>
            <w:r>
              <w:rPr>
                <w:rFonts w:hint="eastAsia"/>
                <w:color w:val="auto"/>
                <w:sz w:val="24"/>
                <w:highlight w:val="none"/>
                <w:shd w:val="clear" w:color="auto" w:fill="auto"/>
                <w:lang w:eastAsia="zh-CN"/>
              </w:rPr>
              <w:t>□</w:t>
            </w:r>
            <w:r>
              <w:rPr>
                <w:rFonts w:hint="default"/>
                <w:color w:val="auto"/>
                <w:sz w:val="24"/>
                <w:highlight w:val="none"/>
                <w:shd w:val="clear" w:color="auto" w:fill="auto"/>
              </w:rPr>
              <w:t>重大变动重新报批项目</w:t>
            </w:r>
          </w:p>
        </w:tc>
      </w:tr>
      <w:tr w14:paraId="7C445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66" w:type="pct"/>
            <w:tcMar>
              <w:top w:w="16" w:type="dxa"/>
              <w:left w:w="16" w:type="dxa"/>
              <w:right w:w="16" w:type="dxa"/>
            </w:tcMar>
            <w:vAlign w:val="center"/>
          </w:tcPr>
          <w:p w14:paraId="3F4927C2">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项目审批（核准/备案）部门（选填）</w:t>
            </w:r>
          </w:p>
        </w:tc>
        <w:tc>
          <w:tcPr>
            <w:tcW w:w="1269" w:type="pct"/>
            <w:vAlign w:val="center"/>
          </w:tcPr>
          <w:p w14:paraId="10C8E30D">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cs="Times New Roman"/>
                <w:color w:val="auto"/>
                <w:sz w:val="24"/>
                <w:highlight w:val="none"/>
                <w:lang w:val="en-US" w:eastAsia="zh-CN"/>
              </w:rPr>
              <w:t>寻甸回族彝族自治县发展和改革局</w:t>
            </w:r>
          </w:p>
        </w:tc>
        <w:tc>
          <w:tcPr>
            <w:tcW w:w="1136" w:type="pct"/>
            <w:vAlign w:val="center"/>
          </w:tcPr>
          <w:p w14:paraId="252A64EA">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项目审批（核准/</w:t>
            </w:r>
          </w:p>
          <w:p w14:paraId="11E5F863">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备案）文号（选填）</w:t>
            </w:r>
          </w:p>
        </w:tc>
        <w:tc>
          <w:tcPr>
            <w:tcW w:w="1728" w:type="pct"/>
            <w:vAlign w:val="center"/>
          </w:tcPr>
          <w:p w14:paraId="0422D40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lang w:val="en-US"/>
              </w:rPr>
            </w:pPr>
            <w:r>
              <w:rPr>
                <w:rFonts w:hint="eastAsia"/>
                <w:color w:val="auto"/>
                <w:sz w:val="24"/>
                <w:szCs w:val="24"/>
                <w:highlight w:val="none"/>
                <w:shd w:val="clear" w:color="auto" w:fill="auto"/>
                <w:lang w:val="en-US" w:eastAsia="zh-CN"/>
              </w:rPr>
              <w:t>2309-530129-04-05-946808</w:t>
            </w:r>
          </w:p>
        </w:tc>
      </w:tr>
      <w:tr w14:paraId="55282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866" w:type="pct"/>
            <w:tcMar>
              <w:top w:w="16" w:type="dxa"/>
              <w:left w:w="16" w:type="dxa"/>
              <w:right w:w="16" w:type="dxa"/>
            </w:tcMar>
            <w:vAlign w:val="center"/>
          </w:tcPr>
          <w:p w14:paraId="4934A2CB">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总投资（万元）</w:t>
            </w:r>
          </w:p>
        </w:tc>
        <w:tc>
          <w:tcPr>
            <w:tcW w:w="1269" w:type="pct"/>
            <w:vAlign w:val="center"/>
          </w:tcPr>
          <w:p w14:paraId="053A9C86">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21400</w:t>
            </w:r>
          </w:p>
        </w:tc>
        <w:tc>
          <w:tcPr>
            <w:tcW w:w="1136" w:type="pct"/>
            <w:tcMar>
              <w:top w:w="16" w:type="dxa"/>
              <w:left w:w="16" w:type="dxa"/>
              <w:right w:w="16" w:type="dxa"/>
            </w:tcMar>
            <w:vAlign w:val="center"/>
          </w:tcPr>
          <w:p w14:paraId="5A28A1DF">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环保投资（万元）</w:t>
            </w:r>
          </w:p>
        </w:tc>
        <w:tc>
          <w:tcPr>
            <w:tcW w:w="1728" w:type="pct"/>
            <w:vAlign w:val="center"/>
          </w:tcPr>
          <w:p w14:paraId="048C2C8C">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95</w:t>
            </w:r>
          </w:p>
        </w:tc>
      </w:tr>
      <w:tr w14:paraId="58957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866" w:type="pct"/>
            <w:tcMar>
              <w:top w:w="16" w:type="dxa"/>
              <w:left w:w="16" w:type="dxa"/>
              <w:right w:w="16" w:type="dxa"/>
            </w:tcMar>
            <w:vAlign w:val="center"/>
          </w:tcPr>
          <w:p w14:paraId="676C029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环保投资占比（%）</w:t>
            </w:r>
          </w:p>
        </w:tc>
        <w:tc>
          <w:tcPr>
            <w:tcW w:w="1269" w:type="pct"/>
            <w:vAlign w:val="center"/>
          </w:tcPr>
          <w:p w14:paraId="690A6980">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0.44</w:t>
            </w:r>
          </w:p>
        </w:tc>
        <w:tc>
          <w:tcPr>
            <w:tcW w:w="1136" w:type="pct"/>
            <w:tcMar>
              <w:top w:w="16" w:type="dxa"/>
              <w:left w:w="16" w:type="dxa"/>
              <w:right w:w="16" w:type="dxa"/>
            </w:tcMar>
            <w:vAlign w:val="center"/>
          </w:tcPr>
          <w:p w14:paraId="766A6108">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施工工期</w:t>
            </w:r>
          </w:p>
        </w:tc>
        <w:tc>
          <w:tcPr>
            <w:tcW w:w="1728" w:type="pct"/>
            <w:vAlign w:val="center"/>
          </w:tcPr>
          <w:p w14:paraId="65131CFA">
            <w:pPr>
              <w:keepNext w:val="0"/>
              <w:keepLines w:val="0"/>
              <w:suppressLineNumbers w:val="0"/>
              <w:shd w:val="clear"/>
              <w:adjustRightInd w:val="0"/>
              <w:snapToGrid w:val="0"/>
              <w:spacing w:before="0" w:beforeAutospacing="0" w:after="0" w:afterAutospacing="0"/>
              <w:ind w:left="0" w:right="0"/>
              <w:jc w:val="center"/>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8个月</w:t>
            </w:r>
          </w:p>
        </w:tc>
      </w:tr>
      <w:tr w14:paraId="73F3C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866" w:type="pct"/>
            <w:tcMar>
              <w:top w:w="16" w:type="dxa"/>
              <w:left w:w="16" w:type="dxa"/>
              <w:right w:w="16" w:type="dxa"/>
            </w:tcMar>
            <w:vAlign w:val="center"/>
          </w:tcPr>
          <w:p w14:paraId="66812184">
            <w:pPr>
              <w:keepNext w:val="0"/>
              <w:keepLines w:val="0"/>
              <w:suppressLineNumbers w:val="0"/>
              <w:shd w:val="clear"/>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是否开工建设</w:t>
            </w:r>
          </w:p>
        </w:tc>
        <w:tc>
          <w:tcPr>
            <w:tcW w:w="4133" w:type="pct"/>
            <w:gridSpan w:val="3"/>
            <w:vAlign w:val="center"/>
          </w:tcPr>
          <w:p w14:paraId="23F5AF11">
            <w:pPr>
              <w:keepNext w:val="0"/>
              <w:keepLines w:val="0"/>
              <w:suppressLineNumbers w:val="0"/>
              <w:shd w:val="clear"/>
              <w:adjustRightInd w:val="0"/>
              <w:snapToGrid w:val="0"/>
              <w:spacing w:before="0" w:beforeAutospacing="0" w:after="0" w:afterAutospacing="0"/>
              <w:ind w:left="0" w:right="0" w:firstLine="105"/>
              <w:jc w:val="left"/>
              <w:rPr>
                <w:rFonts w:hint="default"/>
                <w:color w:val="auto"/>
                <w:sz w:val="24"/>
                <w:highlight w:val="none"/>
                <w:shd w:val="clear" w:color="auto" w:fill="auto"/>
              </w:rPr>
            </w:pPr>
            <w:r>
              <w:rPr>
                <w:rFonts w:hint="eastAsia" w:ascii="仿宋" w:hAnsi="仿宋" w:eastAsia="仿宋"/>
                <w:color w:val="auto"/>
                <w:sz w:val="18"/>
                <w:szCs w:val="18"/>
                <w:highlight w:val="none"/>
                <w:shd w:val="clear" w:color="auto" w:fill="auto"/>
              </w:rPr>
              <w:t>■</w:t>
            </w:r>
            <w:r>
              <w:rPr>
                <w:rFonts w:hint="default"/>
                <w:color w:val="auto"/>
                <w:sz w:val="24"/>
                <w:highlight w:val="none"/>
                <w:shd w:val="clear" w:color="auto" w:fill="auto"/>
              </w:rPr>
              <w:t>否</w:t>
            </w:r>
          </w:p>
          <w:p w14:paraId="4912B873">
            <w:pPr>
              <w:keepNext w:val="0"/>
              <w:keepLines w:val="0"/>
              <w:suppressLineNumbers w:val="0"/>
              <w:shd w:val="clear"/>
              <w:adjustRightInd w:val="0"/>
              <w:snapToGrid w:val="0"/>
              <w:spacing w:before="0" w:beforeAutospacing="0" w:after="0" w:afterAutospacing="0"/>
              <w:ind w:left="0" w:right="0" w:firstLine="92"/>
              <w:jc w:val="left"/>
              <w:rPr>
                <w:rFonts w:hint="default"/>
                <w:color w:val="auto"/>
                <w:sz w:val="24"/>
                <w:highlight w:val="none"/>
                <w:shd w:val="clear" w:color="auto" w:fill="auto"/>
              </w:rPr>
            </w:pPr>
            <w:r>
              <w:rPr>
                <w:rFonts w:hint="default"/>
                <w:color w:val="auto"/>
                <w:sz w:val="24"/>
                <w:highlight w:val="none"/>
                <w:shd w:val="clear" w:color="auto" w:fill="auto"/>
              </w:rPr>
              <w:t>□是：</w:t>
            </w:r>
            <w:r>
              <w:rPr>
                <w:rFonts w:hint="default"/>
                <w:color w:val="auto"/>
                <w:sz w:val="24"/>
                <w:highlight w:val="none"/>
                <w:u w:val="single"/>
                <w:shd w:val="clear" w:color="auto" w:fill="auto"/>
              </w:rPr>
              <w:t xml:space="preserve">                             </w:t>
            </w:r>
          </w:p>
        </w:tc>
      </w:tr>
      <w:tr w14:paraId="0BFFF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866" w:type="pct"/>
            <w:tcMar>
              <w:top w:w="16" w:type="dxa"/>
              <w:left w:w="16" w:type="dxa"/>
              <w:right w:w="16" w:type="dxa"/>
            </w:tcMar>
            <w:vAlign w:val="center"/>
          </w:tcPr>
          <w:p w14:paraId="508DAD49">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sz w:val="24"/>
                <w:highlight w:val="none"/>
                <w:shd w:val="clear" w:color="auto" w:fill="auto"/>
              </w:rPr>
            </w:pPr>
            <w:r>
              <w:rPr>
                <w:rFonts w:hint="default"/>
                <w:color w:val="auto"/>
                <w:sz w:val="24"/>
                <w:highlight w:val="none"/>
                <w:shd w:val="clear" w:color="auto" w:fill="auto"/>
              </w:rPr>
              <w:t>专项评价设置情况</w:t>
            </w:r>
          </w:p>
        </w:tc>
        <w:tc>
          <w:tcPr>
            <w:tcW w:w="4133" w:type="pct"/>
            <w:gridSpan w:val="3"/>
            <w:tcMar>
              <w:top w:w="16" w:type="dxa"/>
              <w:left w:w="16" w:type="dxa"/>
              <w:right w:w="16" w:type="dxa"/>
            </w:tcMar>
            <w:vAlign w:val="center"/>
          </w:tcPr>
          <w:p w14:paraId="1E9AF53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项目专项评价设置原则见表1-1。</w:t>
            </w:r>
          </w:p>
          <w:p w14:paraId="606EACCE">
            <w:pPr>
              <w:pStyle w:val="22"/>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表1-1专项评价设置原则表</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619"/>
              <w:gridCol w:w="1579"/>
              <w:gridCol w:w="1010"/>
            </w:tblGrid>
            <w:tr w14:paraId="7C1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3CF7129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专项评价的类别</w:t>
                  </w:r>
                </w:p>
              </w:tc>
              <w:tc>
                <w:tcPr>
                  <w:tcW w:w="2486" w:type="pct"/>
                  <w:noWrap w:val="0"/>
                  <w:vAlign w:val="center"/>
                </w:tcPr>
                <w:p w14:paraId="76CBD51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涉及项目类别</w:t>
                  </w:r>
                </w:p>
              </w:tc>
              <w:tc>
                <w:tcPr>
                  <w:tcW w:w="1085" w:type="pct"/>
                  <w:noWrap w:val="0"/>
                  <w:vAlign w:val="center"/>
                </w:tcPr>
                <w:p w14:paraId="542B644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694" w:type="pct"/>
                  <w:noWrap w:val="0"/>
                  <w:vAlign w:val="center"/>
                </w:tcPr>
                <w:p w14:paraId="154770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是否设置专项</w:t>
                  </w:r>
                </w:p>
              </w:tc>
            </w:tr>
            <w:tr w14:paraId="075F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6F59C7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486" w:type="pct"/>
                  <w:noWrap w:val="0"/>
                  <w:vAlign w:val="center"/>
                </w:tcPr>
                <w:p w14:paraId="05A5A3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085" w:type="pct"/>
                  <w:noWrap w:val="0"/>
                  <w:vAlign w:val="center"/>
                </w:tcPr>
                <w:p w14:paraId="19ABB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项目属于光伏发电项目，不涉及需做地表水专项的内容。</w:t>
                  </w:r>
                </w:p>
              </w:tc>
              <w:tc>
                <w:tcPr>
                  <w:tcW w:w="694" w:type="pct"/>
                  <w:noWrap w:val="0"/>
                  <w:vAlign w:val="center"/>
                </w:tcPr>
                <w:p w14:paraId="20537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3D3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5561FC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2486" w:type="pct"/>
                  <w:noWrap w:val="0"/>
                  <w:vAlign w:val="center"/>
                </w:tcPr>
                <w:p w14:paraId="0ABA14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陆地石油和天然气开采：全部；地下水（含矿泉水）开采：全部；水利、水电、交通等：含穿越可溶岩地层隧道的项目。</w:t>
                  </w:r>
                </w:p>
              </w:tc>
              <w:tc>
                <w:tcPr>
                  <w:tcW w:w="1085" w:type="pct"/>
                  <w:noWrap w:val="0"/>
                  <w:vAlign w:val="center"/>
                </w:tcPr>
                <w:p w14:paraId="7AC1F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项目属于光伏发电项目，不涉及需做地下水专项的内容。</w:t>
                  </w:r>
                </w:p>
              </w:tc>
              <w:tc>
                <w:tcPr>
                  <w:tcW w:w="694" w:type="pct"/>
                  <w:noWrap w:val="0"/>
                  <w:vAlign w:val="center"/>
                </w:tcPr>
                <w:p w14:paraId="301864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2D15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1B2786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2486" w:type="pct"/>
                  <w:noWrap w:val="0"/>
                  <w:vAlign w:val="center"/>
                </w:tcPr>
                <w:p w14:paraId="43AE01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涉及环境敏感区（不包括饮用水水源保护区，以居住、医疗卫生、文化教育、科研、行政办公为主要功能的区域，以及文物保护单位）的项目。</w:t>
                  </w:r>
                </w:p>
              </w:tc>
              <w:tc>
                <w:tcPr>
                  <w:tcW w:w="1085" w:type="pct"/>
                  <w:noWrap w:val="0"/>
                  <w:vAlign w:val="center"/>
                </w:tcPr>
                <w:p w14:paraId="2D9656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项目不涉及自然保护区、风景名胜区、世界文化和自然遗产地、海洋特别保护区，不涉及已批复的国家公园</w:t>
                  </w:r>
                </w:p>
              </w:tc>
              <w:tc>
                <w:tcPr>
                  <w:tcW w:w="694" w:type="pct"/>
                  <w:noWrap w:val="0"/>
                  <w:vAlign w:val="center"/>
                </w:tcPr>
                <w:p w14:paraId="7EEA34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6A2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590741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2486" w:type="pct"/>
                  <w:noWrap w:val="0"/>
                  <w:vAlign w:val="center"/>
                </w:tcPr>
                <w:p w14:paraId="1C20C3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油气、液体化工码头：全部；干散货（含煤炭、矿石）、件杂、多用途、通用码头：涉及粉尘、挥发性有机物排放的项目。</w:t>
                  </w:r>
                </w:p>
              </w:tc>
              <w:tc>
                <w:tcPr>
                  <w:tcW w:w="1085" w:type="pct"/>
                  <w:noWrap w:val="0"/>
                  <w:vAlign w:val="center"/>
                </w:tcPr>
                <w:p w14:paraId="73D2C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项目属于光伏发电项目，不涉及需做大气专项的内容。</w:t>
                  </w:r>
                </w:p>
              </w:tc>
              <w:tc>
                <w:tcPr>
                  <w:tcW w:w="694" w:type="pct"/>
                  <w:noWrap w:val="0"/>
                  <w:vAlign w:val="center"/>
                </w:tcPr>
                <w:p w14:paraId="7BD2B3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2260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2EE717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486" w:type="pct"/>
                  <w:noWrap w:val="0"/>
                  <w:vAlign w:val="center"/>
                </w:tcPr>
                <w:p w14:paraId="3E3D71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公路、铁路、机场等交通运输业涉及环境敏感区（以居住、医疗卫生、文化教育、科研、行政办公为主要功能的区域）的项目。城市道路（不含维护，不含支路、人行天桥、人行地道）：全部。</w:t>
                  </w:r>
                </w:p>
              </w:tc>
              <w:tc>
                <w:tcPr>
                  <w:tcW w:w="1085" w:type="pct"/>
                  <w:noWrap w:val="0"/>
                  <w:vAlign w:val="center"/>
                </w:tcPr>
                <w:p w14:paraId="1A5F04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项目属于光伏发电项目，不涉及需做噪声专项的内容。</w:t>
                  </w:r>
                </w:p>
              </w:tc>
              <w:tc>
                <w:tcPr>
                  <w:tcW w:w="694" w:type="pct"/>
                  <w:noWrap w:val="0"/>
                  <w:vAlign w:val="center"/>
                </w:tcPr>
                <w:p w14:paraId="04ED3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762B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39923F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14:paraId="20736C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w:t>
                  </w:r>
                </w:p>
              </w:tc>
              <w:tc>
                <w:tcPr>
                  <w:tcW w:w="2486" w:type="pct"/>
                  <w:noWrap w:val="0"/>
                  <w:vAlign w:val="center"/>
                </w:tcPr>
                <w:p w14:paraId="57D44D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石油和天然气开采：全部；油气、液体化工码头：全部；原油、成品油、天然气管线（不含城镇天然气管线、企业厂区内管线），危险化学品输送管线（不含企业厂区内管线）：全部。</w:t>
                  </w:r>
                </w:p>
              </w:tc>
              <w:tc>
                <w:tcPr>
                  <w:tcW w:w="1085" w:type="pct"/>
                  <w:noWrap w:val="0"/>
                  <w:vAlign w:val="center"/>
                </w:tcPr>
                <w:p w14:paraId="7331FE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项目属于光伏发电项目，不涉及需做环境风险专项的内容。</w:t>
                  </w:r>
                </w:p>
              </w:tc>
              <w:tc>
                <w:tcPr>
                  <w:tcW w:w="694" w:type="pct"/>
                  <w:noWrap w:val="0"/>
                  <w:vAlign w:val="center"/>
                </w:tcPr>
                <w:p w14:paraId="6A170F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bl>
          <w:p w14:paraId="5951A2E2">
            <w:pPr>
              <w:keepNext w:val="0"/>
              <w:keepLines w:val="0"/>
              <w:widowControl/>
              <w:suppressLineNumbers w:val="0"/>
              <w:shd w:val="clear"/>
              <w:spacing w:before="0" w:beforeAutospacing="0" w:after="0" w:afterAutospacing="0" w:line="360" w:lineRule="auto"/>
              <w:ind w:left="0" w:right="0" w:firstLine="480" w:firstLineChars="200"/>
              <w:rPr>
                <w:rFonts w:hint="eastAsia" w:eastAsia="宋体"/>
                <w:b/>
                <w:bCs/>
                <w:color w:val="auto"/>
                <w:sz w:val="24"/>
                <w:highlight w:val="none"/>
                <w:shd w:val="clear" w:color="auto" w:fill="auto"/>
                <w:lang w:eastAsia="zh-CN"/>
              </w:rPr>
            </w:pPr>
            <w:r>
              <w:rPr>
                <w:rFonts w:hint="eastAsia" w:ascii="Times New Roman" w:hAnsi="宋体" w:eastAsia="宋体" w:cs="Times New Roman"/>
                <w:color w:val="auto"/>
                <w:kern w:val="0"/>
                <w:sz w:val="24"/>
                <w:highlight w:val="none"/>
                <w:lang w:val="en-US" w:eastAsia="zh-CN"/>
              </w:rPr>
              <w:t>根据《建设项目环境影响报告表编制技术指南（生态影响类）（试行）》，本项目</w:t>
            </w:r>
            <w:r>
              <w:rPr>
                <w:rFonts w:hint="eastAsia" w:hAnsi="宋体" w:cs="Times New Roman"/>
                <w:color w:val="auto"/>
                <w:kern w:val="0"/>
                <w:sz w:val="24"/>
                <w:highlight w:val="none"/>
                <w:lang w:val="en-US" w:eastAsia="zh-CN"/>
              </w:rPr>
              <w:t>无须设置</w:t>
            </w:r>
            <w:r>
              <w:rPr>
                <w:rFonts w:hint="eastAsia" w:ascii="Times New Roman" w:hAnsi="宋体" w:eastAsia="宋体" w:cs="Times New Roman"/>
                <w:color w:val="auto"/>
                <w:kern w:val="0"/>
                <w:sz w:val="24"/>
                <w:highlight w:val="none"/>
                <w:lang w:val="en-US" w:eastAsia="zh-CN"/>
              </w:rPr>
              <w:t>地表水、地下水、生态、大气、噪声、环境风险等专项评价。</w:t>
            </w:r>
          </w:p>
        </w:tc>
      </w:tr>
      <w:tr w14:paraId="0911F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866" w:type="pct"/>
            <w:tcMar>
              <w:top w:w="16" w:type="dxa"/>
              <w:left w:w="16" w:type="dxa"/>
              <w:right w:w="16" w:type="dxa"/>
            </w:tcMar>
            <w:vAlign w:val="center"/>
          </w:tcPr>
          <w:p w14:paraId="56D3BCB8">
            <w:pPr>
              <w:keepNext w:val="0"/>
              <w:keepLines w:val="0"/>
              <w:suppressLineNumbers w:val="0"/>
              <w:shd w:val="clear"/>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规划情况</w:t>
            </w:r>
          </w:p>
        </w:tc>
        <w:tc>
          <w:tcPr>
            <w:tcW w:w="4133" w:type="pct"/>
            <w:gridSpan w:val="3"/>
            <w:tcMar>
              <w:top w:w="16" w:type="dxa"/>
              <w:left w:w="16" w:type="dxa"/>
              <w:right w:w="16" w:type="dxa"/>
            </w:tcMar>
            <w:vAlign w:val="center"/>
          </w:tcPr>
          <w:p w14:paraId="27DCEC21">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b/>
                <w:bCs/>
                <w:color w:val="auto"/>
                <w:kern w:val="0"/>
                <w:sz w:val="24"/>
                <w:highlight w:val="none"/>
                <w:lang w:bidi="ar"/>
              </w:rPr>
            </w:pPr>
            <w:r>
              <w:rPr>
                <w:rFonts w:hint="eastAsia"/>
                <w:b/>
                <w:bCs/>
                <w:color w:val="auto"/>
                <w:kern w:val="0"/>
                <w:sz w:val="24"/>
                <w:szCs w:val="24"/>
                <w:highlight w:val="none"/>
                <w:lang w:val="en-US" w:eastAsia="zh-CN" w:bidi="ar"/>
              </w:rPr>
              <w:t>1、</w:t>
            </w: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云南省发展和改革委员会 云南省能源局关于印发云南省2023年第一批新能源建设方案的通知</w:t>
            </w:r>
            <w:r>
              <w:rPr>
                <w:rFonts w:hint="eastAsia"/>
                <w:b/>
                <w:bCs/>
                <w:color w:val="auto"/>
                <w:sz w:val="24"/>
                <w:highlight w:val="none"/>
                <w:shd w:val="clear" w:color="auto" w:fill="auto"/>
              </w:rPr>
              <w:t>》</w:t>
            </w:r>
            <w:r>
              <w:rPr>
                <w:rFonts w:hint="eastAsia"/>
                <w:b/>
                <w:bCs/>
                <w:color w:val="auto"/>
                <w:sz w:val="24"/>
                <w:highlight w:val="none"/>
                <w:shd w:val="clear" w:color="auto" w:fill="auto"/>
                <w:lang w:eastAsia="zh-CN"/>
              </w:rPr>
              <w:t>（</w:t>
            </w:r>
            <w:r>
              <w:rPr>
                <w:rFonts w:hint="eastAsia" w:ascii="宋体" w:hAnsi="宋体" w:cs="宋体"/>
                <w:b/>
                <w:bCs/>
                <w:color w:val="auto"/>
                <w:sz w:val="24"/>
                <w:highlight w:val="none"/>
                <w:shd w:val="clear" w:color="auto" w:fill="auto"/>
                <w:lang w:bidi="ar"/>
              </w:rPr>
              <w:t>云能源水电</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202</w:t>
            </w:r>
            <w:r>
              <w:rPr>
                <w:rFonts w:hint="eastAsia"/>
                <w:b/>
                <w:bCs/>
                <w:color w:val="auto"/>
                <w:sz w:val="24"/>
                <w:highlight w:val="none"/>
                <w:shd w:val="clear" w:color="auto" w:fill="auto"/>
                <w:lang w:val="en-US" w:eastAsia="zh-CN" w:bidi="ar"/>
              </w:rPr>
              <w:t>3</w:t>
            </w:r>
            <w:r>
              <w:rPr>
                <w:rFonts w:hint="eastAsia"/>
                <w:b/>
                <w:bCs/>
                <w:color w:val="auto"/>
                <w:sz w:val="24"/>
                <w:highlight w:val="none"/>
                <w:shd w:val="clear" w:color="auto" w:fill="auto"/>
                <w:lang w:bidi="ar"/>
              </w:rPr>
              <w:t>〕</w:t>
            </w:r>
            <w:r>
              <w:rPr>
                <w:rFonts w:hint="default"/>
                <w:b/>
                <w:bCs/>
                <w:color w:val="auto"/>
                <w:sz w:val="24"/>
                <w:highlight w:val="none"/>
                <w:shd w:val="clear" w:color="auto" w:fill="auto"/>
                <w:lang w:bidi="ar"/>
              </w:rPr>
              <w:t>17</w:t>
            </w:r>
            <w:r>
              <w:rPr>
                <w:rFonts w:hint="eastAsia"/>
                <w:b/>
                <w:bCs/>
                <w:color w:val="auto"/>
                <w:sz w:val="24"/>
                <w:highlight w:val="none"/>
                <w:shd w:val="clear" w:color="auto" w:fill="auto"/>
                <w:lang w:val="en-US" w:eastAsia="zh-CN" w:bidi="ar"/>
              </w:rPr>
              <w:t>0</w:t>
            </w:r>
            <w:r>
              <w:rPr>
                <w:rFonts w:hint="eastAsia" w:ascii="宋体" w:hAnsi="宋体" w:cs="宋体"/>
                <w:b/>
                <w:bCs/>
                <w:color w:val="auto"/>
                <w:sz w:val="24"/>
                <w:highlight w:val="none"/>
                <w:shd w:val="clear" w:color="auto" w:fill="auto"/>
                <w:lang w:bidi="ar"/>
              </w:rPr>
              <w:t>号</w:t>
            </w:r>
            <w:r>
              <w:rPr>
                <w:rFonts w:hint="eastAsia"/>
                <w:b/>
                <w:bCs/>
                <w:color w:val="auto"/>
                <w:sz w:val="24"/>
                <w:highlight w:val="none"/>
                <w:shd w:val="clear" w:color="auto" w:fill="auto"/>
                <w:lang w:eastAsia="zh-CN"/>
              </w:rPr>
              <w:t>）</w:t>
            </w:r>
          </w:p>
          <w:p w14:paraId="7740900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highlight w:val="none"/>
                <w:lang w:eastAsia="zh-CN" w:bidi="ar"/>
              </w:rPr>
            </w:pPr>
            <w:r>
              <w:rPr>
                <w:rFonts w:hint="eastAsia"/>
                <w:color w:val="auto"/>
                <w:kern w:val="0"/>
                <w:sz w:val="24"/>
                <w:szCs w:val="24"/>
                <w:highlight w:val="none"/>
                <w:lang w:bidi="ar"/>
              </w:rPr>
              <w:t>规划名称：</w:t>
            </w:r>
            <w:r>
              <w:rPr>
                <w:rFonts w:hint="eastAsia" w:ascii="宋体" w:hAnsi="宋体" w:cs="宋体"/>
                <w:color w:val="auto"/>
                <w:kern w:val="0"/>
                <w:sz w:val="24"/>
                <w:szCs w:val="24"/>
                <w:highlight w:val="none"/>
                <w:lang w:bidi="ar"/>
              </w:rPr>
              <w:t>云南省发展和改革委员会 云南省能源局关于印发云南省</w:t>
            </w:r>
            <w:r>
              <w:rPr>
                <w:rFonts w:hint="default" w:ascii="Times New Roman" w:hAnsi="Times New Roman" w:cs="Times New Roman"/>
                <w:color w:val="auto"/>
                <w:kern w:val="0"/>
                <w:sz w:val="24"/>
                <w:szCs w:val="24"/>
                <w:highlight w:val="none"/>
                <w:lang w:bidi="ar"/>
              </w:rPr>
              <w:t>2023年第一批新能源建设方案的通知</w:t>
            </w:r>
          </w:p>
          <w:p w14:paraId="38C097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审批机关：云南省发展和改革委员会</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云南省能源局</w:t>
            </w:r>
          </w:p>
          <w:p w14:paraId="6DC66B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宋体" w:hAnsi="宋体" w:cs="宋体"/>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文号：云能源水电〔2023〕170号</w:t>
            </w:r>
          </w:p>
          <w:p w14:paraId="67E8B938">
            <w:pPr>
              <w:keepNext w:val="0"/>
              <w:keepLines w:val="0"/>
              <w:suppressLineNumbers w:val="0"/>
              <w:spacing w:before="0" w:beforeAutospacing="0" w:after="0" w:afterAutospacing="0" w:line="360" w:lineRule="auto"/>
              <w:ind w:left="0" w:right="0"/>
              <w:rPr>
                <w:rFonts w:hint="default"/>
                <w:b/>
                <w:bCs/>
                <w:color w:val="auto"/>
                <w:kern w:val="0"/>
                <w:sz w:val="24"/>
                <w:highlight w:val="none"/>
              </w:rPr>
            </w:pPr>
            <w:r>
              <w:rPr>
                <w:rFonts w:hint="default"/>
                <w:b/>
                <w:bCs/>
                <w:color w:val="auto"/>
                <w:kern w:val="0"/>
                <w:sz w:val="24"/>
                <w:highlight w:val="none"/>
              </w:rPr>
              <w:t>2、</w:t>
            </w:r>
            <w:r>
              <w:rPr>
                <w:rFonts w:hint="default" w:eastAsia="Times New Roman"/>
                <w:b/>
                <w:bCs/>
                <w:color w:val="auto"/>
                <w:sz w:val="24"/>
                <w:highlight w:val="none"/>
                <w:lang w:val="zh-CN"/>
              </w:rPr>
              <w:t>《云南省在适宜地区适度开发利用新能源规划》</w:t>
            </w:r>
          </w:p>
          <w:p w14:paraId="2AEDDFCB">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highlight w:val="none"/>
                <w:lang w:val="zh-CN"/>
              </w:rPr>
            </w:pPr>
            <w:r>
              <w:rPr>
                <w:rFonts w:hint="default" w:eastAsia="Times New Roman"/>
                <w:color w:val="auto"/>
                <w:sz w:val="24"/>
                <w:highlight w:val="none"/>
                <w:lang w:val="zh-CN"/>
              </w:rPr>
              <w:t>规划名称：《云南省发展和改革委员会云南省能源局关于印发云南省在适宜地区适度开发利用新能源规划及配套文件的通知》</w:t>
            </w:r>
          </w:p>
          <w:p w14:paraId="3F9C333C">
            <w:pPr>
              <w:keepNext w:val="0"/>
              <w:keepLines w:val="0"/>
              <w:suppressLineNumbers w:val="0"/>
              <w:spacing w:before="0" w:beforeAutospacing="0" w:after="0" w:afterAutospacing="0" w:line="360" w:lineRule="auto"/>
              <w:ind w:left="0" w:right="0" w:firstLine="480" w:firstLineChars="200"/>
              <w:rPr>
                <w:rFonts w:hint="default" w:eastAsia="Times New Roman"/>
                <w:color w:val="auto"/>
                <w:sz w:val="24"/>
                <w:highlight w:val="none"/>
                <w:lang w:val="zh-CN"/>
              </w:rPr>
            </w:pPr>
            <w:r>
              <w:rPr>
                <w:rFonts w:hint="default" w:eastAsia="Times New Roman"/>
                <w:color w:val="auto"/>
                <w:sz w:val="24"/>
                <w:highlight w:val="none"/>
                <w:lang w:val="zh-CN"/>
              </w:rPr>
              <w:t>审批机关：云南省发展和改革委员会、云南省能源局</w:t>
            </w:r>
          </w:p>
          <w:p w14:paraId="2D6A2B6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highlight w:val="none"/>
                <w:lang w:val="en-US" w:eastAsia="zh-CN" w:bidi="ar-SA"/>
              </w:rPr>
            </w:pPr>
            <w:r>
              <w:rPr>
                <w:rFonts w:hint="default" w:eastAsia="Times New Roman"/>
                <w:color w:val="auto"/>
                <w:sz w:val="24"/>
                <w:highlight w:val="none"/>
                <w:lang w:val="zh-CN"/>
              </w:rPr>
              <w:t>文号：云能源水电〔2020〕153号</w:t>
            </w:r>
          </w:p>
        </w:tc>
      </w:tr>
      <w:tr w14:paraId="116D2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trPr>
        <w:tc>
          <w:tcPr>
            <w:tcW w:w="866" w:type="pct"/>
            <w:tcMar>
              <w:top w:w="16" w:type="dxa"/>
              <w:left w:w="16" w:type="dxa"/>
              <w:right w:w="16" w:type="dxa"/>
            </w:tcMar>
            <w:vAlign w:val="center"/>
          </w:tcPr>
          <w:p w14:paraId="20337B92">
            <w:pPr>
              <w:keepNext w:val="0"/>
              <w:keepLines w:val="0"/>
              <w:suppressLineNumbers w:val="0"/>
              <w:shd w:val="clear"/>
              <w:autoSpaceDE w:val="0"/>
              <w:autoSpaceDN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sz w:val="24"/>
                <w:highlight w:val="none"/>
                <w:shd w:val="clear" w:color="auto" w:fill="auto"/>
              </w:rPr>
              <w:t>规划环境影响评价情况</w:t>
            </w:r>
          </w:p>
        </w:tc>
        <w:tc>
          <w:tcPr>
            <w:tcW w:w="4133" w:type="pct"/>
            <w:gridSpan w:val="3"/>
            <w:tcMar>
              <w:top w:w="16" w:type="dxa"/>
              <w:left w:w="16" w:type="dxa"/>
              <w:right w:w="16" w:type="dxa"/>
            </w:tcMar>
            <w:vAlign w:val="center"/>
          </w:tcPr>
          <w:p w14:paraId="5A84E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highlight w:val="none"/>
                <w:lang w:val="en-US" w:eastAsia="zh-CN" w:bidi="ar"/>
              </w:rPr>
              <w:t>2020</w:t>
            </w:r>
            <w:r>
              <w:rPr>
                <w:rFonts w:hint="eastAsia" w:ascii="Times New Roman" w:hAnsi="Times New Roman" w:eastAsia="宋体" w:cs="Times New Roman"/>
                <w:color w:val="auto"/>
                <w:kern w:val="0"/>
                <w:sz w:val="24"/>
                <w:highlight w:val="none"/>
                <w:lang w:val="en-US" w:eastAsia="zh-CN" w:bidi="ar"/>
              </w:rPr>
              <w:t>年</w:t>
            </w:r>
            <w:r>
              <w:rPr>
                <w:rFonts w:hint="default" w:ascii="Times New Roman" w:hAnsi="Times New Roman" w:eastAsia="宋体" w:cs="Times New Roman"/>
                <w:color w:val="auto"/>
                <w:kern w:val="0"/>
                <w:sz w:val="24"/>
                <w:highlight w:val="none"/>
                <w:lang w:val="en-US" w:eastAsia="zh-CN" w:bidi="ar"/>
              </w:rPr>
              <w:t>9</w:t>
            </w:r>
            <w:r>
              <w:rPr>
                <w:rFonts w:hint="eastAsia" w:ascii="Times New Roman" w:hAnsi="Times New Roman" w:eastAsia="宋体" w:cs="Times New Roman"/>
                <w:color w:val="auto"/>
                <w:kern w:val="0"/>
                <w:sz w:val="24"/>
                <w:highlight w:val="none"/>
                <w:lang w:val="en-US" w:eastAsia="zh-CN" w:bidi="ar"/>
              </w:rPr>
              <w:t>月，中国电建集团昆明勘测设计研究院有限公司、云南省生态环境工程评估中心联合编制完成了《云南省在适宜地区适度开发利用新能源规划环境影响篇章》。</w:t>
            </w:r>
          </w:p>
        </w:tc>
      </w:tr>
      <w:tr w14:paraId="466DC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2" w:hRule="atLeast"/>
        </w:trPr>
        <w:tc>
          <w:tcPr>
            <w:tcW w:w="866" w:type="pct"/>
            <w:tcMar>
              <w:top w:w="16" w:type="dxa"/>
              <w:left w:w="16" w:type="dxa"/>
              <w:right w:w="16" w:type="dxa"/>
            </w:tcMar>
            <w:vAlign w:val="center"/>
          </w:tcPr>
          <w:p w14:paraId="4A1A786B">
            <w:pPr>
              <w:keepNext w:val="0"/>
              <w:keepLines w:val="0"/>
              <w:suppressLineNumbers w:val="0"/>
              <w:shd w:val="clear"/>
              <w:autoSpaceDE w:val="0"/>
              <w:autoSpaceDN w:val="0"/>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规划及</w:t>
            </w:r>
            <w:r>
              <w:rPr>
                <w:rFonts w:hint="default"/>
                <w:color w:val="auto"/>
                <w:sz w:val="24"/>
                <w:highlight w:val="none"/>
                <w:shd w:val="clear" w:color="auto" w:fill="auto"/>
              </w:rPr>
              <w:t>规划环境影响评价</w:t>
            </w:r>
            <w:r>
              <w:rPr>
                <w:rFonts w:hint="default"/>
                <w:color w:val="auto"/>
                <w:kern w:val="0"/>
                <w:sz w:val="24"/>
                <w:highlight w:val="none"/>
                <w:shd w:val="clear" w:color="auto" w:fill="auto"/>
              </w:rPr>
              <w:t>符合性分析</w:t>
            </w:r>
          </w:p>
        </w:tc>
        <w:tc>
          <w:tcPr>
            <w:tcW w:w="4133" w:type="pct"/>
            <w:gridSpan w:val="3"/>
            <w:tcMar>
              <w:top w:w="16" w:type="dxa"/>
              <w:left w:w="16" w:type="dxa"/>
              <w:right w:w="16" w:type="dxa"/>
            </w:tcMar>
            <w:vAlign w:val="center"/>
          </w:tcPr>
          <w:p w14:paraId="0080F873">
            <w:pPr>
              <w:keepNext w:val="0"/>
              <w:keepLines w:val="0"/>
              <w:suppressLineNumbers w:val="0"/>
              <w:shd w:val="clear"/>
              <w:autoSpaceDE w:val="0"/>
              <w:autoSpaceDN w:val="0"/>
              <w:adjustRightInd w:val="0"/>
              <w:snapToGrid w:val="0"/>
              <w:spacing w:before="0" w:beforeAutospacing="0" w:after="0" w:afterAutospacing="0" w:line="360" w:lineRule="auto"/>
              <w:ind w:left="0" w:leftChars="0" w:right="0" w:rightChars="0" w:firstLine="482" w:firstLineChars="200"/>
              <w:rPr>
                <w:rFonts w:hint="eastAsia" w:ascii="宋体" w:hAnsi="宋体" w:cs="宋体"/>
                <w:color w:val="auto"/>
                <w:kern w:val="0"/>
                <w:sz w:val="24"/>
                <w:szCs w:val="24"/>
                <w:highlight w:val="none"/>
                <w:lang w:bidi="ar"/>
              </w:rPr>
            </w:pPr>
            <w:r>
              <w:rPr>
                <w:rFonts w:hint="eastAsia"/>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rPr>
              <w:t>2023年6月21日</w:t>
            </w:r>
            <w:r>
              <w:rPr>
                <w:rFonts w:hint="eastAsia" w:ascii="Times New Roman" w:hAnsi="Times New Roman" w:eastAsia="宋体" w:cs="Times New Roman"/>
                <w:b w:val="0"/>
                <w:bCs w:val="0"/>
                <w:color w:val="auto"/>
                <w:kern w:val="0"/>
                <w:sz w:val="24"/>
                <w:highlight w:val="none"/>
                <w:lang w:val="en-US" w:eastAsia="zh-CN" w:bidi="ar"/>
              </w:rPr>
              <w:t>，</w:t>
            </w:r>
            <w:r>
              <w:rPr>
                <w:rFonts w:hint="eastAsia" w:ascii="宋体" w:hAnsi="宋体" w:cs="宋体"/>
                <w:color w:val="auto"/>
                <w:kern w:val="0"/>
                <w:sz w:val="24"/>
                <w:szCs w:val="24"/>
                <w:highlight w:val="none"/>
                <w:lang w:bidi="ar"/>
              </w:rPr>
              <w:t>云南省发展和改革委员会</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bidi="ar"/>
              </w:rPr>
              <w:t>云南省能源局</w:t>
            </w:r>
            <w:r>
              <w:rPr>
                <w:rFonts w:hint="eastAsia" w:ascii="Times New Roman" w:hAnsi="Times New Roman" w:eastAsia="宋体" w:cs="Times New Roman"/>
                <w:b w:val="0"/>
                <w:bCs w:val="0"/>
                <w:color w:val="auto"/>
                <w:kern w:val="0"/>
                <w:sz w:val="24"/>
                <w:highlight w:val="none"/>
                <w:lang w:val="en-US" w:eastAsia="zh-CN" w:bidi="ar"/>
              </w:rPr>
              <w:t>以</w:t>
            </w:r>
            <w:r>
              <w:rPr>
                <w:rFonts w:hint="eastAsia" w:ascii="Times New Roman" w:hAnsi="Times New Roman" w:eastAsia="宋体" w:cs="Times New Roman"/>
                <w:color w:val="auto"/>
                <w:kern w:val="0"/>
                <w:sz w:val="24"/>
                <w:highlight w:val="none"/>
                <w:lang w:val="en-US" w:eastAsia="zh-CN"/>
              </w:rPr>
              <w:t>云能源水电〔</w:t>
            </w:r>
            <w:r>
              <w:rPr>
                <w:rFonts w:hint="default" w:ascii="Times New Roman" w:hAnsi="Times New Roman" w:eastAsia="宋体" w:cs="Times New Roman"/>
                <w:color w:val="auto"/>
                <w:kern w:val="0"/>
                <w:sz w:val="24"/>
                <w:highlight w:val="none"/>
                <w:lang w:val="en-US" w:eastAsia="zh-CN"/>
              </w:rPr>
              <w:t>202</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17</w:t>
            </w:r>
            <w:r>
              <w:rPr>
                <w:rFonts w:hint="eastAsia" w:ascii="Times New Roman" w:hAnsi="Times New Roman" w:eastAsia="宋体" w:cs="Times New Roman"/>
                <w:color w:val="auto"/>
                <w:kern w:val="0"/>
                <w:sz w:val="24"/>
                <w:highlight w:val="none"/>
                <w:lang w:val="en-US" w:eastAsia="zh-CN"/>
              </w:rPr>
              <w:t>0号</w:t>
            </w:r>
            <w:r>
              <w:rPr>
                <w:rFonts w:hint="eastAsia" w:ascii="Times New Roman" w:hAnsi="Times New Roman" w:eastAsia="宋体" w:cs="Times New Roman"/>
                <w:b w:val="0"/>
                <w:bCs w:val="0"/>
                <w:color w:val="auto"/>
                <w:kern w:val="0"/>
                <w:sz w:val="24"/>
                <w:highlight w:val="none"/>
                <w:lang w:val="en-US" w:eastAsia="zh-CN" w:bidi="ar"/>
              </w:rPr>
              <w:t>印发了</w:t>
            </w:r>
            <w:r>
              <w:rPr>
                <w:rFonts w:hint="eastAsia" w:ascii="Times New Roman" w:hAnsi="Times New Roman" w:eastAsia="宋体" w:cs="Times New Roman"/>
                <w:color w:val="auto"/>
                <w:kern w:val="0"/>
                <w:sz w:val="24"/>
                <w:highlight w:val="none"/>
                <w:lang w:val="en-US" w:eastAsia="zh-CN"/>
              </w:rPr>
              <w:t>《云南省发展和改革委员会 云南省能源局关于印发云南省2023年第一批新能源建设方案的通知》</w:t>
            </w:r>
            <w:r>
              <w:rPr>
                <w:rFonts w:hint="eastAsia" w:ascii="Times New Roman" w:hAnsi="Times New Roman" w:eastAsia="宋体" w:cs="Times New Roman"/>
                <w:b w:val="0"/>
                <w:bCs w:val="0"/>
                <w:color w:val="auto"/>
                <w:kern w:val="0"/>
                <w:sz w:val="24"/>
                <w:highlight w:val="none"/>
                <w:lang w:val="en-US" w:eastAsia="zh-CN" w:bidi="ar"/>
              </w:rPr>
              <w:t>（以下简称“通知”）。</w:t>
            </w:r>
            <w:r>
              <w:rPr>
                <w:rFonts w:hint="eastAsia" w:cs="Times New Roman"/>
                <w:color w:val="auto"/>
                <w:sz w:val="24"/>
                <w:szCs w:val="24"/>
                <w:highlight w:val="none"/>
                <w:shd w:val="clear" w:color="auto" w:fill="auto"/>
                <w:lang w:val="en-US" w:eastAsia="zh-CN"/>
              </w:rPr>
              <w:t>梳山光伏发电项目</w:t>
            </w:r>
            <w:r>
              <w:rPr>
                <w:rFonts w:hint="eastAsia" w:ascii="宋体" w:hAnsi="宋体" w:cs="宋体"/>
                <w:color w:val="auto"/>
                <w:kern w:val="0"/>
                <w:sz w:val="24"/>
                <w:szCs w:val="24"/>
                <w:highlight w:val="none"/>
                <w:lang w:bidi="ar"/>
              </w:rPr>
              <w:t>属于“通知”的附件</w:t>
            </w:r>
            <w:r>
              <w:rPr>
                <w:rFonts w:hint="eastAsia" w:ascii="Times New Roman" w:hAnsi="Times New Roman" w:eastAsia="宋体" w:cs="Times New Roman"/>
                <w:color w:val="auto"/>
                <w:kern w:val="0"/>
                <w:sz w:val="24"/>
                <w:highlight w:val="none"/>
                <w:lang w:val="en-US" w:eastAsia="zh-CN"/>
              </w:rPr>
              <w:t>《云南省</w:t>
            </w:r>
            <w:r>
              <w:rPr>
                <w:rFonts w:hint="default" w:ascii="Times New Roman" w:hAnsi="Times New Roman" w:eastAsia="宋体" w:cs="Times New Roman"/>
                <w:color w:val="auto"/>
                <w:kern w:val="0"/>
                <w:sz w:val="24"/>
                <w:highlight w:val="none"/>
                <w:lang w:val="en-US" w:eastAsia="zh-CN"/>
              </w:rPr>
              <w:t>202</w:t>
            </w:r>
            <w:r>
              <w:rPr>
                <w:rFonts w:hint="eastAsia" w:ascii="Times New Roman" w:hAnsi="Times New Roman" w:eastAsia="宋体" w:cs="Times New Roman"/>
                <w:color w:val="auto"/>
                <w:kern w:val="0"/>
                <w:sz w:val="24"/>
                <w:highlight w:val="none"/>
                <w:lang w:val="en-US" w:eastAsia="zh-CN"/>
              </w:rPr>
              <w:t>3年第一批新能源项目建设清单》</w:t>
            </w:r>
            <w:r>
              <w:rPr>
                <w:rFonts w:hint="eastAsia" w:ascii="宋体" w:hAnsi="宋体" w:cs="宋体"/>
                <w:color w:val="auto"/>
                <w:kern w:val="0"/>
                <w:sz w:val="24"/>
                <w:szCs w:val="24"/>
                <w:highlight w:val="none"/>
                <w:lang w:bidi="ar"/>
              </w:rPr>
              <w:t>中</w:t>
            </w:r>
            <w:r>
              <w:rPr>
                <w:rFonts w:hint="eastAsia" w:ascii="宋体" w:hAnsi="宋体" w:cs="宋体"/>
                <w:color w:val="auto"/>
                <w:kern w:val="0"/>
                <w:sz w:val="24"/>
                <w:szCs w:val="24"/>
                <w:highlight w:val="none"/>
                <w:lang w:val="en-US" w:eastAsia="zh-CN" w:bidi="ar"/>
              </w:rPr>
              <w:t>昆明市寻甸县</w:t>
            </w:r>
            <w:r>
              <w:rPr>
                <w:rFonts w:hint="default"/>
                <w:color w:val="auto"/>
                <w:kern w:val="0"/>
                <w:sz w:val="24"/>
                <w:szCs w:val="24"/>
                <w:highlight w:val="none"/>
                <w:lang w:bidi="ar"/>
              </w:rPr>
              <w:t>202</w:t>
            </w:r>
            <w:r>
              <w:rPr>
                <w:rFonts w:hint="eastAsia"/>
                <w:color w:val="auto"/>
                <w:kern w:val="0"/>
                <w:sz w:val="24"/>
                <w:szCs w:val="24"/>
                <w:highlight w:val="none"/>
                <w:lang w:val="en-US" w:eastAsia="zh-CN" w:bidi="ar"/>
              </w:rPr>
              <w:t>3</w:t>
            </w:r>
            <w:r>
              <w:rPr>
                <w:rFonts w:hint="eastAsia" w:ascii="宋体" w:hAnsi="宋体" w:cs="宋体"/>
                <w:color w:val="auto"/>
                <w:kern w:val="0"/>
                <w:sz w:val="24"/>
                <w:szCs w:val="24"/>
                <w:highlight w:val="none"/>
                <w:lang w:bidi="ar"/>
              </w:rPr>
              <w:t>年规划实施项目，装机容量为</w:t>
            </w:r>
            <w:r>
              <w:rPr>
                <w:rFonts w:hint="eastAsia"/>
                <w:color w:val="auto"/>
                <w:kern w:val="0"/>
                <w:sz w:val="24"/>
                <w:szCs w:val="24"/>
                <w:highlight w:val="none"/>
                <w:lang w:val="en-US" w:eastAsia="zh-CN" w:bidi="ar"/>
              </w:rPr>
              <w:t>5</w:t>
            </w:r>
            <w:r>
              <w:rPr>
                <w:rFonts w:hint="eastAsia" w:ascii="宋体" w:hAnsi="宋体" w:cs="宋体"/>
                <w:color w:val="auto"/>
                <w:kern w:val="0"/>
                <w:sz w:val="24"/>
                <w:szCs w:val="24"/>
                <w:highlight w:val="none"/>
                <w:lang w:bidi="ar"/>
              </w:rPr>
              <w:t>万千瓦。根据主体设计，</w:t>
            </w:r>
            <w:r>
              <w:rPr>
                <w:rFonts w:hint="eastAsia" w:cs="Times New Roman"/>
                <w:color w:val="auto"/>
                <w:sz w:val="24"/>
                <w:szCs w:val="24"/>
                <w:highlight w:val="none"/>
                <w:shd w:val="clear" w:color="auto" w:fill="auto"/>
                <w:lang w:val="en-US" w:eastAsia="zh-CN"/>
              </w:rPr>
              <w:t>梳山光伏发电项目</w:t>
            </w:r>
            <w:r>
              <w:rPr>
                <w:rFonts w:hint="eastAsia" w:ascii="宋体" w:hAnsi="宋体" w:cs="宋体"/>
                <w:color w:val="auto"/>
                <w:kern w:val="0"/>
                <w:sz w:val="24"/>
                <w:szCs w:val="24"/>
                <w:highlight w:val="none"/>
                <w:lang w:bidi="ar"/>
              </w:rPr>
              <w:t>装机</w:t>
            </w:r>
            <w:r>
              <w:rPr>
                <w:rFonts w:hint="default" w:ascii="Times New Roman" w:hAnsi="Times New Roman" w:cs="Times New Roman"/>
                <w:color w:val="auto"/>
                <w:kern w:val="0"/>
                <w:sz w:val="24"/>
                <w:szCs w:val="24"/>
                <w:highlight w:val="none"/>
                <w:lang w:bidi="ar"/>
              </w:rPr>
              <w:t>容量</w:t>
            </w:r>
            <w:r>
              <w:rPr>
                <w:rFonts w:hint="eastAsia" w:cs="Times New Roman"/>
                <w:color w:val="auto"/>
                <w:kern w:val="0"/>
                <w:sz w:val="24"/>
                <w:szCs w:val="24"/>
                <w:highlight w:val="none"/>
                <w:lang w:val="en-US" w:eastAsia="zh-CN" w:bidi="ar"/>
              </w:rPr>
              <w:t>50</w:t>
            </w:r>
            <w:r>
              <w:rPr>
                <w:rFonts w:hint="default" w:ascii="Times New Roman" w:hAnsi="Times New Roman" w:cs="Times New Roman"/>
                <w:color w:val="auto"/>
                <w:kern w:val="0"/>
                <w:sz w:val="24"/>
                <w:szCs w:val="24"/>
                <w:highlight w:val="none"/>
                <w:lang w:bidi="ar"/>
              </w:rPr>
              <w:t>MW，</w:t>
            </w:r>
            <w:r>
              <w:rPr>
                <w:rFonts w:hint="eastAsia" w:ascii="宋体" w:hAnsi="宋体" w:cs="宋体"/>
                <w:color w:val="auto"/>
                <w:kern w:val="0"/>
                <w:sz w:val="24"/>
                <w:szCs w:val="24"/>
                <w:highlight w:val="none"/>
                <w:lang w:bidi="ar"/>
              </w:rPr>
              <w:t>与</w:t>
            </w:r>
            <w:r>
              <w:rPr>
                <w:rFonts w:hint="eastAsia" w:ascii="Times New Roman" w:hAnsi="Times New Roman" w:eastAsia="宋体" w:cs="Times New Roman"/>
                <w:color w:val="auto"/>
                <w:kern w:val="0"/>
                <w:sz w:val="24"/>
                <w:highlight w:val="none"/>
                <w:lang w:val="en-US" w:eastAsia="zh-CN"/>
              </w:rPr>
              <w:t>云南省</w:t>
            </w:r>
            <w:r>
              <w:rPr>
                <w:rFonts w:hint="default" w:ascii="Times New Roman" w:hAnsi="Times New Roman" w:eastAsia="宋体" w:cs="Times New Roman"/>
                <w:color w:val="auto"/>
                <w:kern w:val="0"/>
                <w:sz w:val="24"/>
                <w:highlight w:val="none"/>
                <w:lang w:val="en-US" w:eastAsia="zh-CN"/>
              </w:rPr>
              <w:t>202</w:t>
            </w:r>
            <w:r>
              <w:rPr>
                <w:rFonts w:hint="eastAsia" w:ascii="Times New Roman" w:hAnsi="Times New Roman" w:eastAsia="宋体" w:cs="Times New Roman"/>
                <w:color w:val="auto"/>
                <w:kern w:val="0"/>
                <w:sz w:val="24"/>
                <w:highlight w:val="none"/>
                <w:lang w:val="en-US" w:eastAsia="zh-CN"/>
              </w:rPr>
              <w:t>3年第一批新能源项目建设清单</w:t>
            </w:r>
            <w:r>
              <w:rPr>
                <w:rFonts w:hint="eastAsia" w:ascii="宋体" w:hAnsi="宋体" w:cs="宋体"/>
                <w:color w:val="auto"/>
                <w:kern w:val="0"/>
                <w:sz w:val="24"/>
                <w:szCs w:val="24"/>
                <w:highlight w:val="none"/>
                <w:lang w:bidi="ar"/>
              </w:rPr>
              <w:t>中</w:t>
            </w:r>
            <w:r>
              <w:rPr>
                <w:rFonts w:hint="eastAsia" w:ascii="宋体" w:hAnsi="宋体" w:cs="宋体"/>
                <w:color w:val="auto"/>
                <w:kern w:val="0"/>
                <w:sz w:val="24"/>
                <w:szCs w:val="24"/>
                <w:highlight w:val="none"/>
                <w:lang w:eastAsia="zh-CN" w:bidi="ar"/>
              </w:rPr>
              <w:t>梳山</w:t>
            </w:r>
            <w:r>
              <w:rPr>
                <w:rFonts w:hint="eastAsia" w:ascii="宋体" w:hAnsi="宋体" w:eastAsia="宋体" w:cs="宋体"/>
                <w:color w:val="auto"/>
                <w:kern w:val="0"/>
                <w:sz w:val="24"/>
                <w:szCs w:val="24"/>
                <w:highlight w:val="none"/>
                <w:shd w:val="clear" w:color="auto" w:fill="auto"/>
                <w:lang w:val="en-US" w:eastAsia="zh-CN" w:bidi="ar"/>
              </w:rPr>
              <w:t>光伏发电项目</w:t>
            </w:r>
            <w:r>
              <w:rPr>
                <w:rFonts w:hint="eastAsia" w:ascii="宋体" w:hAnsi="宋体" w:cs="宋体"/>
                <w:color w:val="auto"/>
                <w:kern w:val="0"/>
                <w:sz w:val="24"/>
                <w:szCs w:val="24"/>
                <w:highlight w:val="none"/>
                <w:lang w:bidi="ar"/>
              </w:rPr>
              <w:t>情况一致。</w:t>
            </w:r>
          </w:p>
          <w:p w14:paraId="076FA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color w:val="auto"/>
                <w:kern w:val="0"/>
                <w:sz w:val="24"/>
                <w:highlight w:val="none"/>
                <w:lang w:val="en-US" w:eastAsia="zh-CN" w:bidi="ar"/>
              </w:rPr>
            </w:pPr>
            <w:r>
              <w:rPr>
                <w:rFonts w:hint="eastAsia" w:cs="Times New Roman"/>
                <w:b/>
                <w:bCs/>
                <w:color w:val="auto"/>
                <w:kern w:val="0"/>
                <w:sz w:val="24"/>
                <w:highlight w:val="none"/>
                <w:lang w:val="en-US" w:eastAsia="zh-CN" w:bidi="ar"/>
              </w:rPr>
              <w:t>2、与《云南省在适宜地区适度开发利用新能源规划》符合性分析</w:t>
            </w:r>
          </w:p>
          <w:p w14:paraId="3911B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2020</w:t>
            </w:r>
            <w:r>
              <w:rPr>
                <w:rFonts w:hint="eastAsia" w:ascii="Times New Roman" w:hAnsi="Times New Roman" w:eastAsia="宋体" w:cs="Times New Roman"/>
                <w:color w:val="auto"/>
                <w:kern w:val="0"/>
                <w:sz w:val="24"/>
                <w:highlight w:val="none"/>
                <w:lang w:val="en-US" w:eastAsia="zh-CN" w:bidi="ar"/>
              </w:rPr>
              <w:t>年</w:t>
            </w:r>
            <w:r>
              <w:rPr>
                <w:rFonts w:hint="default" w:ascii="Times New Roman" w:hAnsi="Times New Roman" w:eastAsia="宋体" w:cs="Times New Roman"/>
                <w:color w:val="auto"/>
                <w:kern w:val="0"/>
                <w:sz w:val="24"/>
                <w:highlight w:val="none"/>
                <w:lang w:val="en-US" w:eastAsia="zh-CN" w:bidi="ar"/>
              </w:rPr>
              <w:t>9</w:t>
            </w:r>
            <w:r>
              <w:rPr>
                <w:rFonts w:hint="eastAsia" w:ascii="Times New Roman" w:hAnsi="Times New Roman" w:eastAsia="宋体" w:cs="Times New Roman"/>
                <w:color w:val="auto"/>
                <w:kern w:val="0"/>
                <w:sz w:val="24"/>
                <w:highlight w:val="none"/>
                <w:lang w:val="en-US" w:eastAsia="zh-CN" w:bidi="ar"/>
              </w:rPr>
              <w:t>月</w:t>
            </w:r>
            <w:r>
              <w:rPr>
                <w:rFonts w:hint="default" w:ascii="Times New Roman" w:hAnsi="Times New Roman" w:eastAsia="宋体" w:cs="Times New Roman"/>
                <w:color w:val="auto"/>
                <w:kern w:val="0"/>
                <w:sz w:val="24"/>
                <w:highlight w:val="none"/>
                <w:lang w:val="en-US" w:eastAsia="zh-CN" w:bidi="ar"/>
              </w:rPr>
              <w:t>30</w:t>
            </w:r>
            <w:r>
              <w:rPr>
                <w:rFonts w:hint="eastAsia" w:ascii="Times New Roman" w:hAnsi="Times New Roman" w:eastAsia="宋体" w:cs="Times New Roman"/>
                <w:color w:val="auto"/>
                <w:kern w:val="0"/>
                <w:sz w:val="24"/>
                <w:highlight w:val="none"/>
                <w:lang w:val="en-US" w:eastAsia="zh-CN" w:bidi="ar"/>
              </w:rPr>
              <w:t>日，云南省发展和改革委员会 云南省能源局发布《关于印发云南省在适宜地区适度开发利用新能源规划及配套文件的通知》（云能源水电</w:t>
            </w:r>
            <w:r>
              <w:rPr>
                <w:rFonts w:hint="eastAsia"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2020</w:t>
            </w:r>
            <w:r>
              <w:rPr>
                <w:rFonts w:hint="eastAsia"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153</w:t>
            </w:r>
            <w:r>
              <w:rPr>
                <w:rFonts w:hint="eastAsia" w:ascii="Times New Roman" w:hAnsi="Times New Roman" w:eastAsia="宋体" w:cs="Times New Roman"/>
                <w:color w:val="auto"/>
                <w:kern w:val="0"/>
                <w:sz w:val="24"/>
                <w:highlight w:val="none"/>
                <w:lang w:val="en-US" w:eastAsia="zh-CN" w:bidi="ar"/>
              </w:rPr>
              <w:t>号），通知中指出在适宜地区适度开发利用新能源</w:t>
            </w:r>
            <w:r>
              <w:rPr>
                <w:rFonts w:hint="eastAsia" w:cs="Times New Roman"/>
                <w:color w:val="auto"/>
                <w:kern w:val="0"/>
                <w:sz w:val="24"/>
                <w:highlight w:val="none"/>
                <w:lang w:val="en-US" w:eastAsia="zh-CN" w:bidi="ar"/>
              </w:rPr>
              <w:t>规划区域包括昆明、曲靖、昭通、红河、文山、楚雄6个州（市）的部分区域。本项目选址位于</w:t>
            </w:r>
            <w:r>
              <w:rPr>
                <w:rFonts w:hint="eastAsia" w:ascii="宋体" w:hAnsi="宋体" w:cs="宋体"/>
                <w:color w:val="auto"/>
                <w:kern w:val="0"/>
                <w:sz w:val="24"/>
                <w:szCs w:val="24"/>
                <w:highlight w:val="none"/>
                <w:lang w:val="en-US" w:eastAsia="zh-CN" w:bidi="ar"/>
              </w:rPr>
              <w:t>云南省昆明市寻甸回族彝族自治县河口镇境内</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项目与《云南省在适宜地区适度开发利用新能源规划》的符合性分析见下表</w:t>
            </w:r>
            <w:r>
              <w:rPr>
                <w:rFonts w:hint="default" w:ascii="Times New Roman" w:hAnsi="Times New Roman" w:eastAsia="宋体" w:cs="Times New Roman"/>
                <w:color w:val="auto"/>
                <w:kern w:val="0"/>
                <w:sz w:val="24"/>
                <w:highlight w:val="none"/>
                <w:lang w:val="en-US" w:eastAsia="zh-CN" w:bidi="ar"/>
              </w:rPr>
              <w:t>1-</w:t>
            </w:r>
            <w:r>
              <w:rPr>
                <w:rFonts w:hint="eastAsia" w:cs="Times New Roman"/>
                <w:color w:val="auto"/>
                <w:kern w:val="0"/>
                <w:sz w:val="24"/>
                <w:highlight w:val="none"/>
                <w:lang w:val="en-US" w:eastAsia="zh-CN" w:bidi="ar"/>
              </w:rPr>
              <w:t>2</w:t>
            </w:r>
            <w:r>
              <w:rPr>
                <w:rFonts w:hint="eastAsia" w:ascii="Times New Roman" w:hAnsi="Times New Roman" w:eastAsia="宋体" w:cs="Times New Roman"/>
                <w:color w:val="auto"/>
                <w:kern w:val="0"/>
                <w:sz w:val="24"/>
                <w:highlight w:val="none"/>
                <w:lang w:val="en-US" w:eastAsia="zh-CN" w:bidi="ar"/>
              </w:rPr>
              <w:t>。</w:t>
            </w:r>
          </w:p>
          <w:p w14:paraId="688F56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cs="Times New Roman"/>
                <w:b/>
                <w:bCs/>
                <w:color w:val="auto"/>
                <w:kern w:val="0"/>
                <w:sz w:val="21"/>
                <w:szCs w:val="21"/>
                <w:highlight w:val="none"/>
                <w:lang w:val="en-US" w:eastAsia="zh-CN" w:bidi="ar"/>
              </w:rPr>
              <w:t>2</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Times New Roman" w:hAnsi="Times New Roman" w:eastAsia="宋体" w:cs="Times New Roman"/>
                <w:b/>
                <w:bCs/>
                <w:color w:val="auto"/>
                <w:kern w:val="0"/>
                <w:sz w:val="21"/>
                <w:szCs w:val="21"/>
                <w:highlight w:val="none"/>
                <w:lang w:val="en-US" w:eastAsia="zh-CN" w:bidi="ar"/>
              </w:rPr>
              <w:t xml:space="preserve"> </w:t>
            </w:r>
            <w:r>
              <w:rPr>
                <w:rFonts w:hint="default" w:ascii="Times New Roman" w:hAnsi="Times New Roman" w:eastAsia="宋体" w:cs="Times New Roman"/>
                <w:b/>
                <w:bCs/>
                <w:color w:val="auto"/>
                <w:kern w:val="0"/>
                <w:sz w:val="21"/>
                <w:szCs w:val="21"/>
                <w:highlight w:val="none"/>
                <w:lang w:val="en-US" w:eastAsia="zh-CN" w:bidi="ar"/>
              </w:rPr>
              <w:t>与《云南省在适宜地区适度开发利用新能源规划》符合性分析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1"/>
              <w:gridCol w:w="3357"/>
              <w:gridCol w:w="861"/>
            </w:tblGrid>
            <w:tr w14:paraId="7D8E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102" w:type="pct"/>
                  <w:vAlign w:val="center"/>
                </w:tcPr>
                <w:p w14:paraId="0AB14FD8">
                  <w:pPr>
                    <w:keepNext w:val="0"/>
                    <w:keepLines w:val="0"/>
                    <w:widowControl/>
                    <w:suppressLineNumbers w:val="0"/>
                    <w:spacing w:before="0" w:beforeAutospacing="0" w:after="0" w:afterAutospacing="0"/>
                    <w:ind w:left="0" w:right="0"/>
                    <w:jc w:val="center"/>
                    <w:rPr>
                      <w:rFonts w:hint="default"/>
                      <w:b/>
                      <w:bCs/>
                      <w:color w:val="auto"/>
                      <w:kern w:val="0"/>
                      <w:sz w:val="21"/>
                      <w:szCs w:val="21"/>
                      <w:highlight w:val="none"/>
                      <w:vertAlign w:val="baseline"/>
                    </w:rPr>
                  </w:pPr>
                  <w:r>
                    <w:rPr>
                      <w:rFonts w:hint="eastAsia" w:ascii="宋体" w:hAnsi="宋体" w:eastAsia="宋体" w:cs="宋体"/>
                      <w:b/>
                      <w:bCs/>
                      <w:color w:val="auto"/>
                      <w:kern w:val="0"/>
                      <w:sz w:val="21"/>
                      <w:szCs w:val="21"/>
                      <w:highlight w:val="none"/>
                      <w:lang w:val="en-US" w:eastAsia="zh-CN" w:bidi="ar"/>
                    </w:rPr>
                    <w:t>相关内容</w:t>
                  </w:r>
                </w:p>
              </w:tc>
              <w:tc>
                <w:tcPr>
                  <w:tcW w:w="2305" w:type="pct"/>
                  <w:vAlign w:val="center"/>
                </w:tcPr>
                <w:p w14:paraId="475FF2B7">
                  <w:pPr>
                    <w:keepNext w:val="0"/>
                    <w:keepLines w:val="0"/>
                    <w:widowControl/>
                    <w:suppressLineNumbers w:val="0"/>
                    <w:spacing w:before="0" w:beforeAutospacing="0" w:after="0" w:afterAutospacing="0"/>
                    <w:ind w:left="0" w:right="0"/>
                    <w:jc w:val="center"/>
                    <w:rPr>
                      <w:rFonts w:hint="default"/>
                      <w:b/>
                      <w:bCs/>
                      <w:color w:val="auto"/>
                      <w:kern w:val="0"/>
                      <w:sz w:val="21"/>
                      <w:szCs w:val="21"/>
                      <w:highlight w:val="none"/>
                      <w:vertAlign w:val="baseline"/>
                    </w:rPr>
                  </w:pPr>
                  <w:r>
                    <w:rPr>
                      <w:rFonts w:hint="eastAsia" w:ascii="宋体" w:hAnsi="宋体" w:eastAsia="宋体" w:cs="宋体"/>
                      <w:b/>
                      <w:bCs/>
                      <w:color w:val="auto"/>
                      <w:kern w:val="0"/>
                      <w:sz w:val="21"/>
                      <w:szCs w:val="21"/>
                      <w:highlight w:val="none"/>
                      <w:lang w:val="en-US" w:eastAsia="zh-CN" w:bidi="ar"/>
                    </w:rPr>
                    <w:t>本项目情况</w:t>
                  </w:r>
                </w:p>
              </w:tc>
              <w:tc>
                <w:tcPr>
                  <w:tcW w:w="591" w:type="pct"/>
                  <w:vAlign w:val="center"/>
                </w:tcPr>
                <w:p w14:paraId="4DA613D0">
                  <w:pPr>
                    <w:keepNext w:val="0"/>
                    <w:keepLines w:val="0"/>
                    <w:widowControl/>
                    <w:suppressLineNumbers w:val="0"/>
                    <w:spacing w:before="0" w:beforeAutospacing="0" w:after="0" w:afterAutospacing="0"/>
                    <w:ind w:left="0" w:right="0"/>
                    <w:jc w:val="center"/>
                    <w:rPr>
                      <w:rFonts w:hint="default"/>
                      <w:b/>
                      <w:bCs/>
                      <w:color w:val="auto"/>
                      <w:kern w:val="0"/>
                      <w:sz w:val="21"/>
                      <w:szCs w:val="21"/>
                      <w:highlight w:val="none"/>
                      <w:vertAlign w:val="baseline"/>
                    </w:rPr>
                  </w:pPr>
                  <w:r>
                    <w:rPr>
                      <w:rFonts w:hint="eastAsia" w:ascii="宋体" w:hAnsi="宋体" w:eastAsia="宋体" w:cs="宋体"/>
                      <w:b/>
                      <w:bCs/>
                      <w:color w:val="auto"/>
                      <w:kern w:val="0"/>
                      <w:sz w:val="21"/>
                      <w:szCs w:val="21"/>
                      <w:highlight w:val="none"/>
                      <w:lang w:val="en-US" w:eastAsia="zh-CN" w:bidi="ar"/>
                    </w:rPr>
                    <w:t>符合性</w:t>
                  </w:r>
                </w:p>
              </w:tc>
            </w:tr>
            <w:tr w14:paraId="38F1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2" w:hRule="atLeast"/>
              </w:trPr>
              <w:tc>
                <w:tcPr>
                  <w:tcW w:w="2102" w:type="pct"/>
                  <w:vAlign w:val="center"/>
                </w:tcPr>
                <w:p w14:paraId="6EA996F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项目选址应符合生态环境保护政策。应避让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w:t>
                  </w:r>
                </w:p>
              </w:tc>
              <w:tc>
                <w:tcPr>
                  <w:tcW w:w="2305" w:type="pct"/>
                  <w:vAlign w:val="center"/>
                </w:tcPr>
                <w:p w14:paraId="0B7A5E77">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本项目选址不涉及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项目选址符合生态环境保护政策。</w:t>
                  </w:r>
                </w:p>
              </w:tc>
              <w:tc>
                <w:tcPr>
                  <w:tcW w:w="591" w:type="pct"/>
                  <w:vAlign w:val="center"/>
                </w:tcPr>
                <w:p w14:paraId="3021022D">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符合</w:t>
                  </w:r>
                </w:p>
              </w:tc>
            </w:tr>
            <w:tr w14:paraId="14F5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02" w:type="pct"/>
                  <w:vAlign w:val="center"/>
                </w:tcPr>
                <w:p w14:paraId="17BAB1DA">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项目选址应符合国土用地政策。禁止占用基本农田，应避让坝区，应优先使用石漠化、荒漠化土地和未利用土地。占用一般耕地的</w:t>
                  </w:r>
                  <w:r>
                    <w:rPr>
                      <w:rFonts w:hint="eastAsia" w:ascii="宋体" w:hAnsi="宋体" w:cs="宋体"/>
                      <w:color w:val="auto"/>
                      <w:kern w:val="0"/>
                      <w:sz w:val="21"/>
                      <w:szCs w:val="21"/>
                      <w:highlight w:val="none"/>
                      <w:lang w:val="en-US" w:eastAsia="zh-CN" w:bidi="ar"/>
                    </w:rPr>
                    <w:t>林光互补</w:t>
                  </w:r>
                  <w:r>
                    <w:rPr>
                      <w:rFonts w:hint="eastAsia" w:ascii="宋体" w:hAnsi="宋体" w:eastAsia="宋体" w:cs="宋体"/>
                      <w:color w:val="auto"/>
                      <w:kern w:val="0"/>
                      <w:sz w:val="21"/>
                      <w:szCs w:val="21"/>
                      <w:highlight w:val="none"/>
                      <w:lang w:val="en-US" w:eastAsia="zh-CN" w:bidi="ar"/>
                    </w:rPr>
                    <w:t>光伏发电项目，应抬高光伏组件安装高度，不改变土地使用性质。</w:t>
                  </w:r>
                </w:p>
              </w:tc>
              <w:tc>
                <w:tcPr>
                  <w:tcW w:w="2305" w:type="pct"/>
                  <w:vAlign w:val="center"/>
                </w:tcPr>
                <w:p w14:paraId="77FC1C2D">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根据</w:t>
                  </w:r>
                  <w:r>
                    <w:rPr>
                      <w:rFonts w:hint="eastAsia" w:ascii="宋体" w:hAnsi="宋体" w:cs="宋体"/>
                      <w:color w:val="auto"/>
                      <w:kern w:val="0"/>
                      <w:sz w:val="21"/>
                      <w:szCs w:val="21"/>
                      <w:highlight w:val="none"/>
                      <w:lang w:val="en-US" w:eastAsia="zh-CN" w:bidi="ar"/>
                    </w:rPr>
                    <w:t>寻甸回族彝族自治县自然资源局关于寻甸白石岩、石崖、梳山、竹园沟光伏发电项目用地范围是否涉及寻甸县永久基本农田的说明</w:t>
                  </w:r>
                  <w:r>
                    <w:rPr>
                      <w:rFonts w:hint="eastAsia" w:ascii="宋体" w:hAnsi="宋体" w:eastAsia="宋体" w:cs="宋体"/>
                      <w:color w:val="auto"/>
                      <w:kern w:val="0"/>
                      <w:sz w:val="21"/>
                      <w:szCs w:val="21"/>
                      <w:highlight w:val="none"/>
                      <w:lang w:val="en-US" w:eastAsia="zh-CN" w:bidi="ar"/>
                    </w:rPr>
                    <w:t>，该项目</w:t>
                  </w:r>
                  <w:r>
                    <w:rPr>
                      <w:rFonts w:hint="eastAsia" w:ascii="宋体" w:hAnsi="宋体" w:cs="宋体"/>
                      <w:color w:val="auto"/>
                      <w:kern w:val="0"/>
                      <w:sz w:val="21"/>
                      <w:szCs w:val="21"/>
                      <w:highlight w:val="none"/>
                      <w:lang w:val="en-US" w:eastAsia="zh-CN" w:bidi="ar"/>
                    </w:rPr>
                    <w:t>用地</w:t>
                  </w:r>
                  <w:r>
                    <w:rPr>
                      <w:rFonts w:hint="eastAsia" w:ascii="宋体" w:hAnsi="宋体" w:eastAsia="宋体" w:cs="宋体"/>
                      <w:color w:val="auto"/>
                      <w:kern w:val="0"/>
                      <w:sz w:val="21"/>
                      <w:szCs w:val="21"/>
                      <w:highlight w:val="none"/>
                      <w:lang w:val="en-US" w:eastAsia="zh-CN" w:bidi="ar"/>
                    </w:rPr>
                    <w:t>范围</w:t>
                  </w:r>
                  <w:r>
                    <w:rPr>
                      <w:rFonts w:hint="eastAsia" w:ascii="宋体" w:hAnsi="宋体" w:cs="宋体"/>
                      <w:color w:val="auto"/>
                      <w:kern w:val="0"/>
                      <w:sz w:val="21"/>
                      <w:szCs w:val="21"/>
                      <w:highlight w:val="none"/>
                      <w:lang w:val="en-US" w:eastAsia="zh-CN" w:bidi="ar"/>
                    </w:rPr>
                    <w:t>不占用</w:t>
                  </w:r>
                  <w:r>
                    <w:rPr>
                      <w:rFonts w:hint="eastAsia" w:ascii="宋体" w:hAnsi="宋体" w:eastAsia="宋体" w:cs="宋体"/>
                      <w:color w:val="auto"/>
                      <w:kern w:val="0"/>
                      <w:sz w:val="21"/>
                      <w:szCs w:val="21"/>
                      <w:highlight w:val="none"/>
                      <w:lang w:val="en-US" w:eastAsia="zh-CN" w:bidi="ar"/>
                    </w:rPr>
                    <w:t>寻甸县永久基本农田</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项目光伏组件安装高度严格按照《云南省能源局关于进一步支持光伏扶贫和规范光伏发电产业用地的通知》（云自然资</w:t>
                  </w:r>
                  <w:r>
                    <w:rPr>
                      <w:rFonts w:hint="eastAsia" w:ascii="Times New Roman" w:hAnsi="Times New Roman" w:eastAsia="宋体" w:cs="Times New Roman"/>
                      <w:color w:val="auto"/>
                      <w:kern w:val="0"/>
                      <w:sz w:val="21"/>
                      <w:szCs w:val="21"/>
                      <w:highlight w:val="none"/>
                      <w:lang w:bidi="ar"/>
                    </w:rPr>
                    <w:t>〔</w:t>
                  </w:r>
                  <w:r>
                    <w:rPr>
                      <w:rFonts w:hint="default" w:ascii="Times New Roman" w:hAnsi="Times New Roman" w:eastAsia="宋体" w:cs="Times New Roman"/>
                      <w:color w:val="auto"/>
                      <w:kern w:val="0"/>
                      <w:sz w:val="21"/>
                      <w:szCs w:val="21"/>
                      <w:highlight w:val="none"/>
                      <w:lang w:val="en-US" w:eastAsia="zh-CN" w:bidi="ar"/>
                    </w:rPr>
                    <w:t>2019</w:t>
                  </w:r>
                  <w:r>
                    <w:rPr>
                      <w:rFonts w:hint="eastAsia" w:ascii="Times New Roman" w:hAnsi="Times New Roman" w:eastAsia="宋体" w:cs="Times New Roman"/>
                      <w:color w:val="auto"/>
                      <w:kern w:val="0"/>
                      <w:sz w:val="21"/>
                      <w:szCs w:val="21"/>
                      <w:highlight w:val="none"/>
                      <w:lang w:bidi="ar"/>
                    </w:rPr>
                    <w:t>〕</w:t>
                  </w:r>
                  <w:r>
                    <w:rPr>
                      <w:rFonts w:hint="default" w:ascii="Times New Roman" w:hAnsi="Times New Roman" w:eastAsia="宋体" w:cs="Times New Roman"/>
                      <w:color w:val="auto"/>
                      <w:kern w:val="0"/>
                      <w:sz w:val="21"/>
                      <w:szCs w:val="21"/>
                      <w:highlight w:val="none"/>
                      <w:lang w:val="en-US" w:eastAsia="zh-CN" w:bidi="ar"/>
                    </w:rPr>
                    <w:t>196</w:t>
                  </w:r>
                  <w:r>
                    <w:rPr>
                      <w:rFonts w:hint="eastAsia" w:ascii="宋体" w:hAnsi="宋体" w:eastAsia="宋体" w:cs="宋体"/>
                      <w:color w:val="auto"/>
                      <w:kern w:val="0"/>
                      <w:sz w:val="21"/>
                      <w:szCs w:val="21"/>
                      <w:highlight w:val="none"/>
                      <w:lang w:val="en-US" w:eastAsia="zh-CN" w:bidi="ar"/>
                    </w:rPr>
                    <w:t>号）中</w:t>
                  </w:r>
                  <w:r>
                    <w:rPr>
                      <w:rFonts w:hint="eastAsia" w:ascii="宋体" w:hAnsi="宋体" w:cs="宋体"/>
                      <w:color w:val="auto"/>
                      <w:kern w:val="0"/>
                      <w:szCs w:val="21"/>
                      <w:highlight w:val="none"/>
                      <w:lang w:bidi="ar"/>
                    </w:rPr>
                    <w:t>最低离地</w:t>
                  </w:r>
                  <w:r>
                    <w:rPr>
                      <w:rFonts w:hint="default"/>
                      <w:color w:val="auto"/>
                      <w:kern w:val="0"/>
                      <w:szCs w:val="21"/>
                      <w:highlight w:val="none"/>
                      <w:lang w:bidi="ar"/>
                    </w:rPr>
                    <w:t>2.</w:t>
                  </w:r>
                  <w:r>
                    <w:rPr>
                      <w:rFonts w:hint="eastAsia"/>
                      <w:color w:val="auto"/>
                      <w:kern w:val="0"/>
                      <w:szCs w:val="21"/>
                      <w:highlight w:val="none"/>
                      <w:lang w:val="en-US" w:eastAsia="zh-CN" w:bidi="ar"/>
                    </w:rPr>
                    <w:t>5</w:t>
                  </w:r>
                  <w:r>
                    <w:rPr>
                      <w:rFonts w:hint="default"/>
                      <w:color w:val="auto"/>
                      <w:kern w:val="0"/>
                      <w:szCs w:val="21"/>
                      <w:highlight w:val="none"/>
                      <w:lang w:bidi="ar"/>
                    </w:rPr>
                    <w:t>m</w:t>
                  </w:r>
                  <w:r>
                    <w:rPr>
                      <w:rFonts w:hint="eastAsia" w:ascii="宋体" w:hAnsi="宋体" w:cs="宋体"/>
                      <w:color w:val="auto"/>
                      <w:kern w:val="0"/>
                      <w:szCs w:val="21"/>
                      <w:highlight w:val="none"/>
                      <w:lang w:bidi="ar"/>
                    </w:rPr>
                    <w:t>、桩基间列间距大于</w:t>
                  </w:r>
                  <w:r>
                    <w:rPr>
                      <w:rFonts w:hint="default"/>
                      <w:color w:val="auto"/>
                      <w:kern w:val="0"/>
                      <w:szCs w:val="21"/>
                      <w:highlight w:val="none"/>
                      <w:lang w:bidi="ar"/>
                    </w:rPr>
                    <w:t>4m</w:t>
                  </w:r>
                  <w:r>
                    <w:rPr>
                      <w:rFonts w:hint="eastAsia" w:ascii="宋体" w:hAnsi="宋体" w:cs="宋体"/>
                      <w:color w:val="auto"/>
                      <w:kern w:val="0"/>
                      <w:szCs w:val="21"/>
                      <w:highlight w:val="none"/>
                      <w:lang w:bidi="ar"/>
                    </w:rPr>
                    <w:t>、行间距大于</w:t>
                  </w:r>
                  <w:r>
                    <w:rPr>
                      <w:rFonts w:hint="default"/>
                      <w:color w:val="auto"/>
                      <w:kern w:val="0"/>
                      <w:szCs w:val="21"/>
                      <w:highlight w:val="none"/>
                      <w:lang w:bidi="ar"/>
                    </w:rPr>
                    <w:t>6.5m</w:t>
                  </w:r>
                  <w:r>
                    <w:rPr>
                      <w:rFonts w:hint="eastAsia" w:ascii="宋体" w:hAnsi="宋体" w:cs="宋体"/>
                      <w:color w:val="auto"/>
                      <w:kern w:val="0"/>
                      <w:szCs w:val="21"/>
                      <w:highlight w:val="none"/>
                      <w:lang w:bidi="ar"/>
                    </w:rPr>
                    <w:t>的架设的要求进行建设</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项目通过租赁方式使用河口镇土地，项目建设不改变现有</w:t>
                  </w:r>
                  <w:r>
                    <w:rPr>
                      <w:rFonts w:hint="eastAsia" w:ascii="宋体" w:hAnsi="宋体" w:eastAsia="宋体" w:cs="宋体"/>
                      <w:color w:val="auto"/>
                      <w:kern w:val="0"/>
                      <w:sz w:val="21"/>
                      <w:szCs w:val="21"/>
                      <w:highlight w:val="none"/>
                      <w:lang w:val="en-US" w:eastAsia="zh-CN" w:bidi="ar"/>
                    </w:rPr>
                    <w:t>土地</w:t>
                  </w:r>
                  <w:r>
                    <w:rPr>
                      <w:rFonts w:hint="eastAsia" w:ascii="宋体" w:hAnsi="宋体" w:cs="宋体"/>
                      <w:color w:val="auto"/>
                      <w:kern w:val="0"/>
                      <w:sz w:val="21"/>
                      <w:szCs w:val="21"/>
                      <w:highlight w:val="none"/>
                      <w:lang w:val="en-US" w:eastAsia="zh-CN" w:bidi="ar"/>
                    </w:rPr>
                    <w:t>使用</w:t>
                  </w:r>
                  <w:r>
                    <w:rPr>
                      <w:rFonts w:hint="eastAsia" w:ascii="宋体" w:hAnsi="宋体" w:eastAsia="宋体" w:cs="宋体"/>
                      <w:color w:val="auto"/>
                      <w:kern w:val="0"/>
                      <w:sz w:val="21"/>
                      <w:szCs w:val="21"/>
                      <w:highlight w:val="none"/>
                      <w:lang w:val="en-US" w:eastAsia="zh-CN" w:bidi="ar"/>
                    </w:rPr>
                    <w:t>性质。项目选址符合国土用地政策。</w:t>
                  </w:r>
                </w:p>
              </w:tc>
              <w:tc>
                <w:tcPr>
                  <w:tcW w:w="591" w:type="pct"/>
                  <w:vAlign w:val="center"/>
                </w:tcPr>
                <w:p w14:paraId="3F783E4E">
                  <w:pPr>
                    <w:keepNext w:val="0"/>
                    <w:keepLines w:val="0"/>
                    <w:widowControl/>
                    <w:suppressLineNumbers w:val="0"/>
                    <w:spacing w:before="0" w:beforeAutospacing="0" w:after="0" w:afterAutospacing="0" w:line="360" w:lineRule="auto"/>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符合</w:t>
                  </w:r>
                </w:p>
              </w:tc>
            </w:tr>
            <w:tr w14:paraId="5741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66217360">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项目选址应符合林业用地政策。光伏项目应避让天然林保护工程区和天然林地，光伏电池组件阵列应避让有林地、疏林地、未成林造林地、采伐迹地、火烧迹地，以及年降</w:t>
                  </w:r>
                  <w:r>
                    <w:rPr>
                      <w:rFonts w:hint="eastAsia" w:ascii="宋体" w:hAnsi="宋体" w:cs="宋体"/>
                      <w:color w:val="auto"/>
                      <w:kern w:val="0"/>
                      <w:sz w:val="21"/>
                      <w:szCs w:val="21"/>
                      <w:highlight w:val="none"/>
                      <w:lang w:val="en-US" w:eastAsia="zh-CN" w:bidi="ar"/>
                    </w:rPr>
                    <w:t>雨量</w:t>
                  </w:r>
                  <w:r>
                    <w:rPr>
                      <w:rFonts w:hint="default" w:ascii="Times New Roman" w:hAnsi="Times New Roman" w:eastAsia="宋体" w:cs="Times New Roman"/>
                      <w:color w:val="auto"/>
                      <w:kern w:val="0"/>
                      <w:sz w:val="21"/>
                      <w:szCs w:val="21"/>
                      <w:highlight w:val="none"/>
                      <w:lang w:val="en-US" w:eastAsia="zh-CN" w:bidi="ar"/>
                    </w:rPr>
                    <w:t>400</w:t>
                  </w:r>
                  <w:r>
                    <w:rPr>
                      <w:rFonts w:hint="eastAsia" w:ascii="宋体" w:hAnsi="宋体" w:eastAsia="宋体" w:cs="宋体"/>
                      <w:color w:val="auto"/>
                      <w:kern w:val="0"/>
                      <w:sz w:val="21"/>
                      <w:szCs w:val="21"/>
                      <w:highlight w:val="none"/>
                      <w:lang w:val="en-US" w:eastAsia="zh-CN" w:bidi="ar"/>
                    </w:rPr>
                    <w:t>毫米以下区域覆盖度高于</w:t>
                  </w:r>
                  <w:r>
                    <w:rPr>
                      <w:rFonts w:hint="default" w:ascii="Times New Roman" w:hAnsi="Times New Roman" w:eastAsia="宋体" w:cs="Times New Roman"/>
                      <w:color w:val="auto"/>
                      <w:kern w:val="0"/>
                      <w:sz w:val="21"/>
                      <w:szCs w:val="21"/>
                      <w:highlight w:val="none"/>
                      <w:lang w:val="en-US" w:eastAsia="zh-CN" w:bidi="ar"/>
                    </w:rPr>
                    <w:t>30%</w:t>
                  </w:r>
                  <w:r>
                    <w:rPr>
                      <w:rFonts w:hint="eastAsia" w:ascii="宋体" w:hAnsi="宋体" w:eastAsia="宋体" w:cs="宋体"/>
                      <w:color w:val="auto"/>
                      <w:kern w:val="0"/>
                      <w:sz w:val="21"/>
                      <w:szCs w:val="21"/>
                      <w:highlight w:val="none"/>
                      <w:lang w:val="en-US" w:eastAsia="zh-CN" w:bidi="ar"/>
                    </w:rPr>
                    <w:t>和年降雨量</w:t>
                  </w:r>
                  <w:r>
                    <w:rPr>
                      <w:rFonts w:hint="default" w:ascii="Times New Roman" w:hAnsi="Times New Roman" w:eastAsia="宋体" w:cs="Times New Roman"/>
                      <w:color w:val="auto"/>
                      <w:kern w:val="0"/>
                      <w:sz w:val="21"/>
                      <w:szCs w:val="21"/>
                      <w:highlight w:val="none"/>
                      <w:lang w:val="en-US" w:eastAsia="zh-CN" w:bidi="ar"/>
                    </w:rPr>
                    <w:t>400</w:t>
                  </w:r>
                  <w:r>
                    <w:rPr>
                      <w:rFonts w:hint="eastAsia" w:ascii="宋体" w:hAnsi="宋体" w:eastAsia="宋体" w:cs="宋体"/>
                      <w:color w:val="auto"/>
                      <w:kern w:val="0"/>
                      <w:sz w:val="21"/>
                      <w:szCs w:val="21"/>
                      <w:highlight w:val="none"/>
                      <w:lang w:val="en-US" w:eastAsia="zh-CN" w:bidi="ar"/>
                    </w:rPr>
                    <w:t>毫米以上区域覆盖度高于</w:t>
                  </w:r>
                  <w:r>
                    <w:rPr>
                      <w:rFonts w:hint="default" w:ascii="Times New Roman" w:hAnsi="Times New Roman" w:eastAsia="宋体" w:cs="Times New Roman"/>
                      <w:color w:val="auto"/>
                      <w:kern w:val="0"/>
                      <w:sz w:val="21"/>
                      <w:szCs w:val="21"/>
                      <w:highlight w:val="none"/>
                      <w:lang w:val="en-US" w:eastAsia="zh-CN" w:bidi="ar"/>
                    </w:rPr>
                    <w:t>50%</w:t>
                  </w:r>
                  <w:r>
                    <w:rPr>
                      <w:rFonts w:hint="eastAsia" w:ascii="宋体" w:hAnsi="宋体" w:eastAsia="宋体" w:cs="宋体"/>
                      <w:color w:val="auto"/>
                      <w:kern w:val="0"/>
                      <w:sz w:val="21"/>
                      <w:szCs w:val="21"/>
                      <w:highlight w:val="none"/>
                      <w:lang w:val="en-US" w:eastAsia="zh-CN" w:bidi="ar"/>
                    </w:rPr>
                    <w:t>的灌木林地。</w:t>
                  </w:r>
                </w:p>
              </w:tc>
              <w:tc>
                <w:tcPr>
                  <w:tcW w:w="2305" w:type="pct"/>
                  <w:vAlign w:val="center"/>
                </w:tcPr>
                <w:p w14:paraId="56503A97">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default" w:ascii="Times New Roman" w:hAnsi="Times New Roman" w:eastAsia="宋体" w:cs="Times New Roman"/>
                      <w:color w:val="auto"/>
                      <w:spacing w:val="0"/>
                      <w:kern w:val="0"/>
                      <w:sz w:val="21"/>
                      <w:szCs w:val="21"/>
                      <w:highlight w:val="none"/>
                      <w:lang w:val="en-US" w:eastAsia="zh-CN" w:bidi="ar"/>
                    </w:rPr>
                    <w:t>根据项目使用林地可行性报告，</w:t>
                  </w:r>
                  <w:r>
                    <w:rPr>
                      <w:rFonts w:hint="default" w:ascii="Times New Roman" w:hAnsi="Times New Roman" w:eastAsia="宋体" w:cs="Times New Roman"/>
                      <w:color w:val="auto"/>
                      <w:kern w:val="0"/>
                      <w:sz w:val="21"/>
                      <w:szCs w:val="21"/>
                      <w:lang w:val="en-US" w:eastAsia="zh-CN" w:bidi="ar"/>
                    </w:rPr>
                    <w:t>本工程建设涉及占用林地情况为灌木林地、其他林地，保护等级Ⅱ~Ⅳ级，盖度小于50%</w:t>
                  </w:r>
                  <w:r>
                    <w:rPr>
                      <w:rFonts w:hint="eastAsia" w:cs="Times New Roman"/>
                      <w:color w:val="auto"/>
                      <w:spacing w:val="0"/>
                      <w:kern w:val="0"/>
                      <w:sz w:val="21"/>
                      <w:szCs w:val="21"/>
                      <w:lang w:val="en-US" w:eastAsia="zh-CN" w:bidi="ar"/>
                    </w:rPr>
                    <w:t>。同时已避让天然林保护工程区和天然林地；有林地、疏林地、未成林造林地、采伐迹地、火烧迹地。</w:t>
                  </w:r>
                  <w:r>
                    <w:rPr>
                      <w:rFonts w:hint="default" w:ascii="Times New Roman" w:hAnsi="Times New Roman" w:eastAsia="宋体" w:cs="Times New Roman"/>
                      <w:color w:val="auto"/>
                      <w:spacing w:val="0"/>
                      <w:kern w:val="0"/>
                      <w:sz w:val="21"/>
                      <w:szCs w:val="21"/>
                      <w:highlight w:val="none"/>
                      <w:lang w:val="en-US" w:eastAsia="zh-CN" w:bidi="ar"/>
                    </w:rPr>
                    <w:t>根据查阅气象资料，项目所在区域多年平均降雨量为1045mm</w:t>
                  </w:r>
                  <w:r>
                    <w:rPr>
                      <w:rFonts w:hint="eastAsia" w:ascii="Times New Roman" w:hAnsi="Times New Roman" w:eastAsia="宋体" w:cs="Times New Roman"/>
                      <w:color w:val="auto"/>
                      <w:spacing w:val="0"/>
                      <w:kern w:val="0"/>
                      <w:sz w:val="21"/>
                      <w:szCs w:val="21"/>
                      <w:highlight w:val="none"/>
                      <w:lang w:val="en-US" w:eastAsia="zh-CN" w:bidi="ar"/>
                    </w:rPr>
                    <w:t>，因此项目不使用</w:t>
                  </w:r>
                  <w:r>
                    <w:rPr>
                      <w:rFonts w:hint="default" w:ascii="Times New Roman" w:hAnsi="Times New Roman" w:eastAsia="宋体" w:cs="Times New Roman"/>
                      <w:color w:val="auto"/>
                      <w:spacing w:val="0"/>
                      <w:sz w:val="21"/>
                      <w:szCs w:val="21"/>
                      <w:highlight w:val="none"/>
                    </w:rPr>
                    <w:t>降雨量400毫米以上区域覆盖度高于50%的灌木林地</w:t>
                  </w:r>
                  <w:r>
                    <w:rPr>
                      <w:rFonts w:hint="eastAsia" w:ascii="Times New Roman" w:hAnsi="Times New Roman" w:eastAsia="宋体" w:cs="Times New Roman"/>
                      <w:color w:val="auto"/>
                      <w:spacing w:val="0"/>
                      <w:kern w:val="0"/>
                      <w:sz w:val="21"/>
                      <w:szCs w:val="21"/>
                      <w:highlight w:val="none"/>
                      <w:lang w:val="en-US" w:eastAsia="zh-CN" w:bidi="ar"/>
                    </w:rPr>
                    <w:t>。</w:t>
                  </w:r>
                </w:p>
              </w:tc>
              <w:tc>
                <w:tcPr>
                  <w:tcW w:w="591" w:type="pct"/>
                  <w:vAlign w:val="center"/>
                </w:tcPr>
                <w:p w14:paraId="6EFD40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符合</w:t>
                  </w:r>
                </w:p>
              </w:tc>
            </w:tr>
            <w:tr w14:paraId="6C7D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pct"/>
                  <w:vAlign w:val="center"/>
                </w:tcPr>
                <w:p w14:paraId="38DF8960">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项目选址应符合国土空间规划、实现景观保护。应远离滇中城市群规划的主体城市、一般城市和新兴城镇，远离城市及城镇的面山区域。应远离金沙江及长江一级支流岸线保护范围。</w:t>
                  </w:r>
                </w:p>
              </w:tc>
              <w:tc>
                <w:tcPr>
                  <w:tcW w:w="2305" w:type="pct"/>
                  <w:vAlign w:val="center"/>
                </w:tcPr>
                <w:p w14:paraId="35A94C42">
                  <w:pPr>
                    <w:keepNext w:val="0"/>
                    <w:keepLines w:val="0"/>
                    <w:widowControl/>
                    <w:suppressLineNumbers w:val="0"/>
                    <w:spacing w:before="0" w:beforeAutospacing="0" w:after="0" w:afterAutospacing="0"/>
                    <w:ind w:left="0" w:right="0"/>
                    <w:jc w:val="center"/>
                    <w:rPr>
                      <w:rFonts w:hint="default"/>
                      <w:color w:val="auto"/>
                      <w:kern w:val="0"/>
                      <w:sz w:val="21"/>
                      <w:szCs w:val="21"/>
                      <w:highlight w:val="none"/>
                      <w:vertAlign w:val="baseline"/>
                    </w:rPr>
                  </w:pPr>
                  <w:r>
                    <w:rPr>
                      <w:rFonts w:hint="eastAsia" w:ascii="宋体" w:hAnsi="宋体" w:eastAsia="宋体" w:cs="宋体"/>
                      <w:color w:val="auto"/>
                      <w:kern w:val="0"/>
                      <w:sz w:val="21"/>
                      <w:szCs w:val="21"/>
                      <w:highlight w:val="none"/>
                      <w:lang w:val="en-US" w:eastAsia="zh-CN" w:bidi="ar"/>
                    </w:rPr>
                    <w:t>本项目选址位于云南省昆明市寻甸回族彝族自治县河口镇境内，远离滇中城市群规划的主体城市、一般城市和新兴城镇，远离城市及城镇的面山区域。不在金沙江及长江一级支流岸线保护范围内。</w:t>
                  </w:r>
                  <w:r>
                    <w:rPr>
                      <w:rFonts w:hint="default"/>
                      <w:color w:val="auto"/>
                      <w:sz w:val="21"/>
                      <w:szCs w:val="21"/>
                      <w:highlight w:val="none"/>
                    </w:rPr>
                    <w:t>根据</w:t>
                  </w:r>
                  <w:r>
                    <w:rPr>
                      <w:rFonts w:hint="eastAsia"/>
                      <w:color w:val="auto"/>
                      <w:sz w:val="21"/>
                      <w:szCs w:val="21"/>
                      <w:highlight w:val="none"/>
                    </w:rPr>
                    <w:t>寻甸回族彝族自治</w:t>
                  </w:r>
                  <w:r>
                    <w:rPr>
                      <w:rFonts w:hint="default"/>
                      <w:color w:val="auto"/>
                      <w:sz w:val="21"/>
                      <w:szCs w:val="21"/>
                      <w:highlight w:val="none"/>
                    </w:rPr>
                    <w:t>县自然资源局202</w:t>
                  </w:r>
                  <w:r>
                    <w:rPr>
                      <w:rFonts w:hint="eastAsia"/>
                      <w:color w:val="auto"/>
                      <w:sz w:val="21"/>
                      <w:szCs w:val="21"/>
                      <w:highlight w:val="none"/>
                      <w:lang w:val="en-US" w:eastAsia="zh-CN"/>
                    </w:rPr>
                    <w:t>4</w:t>
                  </w:r>
                  <w:r>
                    <w:rPr>
                      <w:rFonts w:hint="default"/>
                      <w:color w:val="auto"/>
                      <w:sz w:val="21"/>
                      <w:szCs w:val="21"/>
                      <w:highlight w:val="none"/>
                    </w:rPr>
                    <w:t>年</w:t>
                  </w:r>
                  <w:r>
                    <w:rPr>
                      <w:rFonts w:hint="eastAsia"/>
                      <w:color w:val="auto"/>
                      <w:sz w:val="21"/>
                      <w:szCs w:val="21"/>
                      <w:highlight w:val="none"/>
                      <w:lang w:val="en-US" w:eastAsia="zh-CN"/>
                    </w:rPr>
                    <w:t>9</w:t>
                  </w:r>
                  <w:r>
                    <w:rPr>
                      <w:rFonts w:hint="default"/>
                      <w:color w:val="auto"/>
                      <w:sz w:val="21"/>
                      <w:szCs w:val="21"/>
                      <w:highlight w:val="none"/>
                    </w:rPr>
                    <w:t>月2</w:t>
                  </w:r>
                  <w:r>
                    <w:rPr>
                      <w:rFonts w:hint="eastAsia"/>
                      <w:color w:val="auto"/>
                      <w:sz w:val="21"/>
                      <w:szCs w:val="21"/>
                      <w:highlight w:val="none"/>
                      <w:lang w:val="en-US" w:eastAsia="zh-CN"/>
                    </w:rPr>
                    <w:t>7</w:t>
                  </w:r>
                  <w:r>
                    <w:rPr>
                      <w:rFonts w:hint="default"/>
                      <w:color w:val="auto"/>
                      <w:sz w:val="21"/>
                      <w:szCs w:val="21"/>
                      <w:highlight w:val="none"/>
                    </w:rPr>
                    <w:t>日出具的</w:t>
                  </w:r>
                  <w:r>
                    <w:rPr>
                      <w:rFonts w:hint="eastAsia"/>
                      <w:color w:val="auto"/>
                      <w:sz w:val="21"/>
                      <w:szCs w:val="21"/>
                      <w:highlight w:val="none"/>
                      <w:lang w:val="en-US" w:eastAsia="zh-CN"/>
                    </w:rPr>
                    <w:t>选址意见，</w:t>
                  </w:r>
                  <w:r>
                    <w:rPr>
                      <w:rFonts w:hint="default"/>
                      <w:color w:val="auto"/>
                      <w:sz w:val="21"/>
                      <w:szCs w:val="21"/>
                      <w:highlight w:val="none"/>
                    </w:rPr>
                    <w:t>项目用地范围未与寻甸县生态保护红线重叠</w:t>
                  </w:r>
                  <w:r>
                    <w:rPr>
                      <w:rFonts w:hint="eastAsia"/>
                      <w:color w:val="auto"/>
                      <w:sz w:val="21"/>
                      <w:szCs w:val="21"/>
                      <w:highlight w:val="none"/>
                      <w:lang w:eastAsia="zh-CN"/>
                    </w:rPr>
                    <w:t>，</w:t>
                  </w:r>
                  <w:r>
                    <w:rPr>
                      <w:rFonts w:hint="eastAsia"/>
                      <w:color w:val="auto"/>
                      <w:spacing w:val="0"/>
                      <w:sz w:val="21"/>
                      <w:szCs w:val="21"/>
                      <w:highlight w:val="none"/>
                      <w:shd w:val="clear" w:color="auto" w:fill="auto"/>
                      <w:lang w:val="en-US" w:eastAsia="zh-CN" w:bidi="he-IL"/>
                    </w:rPr>
                    <w:t>项目用地范围未涉及寻甸县永久基本农田，因此</w:t>
                  </w:r>
                  <w:r>
                    <w:rPr>
                      <w:rFonts w:hint="eastAsia" w:ascii="宋体" w:hAnsi="宋体" w:eastAsia="宋体" w:cs="宋体"/>
                      <w:color w:val="auto"/>
                      <w:kern w:val="0"/>
                      <w:sz w:val="21"/>
                      <w:szCs w:val="21"/>
                      <w:lang w:val="en-US" w:eastAsia="zh-CN" w:bidi="ar"/>
                    </w:rPr>
                    <w:t>项目选址符合国土空间规划</w:t>
                  </w:r>
                  <w:r>
                    <w:rPr>
                      <w:rFonts w:hint="eastAsia" w:ascii="宋体" w:hAnsi="宋体" w:cs="宋体"/>
                      <w:color w:val="auto"/>
                      <w:kern w:val="0"/>
                      <w:sz w:val="21"/>
                      <w:szCs w:val="21"/>
                      <w:lang w:val="en-US" w:eastAsia="zh-CN" w:bidi="ar"/>
                    </w:rPr>
                    <w:t>，项目建成后实施林光互补工程，</w:t>
                  </w:r>
                  <w:r>
                    <w:rPr>
                      <w:rFonts w:hint="eastAsia" w:ascii="宋体" w:hAnsi="宋体" w:eastAsia="宋体" w:cs="宋体"/>
                      <w:color w:val="auto"/>
                      <w:kern w:val="0"/>
                      <w:sz w:val="21"/>
                      <w:szCs w:val="21"/>
                      <w:lang w:val="en-US" w:eastAsia="zh-CN" w:bidi="ar"/>
                    </w:rPr>
                    <w:t>实现景观保护。</w:t>
                  </w:r>
                </w:p>
              </w:tc>
              <w:tc>
                <w:tcPr>
                  <w:tcW w:w="591" w:type="pct"/>
                  <w:vAlign w:val="center"/>
                </w:tcPr>
                <w:p w14:paraId="24EFE97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符合</w:t>
                  </w:r>
                </w:p>
              </w:tc>
            </w:tr>
          </w:tbl>
          <w:p w14:paraId="3BADE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bCs/>
                <w:color w:val="auto"/>
                <w:kern w:val="0"/>
                <w:sz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根据分析，项目选址不占用基本农田，选址避让了生态红线、自然保护区、饮用水源地等敏感区，避让了滇中城市群主城范围，避让了旅游地区，远离长江经济带规划发展区，没有布局在城市（城镇）面山区域，对滇中城市群及长江经济带未来发展无明显直接影响，项目建设符合《云南省在适宜地区适度开发利用新能源规划》的相关要求。</w:t>
            </w:r>
          </w:p>
          <w:p w14:paraId="49F42A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kern w:val="0"/>
                <w:sz w:val="24"/>
                <w:highlight w:val="none"/>
                <w:lang w:val="en-US" w:eastAsia="zh-CN" w:bidi="ar"/>
              </w:rPr>
            </w:pPr>
            <w:r>
              <w:rPr>
                <w:rFonts w:hint="eastAsia" w:cs="Times New Roman"/>
                <w:b/>
                <w:bCs/>
                <w:color w:val="auto"/>
                <w:kern w:val="0"/>
                <w:sz w:val="24"/>
                <w:highlight w:val="none"/>
                <w:lang w:val="en-US" w:eastAsia="zh-CN" w:bidi="ar"/>
              </w:rPr>
              <w:t>3</w:t>
            </w:r>
            <w:r>
              <w:rPr>
                <w:rFonts w:hint="default" w:ascii="Times New Roman" w:hAnsi="Times New Roman" w:cs="Times New Roman"/>
                <w:b/>
                <w:bCs/>
                <w:color w:val="auto"/>
                <w:kern w:val="0"/>
                <w:sz w:val="24"/>
                <w:highlight w:val="none"/>
                <w:lang w:val="en-US" w:eastAsia="zh-CN" w:bidi="ar"/>
              </w:rPr>
              <w:t>、与《云南省在适宜地区适度开发利用新能源规划环境影响篇章》的符合性分析</w:t>
            </w:r>
          </w:p>
          <w:p w14:paraId="6E0851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重视项目对敏感环境保护目标的影响评价尽量避让生态保护红线、《云南省主体功能区规划》中确定的禁止开发区域（自然保护区、风景名胜区、世界遗产地、国家森林公园、国家地质公园、文物古迹、集中式饮用水源地等）及原始天然林、候鸟迁徙通道、保护鸟类重要生境等环境敏感区，尽量减少对敏感区域的扰动，避免造成重大影响。</w:t>
            </w:r>
          </w:p>
          <w:p w14:paraId="6E713C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根据</w:t>
            </w:r>
            <w:r>
              <w:rPr>
                <w:rFonts w:hint="eastAsia" w:cs="Times New Roman"/>
                <w:color w:val="auto"/>
                <w:kern w:val="0"/>
                <w:sz w:val="24"/>
                <w:szCs w:val="24"/>
                <w:highlight w:val="none"/>
                <w:lang w:val="en-US" w:eastAsia="zh-CN"/>
              </w:rPr>
              <w:t>寻甸回族彝族自治</w:t>
            </w:r>
            <w:r>
              <w:rPr>
                <w:rFonts w:hint="eastAsia" w:ascii="Times New Roman" w:hAnsi="Times New Roman" w:cs="Times New Roman"/>
                <w:color w:val="auto"/>
                <w:kern w:val="0"/>
                <w:sz w:val="24"/>
                <w:szCs w:val="24"/>
                <w:highlight w:val="none"/>
                <w:lang w:val="en-US" w:eastAsia="zh-CN"/>
              </w:rPr>
              <w:t>县</w:t>
            </w:r>
            <w:r>
              <w:rPr>
                <w:rFonts w:hint="default" w:ascii="Times New Roman" w:hAnsi="Times New Roman" w:cs="Times New Roman"/>
                <w:color w:val="auto"/>
                <w:kern w:val="0"/>
                <w:sz w:val="24"/>
                <w:szCs w:val="24"/>
                <w:highlight w:val="none"/>
                <w:lang w:val="en-US" w:eastAsia="zh-CN"/>
              </w:rPr>
              <w:t>自然资源局、</w:t>
            </w:r>
            <w:r>
              <w:rPr>
                <w:rFonts w:hint="eastAsia" w:cs="Times New Roman"/>
                <w:color w:val="auto"/>
                <w:kern w:val="0"/>
                <w:sz w:val="24"/>
                <w:szCs w:val="24"/>
                <w:highlight w:val="none"/>
                <w:lang w:val="en-US" w:eastAsia="zh-CN"/>
              </w:rPr>
              <w:t>寻甸回族彝族自治</w:t>
            </w:r>
            <w:r>
              <w:rPr>
                <w:rFonts w:hint="eastAsia" w:ascii="Times New Roman" w:hAnsi="Times New Roman" w:cs="Times New Roman"/>
                <w:color w:val="auto"/>
                <w:kern w:val="0"/>
                <w:sz w:val="24"/>
                <w:szCs w:val="24"/>
                <w:highlight w:val="none"/>
                <w:lang w:val="en-US" w:eastAsia="zh-CN"/>
              </w:rPr>
              <w:t>县</w:t>
            </w:r>
            <w:r>
              <w:rPr>
                <w:rFonts w:hint="default" w:ascii="Times New Roman" w:hAnsi="Times New Roman" w:eastAsia="宋体" w:cs="Times New Roman"/>
                <w:color w:val="auto"/>
                <w:kern w:val="0"/>
                <w:sz w:val="24"/>
                <w:szCs w:val="24"/>
                <w:highlight w:val="none"/>
                <w:lang w:val="en-US" w:eastAsia="zh-CN" w:bidi="ar"/>
              </w:rPr>
              <w:t>林业和草原局</w:t>
            </w:r>
            <w:r>
              <w:rPr>
                <w:rFonts w:hint="eastAsia"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rPr>
              <w:t>寻甸回族彝族自治</w:t>
            </w:r>
            <w:r>
              <w:rPr>
                <w:rFonts w:hint="eastAsia" w:ascii="Times New Roman" w:hAnsi="Times New Roman" w:cs="Times New Roman"/>
                <w:color w:val="auto"/>
                <w:kern w:val="0"/>
                <w:sz w:val="24"/>
                <w:szCs w:val="24"/>
                <w:highlight w:val="none"/>
                <w:lang w:val="en-US" w:eastAsia="zh-CN"/>
              </w:rPr>
              <w:t>县</w:t>
            </w:r>
            <w:r>
              <w:rPr>
                <w:rFonts w:hint="eastAsia" w:cs="Times New Roman"/>
                <w:color w:val="auto"/>
                <w:kern w:val="0"/>
                <w:sz w:val="24"/>
                <w:szCs w:val="24"/>
                <w:highlight w:val="none"/>
                <w:lang w:val="en-US" w:eastAsia="zh-CN"/>
              </w:rPr>
              <w:t>文化和旅游局、寻甸回族彝族自治</w:t>
            </w:r>
            <w:r>
              <w:rPr>
                <w:rFonts w:hint="eastAsia" w:ascii="Times New Roman" w:hAnsi="Times New Roman" w:cs="Times New Roman"/>
                <w:color w:val="auto"/>
                <w:kern w:val="0"/>
                <w:sz w:val="24"/>
                <w:szCs w:val="24"/>
                <w:highlight w:val="none"/>
                <w:lang w:val="en-US" w:eastAsia="zh-CN"/>
              </w:rPr>
              <w:t>县</w:t>
            </w:r>
            <w:r>
              <w:rPr>
                <w:rFonts w:hint="eastAsia" w:cs="Times New Roman"/>
                <w:color w:val="auto"/>
                <w:kern w:val="0"/>
                <w:sz w:val="24"/>
                <w:szCs w:val="24"/>
                <w:highlight w:val="none"/>
                <w:lang w:val="en-US" w:eastAsia="zh-CN" w:bidi="ar"/>
              </w:rPr>
              <w:t>水务局</w:t>
            </w:r>
            <w:r>
              <w:rPr>
                <w:rFonts w:hint="default" w:ascii="Times New Roman" w:hAnsi="Times New Roman" w:cs="Times New Roman"/>
                <w:color w:val="auto"/>
                <w:kern w:val="0"/>
                <w:sz w:val="24"/>
                <w:szCs w:val="24"/>
                <w:highlight w:val="none"/>
                <w:lang w:val="en-US" w:eastAsia="zh-CN"/>
              </w:rPr>
              <w:t>等有关单位对项目区域制约性因素查询结果，</w:t>
            </w:r>
            <w:r>
              <w:rPr>
                <w:rFonts w:hint="eastAsia" w:cs="Times New Roman"/>
                <w:color w:val="auto"/>
                <w:sz w:val="24"/>
                <w:szCs w:val="24"/>
                <w:highlight w:val="none"/>
                <w:shd w:val="clear" w:color="auto" w:fill="auto"/>
                <w:lang w:val="en-US" w:eastAsia="zh-CN"/>
              </w:rPr>
              <w:t>梳山光伏发电项目不涉及</w:t>
            </w:r>
            <w:r>
              <w:rPr>
                <w:rFonts w:hint="default" w:ascii="Times New Roman" w:hAnsi="Times New Roman" w:cs="Times New Roman"/>
                <w:color w:val="auto"/>
                <w:kern w:val="0"/>
                <w:sz w:val="24"/>
                <w:highlight w:val="none"/>
                <w:lang w:val="en-US" w:eastAsia="zh-CN"/>
              </w:rPr>
              <w:t>自然保护区、风景名胜区、世界遗产地、国家森林公园、国家地质公园、文物古迹、集中式饮用水源地及原始天然林、候鸟迁徙通道、保护鸟类重要生境等环境敏感区</w:t>
            </w:r>
            <w:r>
              <w:rPr>
                <w:rFonts w:hint="default" w:ascii="Times New Roman" w:hAnsi="Times New Roman" w:cs="Times New Roman"/>
                <w:color w:val="auto"/>
                <w:kern w:val="0"/>
                <w:sz w:val="24"/>
                <w:szCs w:val="24"/>
                <w:highlight w:val="none"/>
                <w:lang w:val="en-US" w:eastAsia="zh-CN"/>
              </w:rPr>
              <w:t>，不</w:t>
            </w:r>
            <w:r>
              <w:rPr>
                <w:rFonts w:hint="eastAsia" w:cs="Times New Roman"/>
                <w:color w:val="auto"/>
                <w:kern w:val="0"/>
                <w:sz w:val="24"/>
                <w:szCs w:val="24"/>
                <w:highlight w:val="none"/>
                <w:lang w:val="en-US" w:eastAsia="zh-CN"/>
              </w:rPr>
              <w:t>占用</w:t>
            </w:r>
            <w:r>
              <w:rPr>
                <w:rFonts w:hint="default" w:ascii="Times New Roman" w:hAnsi="Times New Roman" w:cs="Times New Roman"/>
                <w:color w:val="auto"/>
                <w:kern w:val="0"/>
                <w:sz w:val="24"/>
                <w:szCs w:val="24"/>
                <w:highlight w:val="none"/>
                <w:lang w:val="en-US" w:eastAsia="zh-CN"/>
              </w:rPr>
              <w:t>生态保护红线</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项目符合要求。</w:t>
            </w:r>
          </w:p>
          <w:p w14:paraId="0E15B54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（2）重视项目区生态环境现状调查</w:t>
            </w:r>
          </w:p>
          <w:p w14:paraId="08B4F5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开展规划项目土地利用和植被植物影响的详细调查，邀请植物专家调查建设区是否存在极小种群、重点保护野生植物以及特殊（珍稀）植物群落等，并需特别关注环境敏感区域的调查，在项目环评中给予足够的重视。</w:t>
            </w:r>
          </w:p>
          <w:p w14:paraId="0240088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rPr>
              <w:t>在本次环评过程中，已委托专业技术人员对项目生态影响区生态环境进行了详细的调查</w:t>
            </w:r>
            <w:r>
              <w:rPr>
                <w:rFonts w:hint="eastAsia" w:hAnsi="宋体"/>
                <w:color w:val="auto"/>
                <w:sz w:val="24"/>
                <w:szCs w:val="24"/>
                <w:highlight w:val="none"/>
                <w:lang w:val="en-US" w:eastAsia="zh-CN"/>
              </w:rPr>
              <w:t>，项目区不</w:t>
            </w:r>
            <w:r>
              <w:rPr>
                <w:rFonts w:hint="default" w:ascii="Times New Roman" w:hAnsi="Times New Roman" w:cs="Times New Roman"/>
                <w:color w:val="auto"/>
                <w:kern w:val="0"/>
                <w:sz w:val="24"/>
                <w:highlight w:val="none"/>
                <w:lang w:val="en-US" w:eastAsia="zh-CN"/>
              </w:rPr>
              <w:t>存在极小种群以及特殊（珍稀）植物群落等</w:t>
            </w:r>
            <w:r>
              <w:rPr>
                <w:rFonts w:hint="eastAsia" w:cs="Times New Roman"/>
                <w:color w:val="auto"/>
                <w:kern w:val="0"/>
                <w:sz w:val="24"/>
                <w:highlight w:val="none"/>
                <w:lang w:val="en-US" w:eastAsia="zh-CN"/>
              </w:rPr>
              <w:t>，因此</w:t>
            </w:r>
            <w:r>
              <w:rPr>
                <w:rFonts w:hint="default" w:ascii="Times New Roman" w:hAnsi="Times New Roman" w:cs="Times New Roman"/>
                <w:color w:val="auto"/>
                <w:kern w:val="0"/>
                <w:sz w:val="24"/>
                <w:szCs w:val="24"/>
                <w:highlight w:val="none"/>
                <w:lang w:val="en-US" w:eastAsia="zh-CN"/>
              </w:rPr>
              <w:t>项目符合要求</w:t>
            </w:r>
            <w:r>
              <w:rPr>
                <w:rFonts w:hint="eastAsia" w:ascii="Times New Roman" w:hAnsi="宋体" w:eastAsia="宋体"/>
                <w:color w:val="auto"/>
                <w:sz w:val="24"/>
                <w:szCs w:val="24"/>
                <w:highlight w:val="none"/>
                <w:lang w:val="en-US" w:eastAsia="zh-CN"/>
              </w:rPr>
              <w:t>。</w:t>
            </w:r>
          </w:p>
        </w:tc>
      </w:tr>
      <w:tr w14:paraId="54567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66" w:type="pct"/>
            <w:tcMar>
              <w:top w:w="16" w:type="dxa"/>
              <w:left w:w="16" w:type="dxa"/>
              <w:right w:w="16" w:type="dxa"/>
            </w:tcMar>
            <w:vAlign w:val="center"/>
          </w:tcPr>
          <w:p w14:paraId="4E62110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color w:val="auto"/>
                <w:kern w:val="0"/>
                <w:sz w:val="24"/>
                <w:highlight w:val="none"/>
                <w:shd w:val="clear" w:color="auto" w:fill="auto"/>
              </w:rPr>
            </w:pPr>
            <w:bookmarkStart w:id="2" w:name="_Hlk56690880"/>
            <w:r>
              <w:rPr>
                <w:rFonts w:hint="default"/>
                <w:color w:val="auto"/>
                <w:kern w:val="0"/>
                <w:sz w:val="24"/>
                <w:highlight w:val="none"/>
                <w:shd w:val="clear" w:color="auto" w:fill="auto"/>
              </w:rPr>
              <w:t>其他符合性分析</w:t>
            </w:r>
          </w:p>
        </w:tc>
        <w:tc>
          <w:tcPr>
            <w:tcW w:w="4133" w:type="pct"/>
            <w:gridSpan w:val="3"/>
            <w:tcMar>
              <w:top w:w="16" w:type="dxa"/>
              <w:left w:w="16" w:type="dxa"/>
              <w:right w:w="16" w:type="dxa"/>
            </w:tcMar>
            <w:vAlign w:val="center"/>
          </w:tcPr>
          <w:p w14:paraId="1863B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1、与产业政策符合性分析</w:t>
            </w:r>
          </w:p>
          <w:p w14:paraId="679CE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根据国家发展和改革委员会《产业结构调整指导目录（2024年本）》，该项目属于鼓励</w:t>
            </w:r>
            <w:r>
              <w:rPr>
                <w:rFonts w:hint="eastAsia" w:ascii="宋体" w:hAnsi="宋体" w:eastAsia="宋体" w:cs="宋体"/>
                <w:color w:val="auto"/>
                <w:sz w:val="24"/>
                <w:szCs w:val="24"/>
                <w:highlight w:val="none"/>
              </w:rPr>
              <w:t>类中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第五项，新能源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可再生能源利用技术与应用：太阳能热发电集热系统、高效率低成本太阳能光伏发电技术研发与产业化、系统集成技术开发应用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属于《西部地区鼓励类产业目录》（2020年）中云南地区鼓励类产业。项目于202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日经</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批准登记备案，登记备案号：</w:t>
            </w:r>
            <w:r>
              <w:rPr>
                <w:rFonts w:hint="eastAsia"/>
                <w:color w:val="auto"/>
                <w:sz w:val="24"/>
                <w:szCs w:val="24"/>
                <w:highlight w:val="none"/>
                <w:shd w:val="clear" w:color="auto" w:fill="auto"/>
                <w:lang w:val="en-US" w:eastAsia="zh-CN"/>
              </w:rPr>
              <w:t>2309-530129-04-05-946808</w:t>
            </w:r>
            <w:r>
              <w:rPr>
                <w:rFonts w:hint="default" w:ascii="Times New Roman" w:hAnsi="Times New Roman" w:eastAsia="宋体" w:cs="Times New Roman"/>
                <w:color w:val="auto"/>
                <w:sz w:val="24"/>
                <w:szCs w:val="24"/>
                <w:highlight w:val="none"/>
              </w:rPr>
              <w:t>。因此，该项目符合国家产业政策</w:t>
            </w:r>
            <w:r>
              <w:rPr>
                <w:rFonts w:hint="eastAsia" w:ascii="Times New Roman" w:hAnsi="Times New Roman" w:eastAsia="宋体" w:cs="Times New Roman"/>
                <w:color w:val="auto"/>
                <w:sz w:val="24"/>
                <w:szCs w:val="24"/>
                <w:highlight w:val="none"/>
                <w:lang w:eastAsia="zh-CN"/>
              </w:rPr>
              <w:t>。</w:t>
            </w:r>
          </w:p>
          <w:p w14:paraId="2906A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与</w:t>
            </w:r>
            <w:r>
              <w:rPr>
                <w:rFonts w:hint="eastAsia" w:cs="Times New Roman"/>
                <w:b/>
                <w:bCs/>
                <w:color w:val="auto"/>
                <w:sz w:val="24"/>
                <w:szCs w:val="24"/>
                <w:highlight w:val="none"/>
                <w:lang w:val="en-US" w:eastAsia="zh-CN"/>
              </w:rPr>
              <w:t>昆明市“三线一单”</w:t>
            </w:r>
            <w:r>
              <w:rPr>
                <w:rFonts w:hint="default" w:ascii="Times New Roman" w:hAnsi="Times New Roman" w:eastAsia="宋体" w:cs="Times New Roman"/>
                <w:b/>
                <w:bCs/>
                <w:color w:val="auto"/>
                <w:sz w:val="24"/>
                <w:szCs w:val="24"/>
                <w:highlight w:val="none"/>
                <w:lang w:val="en-US" w:eastAsia="zh-CN"/>
              </w:rPr>
              <w:t>的符合性分析</w:t>
            </w:r>
          </w:p>
          <w:p w14:paraId="40FE3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昆明市生态环境局于2024年7月11日发布了《昆明市生态环境分区管控动态更新方案（征求意见稿）》，本次动态更新后，昆明市环境管控单元由129个调整为132个，其中优先保护单元42个保持不变，面积调整为9396.83平方公里（占全市国土面积44.72%），增加的面积主要为新划定的各级水源保护区；重点管控单元由73个调整为76个，面积调整为4005.31平方公里（占全市国土面积19.06%），面积调整原因主要是全市城镇开发边界及各产业园区面积调整；一般管控单元14个保持不变，面积调整为7611.35平方公里（占全市国土面 </w:t>
            </w:r>
          </w:p>
          <w:p w14:paraId="7800C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积36.22%）。</w:t>
            </w:r>
          </w:p>
          <w:p w14:paraId="22F6E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①生态保护红线及一般生态空间更新结果</w:t>
            </w:r>
          </w:p>
          <w:p w14:paraId="62F7A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更新后，生态保护红线全面与《昆明市国土空间总体规划 （2021-2035年）》衔接，全市生态保护红线面积4274.70平方公里， </w:t>
            </w:r>
          </w:p>
          <w:p w14:paraId="439FA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占全市国土面积的20.34%，较原有面积占比减少1.85%。全市一般生 态空间面积5151.56km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 xml:space="preserve">，占国土空间面积的24.37%，较原有面积占比 </w:t>
            </w:r>
          </w:p>
          <w:p w14:paraId="23338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增加2.45%。</w:t>
            </w:r>
          </w:p>
          <w:p w14:paraId="366D95CB">
            <w:pPr>
              <w:pStyle w:val="2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eastAsia="宋体" w:cs="Times New Roman"/>
                <w:caps w:val="0"/>
                <w:color w:val="auto"/>
                <w:sz w:val="24"/>
                <w:szCs w:val="24"/>
                <w:highlight w:val="none"/>
                <w:lang w:val="en-US" w:eastAsia="zh-CN"/>
              </w:rPr>
            </w:pPr>
            <w:r>
              <w:rPr>
                <w:rFonts w:hint="default"/>
                <w:color w:val="auto"/>
                <w:sz w:val="24"/>
                <w:highlight w:val="none"/>
              </w:rPr>
              <w:t>根据</w:t>
            </w:r>
            <w:r>
              <w:rPr>
                <w:rFonts w:hint="eastAsia"/>
                <w:color w:val="auto"/>
                <w:sz w:val="24"/>
                <w:highlight w:val="none"/>
              </w:rPr>
              <w:t>寻甸回族彝族自治</w:t>
            </w:r>
            <w:r>
              <w:rPr>
                <w:rFonts w:hint="default"/>
                <w:color w:val="auto"/>
                <w:sz w:val="24"/>
                <w:highlight w:val="none"/>
              </w:rPr>
              <w:t>县自然资源局202</w:t>
            </w:r>
            <w:r>
              <w:rPr>
                <w:rFonts w:hint="eastAsia"/>
                <w:color w:val="auto"/>
                <w:sz w:val="24"/>
                <w:highlight w:val="none"/>
                <w:lang w:val="en-US" w:eastAsia="zh-CN"/>
              </w:rPr>
              <w:t>4</w:t>
            </w:r>
            <w:r>
              <w:rPr>
                <w:rFonts w:hint="default"/>
                <w:color w:val="auto"/>
                <w:sz w:val="24"/>
                <w:highlight w:val="none"/>
              </w:rPr>
              <w:t>年</w:t>
            </w:r>
            <w:r>
              <w:rPr>
                <w:rFonts w:hint="eastAsia"/>
                <w:color w:val="auto"/>
                <w:sz w:val="24"/>
                <w:highlight w:val="none"/>
                <w:lang w:val="en-US" w:eastAsia="zh-CN"/>
              </w:rPr>
              <w:t>9</w:t>
            </w:r>
            <w:r>
              <w:rPr>
                <w:rFonts w:hint="default"/>
                <w:color w:val="auto"/>
                <w:sz w:val="24"/>
                <w:highlight w:val="none"/>
              </w:rPr>
              <w:t>月2</w:t>
            </w:r>
            <w:r>
              <w:rPr>
                <w:rFonts w:hint="eastAsia"/>
                <w:color w:val="auto"/>
                <w:sz w:val="24"/>
                <w:highlight w:val="none"/>
                <w:lang w:val="en-US" w:eastAsia="zh-CN"/>
              </w:rPr>
              <w:t>7</w:t>
            </w:r>
            <w:r>
              <w:rPr>
                <w:rFonts w:hint="default"/>
                <w:color w:val="auto"/>
                <w:sz w:val="24"/>
                <w:highlight w:val="none"/>
              </w:rPr>
              <w:t>日出具的关于寻甸白石岩、石崖、梳山、竹园沟光伏发电项目用地范围是否涉及生态保护红线及城镇开发边界的情况说明，项目用地范围未与寻甸县生态保护红线重叠。</w:t>
            </w:r>
          </w:p>
          <w:p w14:paraId="54523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②环境质量底线及资源利用上线更新结果</w:t>
            </w:r>
          </w:p>
          <w:p w14:paraId="5F883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到2025年，地表水国考断面达到或优于Ⅲ类的比例81.5%，45</w:t>
            </w:r>
          </w:p>
          <w:p w14:paraId="3DB0A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个省控地表水断面水质优良（达到或优于Ⅲ类）比例达到80%，劣V类水体全面消除，县级以上22个集中式饮用水水源达到或优于Ⅲ类比例为100%；空气质量优良天数比率达99.1%，细颗粒物（PM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）浓度不高于24微克/立方米，重污染天数为0；全市土壤环境质量总体保持稳定，局部稳中向好，受污染耕地安全利用率不低于90%，重点建设用地安全利用得到有效保障。</w:t>
            </w:r>
          </w:p>
          <w:p w14:paraId="70F09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到2025年，按照国家、省、市有关要求和规划，按时完成全市用 </w:t>
            </w:r>
          </w:p>
          <w:p w14:paraId="7AAD6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27FFA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本工程情况：</w:t>
            </w:r>
          </w:p>
          <w:p w14:paraId="7D3EA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项目所在区域环境质量要求及现状情况如下表所示：</w:t>
            </w:r>
          </w:p>
          <w:p w14:paraId="12CCE32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lang w:val="en-US" w:eastAsia="zh-CN" w:bidi="ar"/>
              </w:rPr>
              <w:t>表1-3项目所在区域环境质量要求及现状情况</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681"/>
              <w:gridCol w:w="1694"/>
              <w:gridCol w:w="2844"/>
            </w:tblGrid>
            <w:tr w14:paraId="0732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66FFD05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要素</w:t>
                  </w:r>
                </w:p>
              </w:tc>
              <w:tc>
                <w:tcPr>
                  <w:tcW w:w="1154" w:type="pct"/>
                  <w:vAlign w:val="center"/>
                </w:tcPr>
                <w:p w14:paraId="48F3E2A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功能区划</w:t>
                  </w:r>
                </w:p>
              </w:tc>
              <w:tc>
                <w:tcPr>
                  <w:tcW w:w="1163" w:type="pct"/>
                  <w:vAlign w:val="center"/>
                </w:tcPr>
                <w:p w14:paraId="21B5757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现状</w:t>
                  </w:r>
                </w:p>
              </w:tc>
              <w:tc>
                <w:tcPr>
                  <w:tcW w:w="1953" w:type="pct"/>
                  <w:vAlign w:val="center"/>
                </w:tcPr>
                <w:p w14:paraId="5765816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数据来源</w:t>
                  </w:r>
                </w:p>
              </w:tc>
            </w:tr>
            <w:tr w14:paraId="6ECD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5CD62F0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环境空气</w:t>
                  </w:r>
                </w:p>
              </w:tc>
              <w:tc>
                <w:tcPr>
                  <w:tcW w:w="1154" w:type="pct"/>
                  <w:vAlign w:val="center"/>
                </w:tcPr>
                <w:p w14:paraId="3B6DC93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二类</w:t>
                  </w:r>
                </w:p>
              </w:tc>
              <w:tc>
                <w:tcPr>
                  <w:tcW w:w="1163" w:type="pct"/>
                  <w:vAlign w:val="center"/>
                </w:tcPr>
                <w:p w14:paraId="5B30852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二类</w:t>
                  </w:r>
                </w:p>
              </w:tc>
              <w:tc>
                <w:tcPr>
                  <w:tcW w:w="1953" w:type="pct"/>
                  <w:vAlign w:val="center"/>
                </w:tcPr>
                <w:p w14:paraId="6F5457D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2023年度昆明市生态环境状况公报</w:t>
                  </w:r>
                </w:p>
              </w:tc>
            </w:tr>
            <w:tr w14:paraId="3D7B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14:paraId="49DD094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w:t>
                  </w:r>
                </w:p>
              </w:tc>
              <w:tc>
                <w:tcPr>
                  <w:tcW w:w="1154" w:type="pct"/>
                  <w:vAlign w:val="center"/>
                </w:tcPr>
                <w:p w14:paraId="515CD5A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牛栏江：Ⅲ类</w:t>
                  </w:r>
                </w:p>
              </w:tc>
              <w:tc>
                <w:tcPr>
                  <w:tcW w:w="1163" w:type="pct"/>
                  <w:vAlign w:val="center"/>
                </w:tcPr>
                <w:p w14:paraId="71187F7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牛栏江：Ⅱ类</w:t>
                  </w:r>
                </w:p>
              </w:tc>
              <w:tc>
                <w:tcPr>
                  <w:tcW w:w="1953" w:type="pct"/>
                  <w:vAlign w:val="center"/>
                </w:tcPr>
                <w:p w14:paraId="10FD0AE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牛栏江引用《寻甸县2024年第二季度环境质量公报》</w:t>
                  </w:r>
                </w:p>
              </w:tc>
            </w:tr>
          </w:tbl>
          <w:p w14:paraId="7D9B3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 xml:space="preserve">本工程所在区域主要为乡村区域，根据生态环境质量公报及现状 监测结果可知，工程区域的声环境、大气环境、地表水环境均能够满足相应的标准要求。工程运营期排放的污染因素主要为固废、噪声等，废变压器油暂存于竹园沟光伏发电项目升压站危废贮存库后委托有资质单位进行处置；噪声经过采取隔声减振等措施及距离衰减后可满足国家排放标准要求。 </w:t>
            </w:r>
          </w:p>
          <w:p w14:paraId="4470C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本工程属非生产性建设项目，运营后对周边环境质量现状影响较 小，所在区域各环境要素环境质量现状可维持现有水平，不会降低工 程区域环境质量，符合环境质量底线要求。</w:t>
            </w:r>
          </w:p>
          <w:p w14:paraId="1978F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本项目为复合型光伏发电项目，占地类型主要为林地、</w:t>
            </w:r>
            <w:r>
              <w:rPr>
                <w:rFonts w:hint="eastAsia" w:ascii="Times New Roman" w:hAnsi="Times New Roman" w:eastAsia="宋体" w:cs="Times New Roman"/>
                <w:color w:val="auto"/>
                <w:sz w:val="24"/>
                <w:szCs w:val="24"/>
                <w:lang w:val="en-US" w:eastAsia="zh-CN"/>
              </w:rPr>
              <w:t>其他</w:t>
            </w:r>
            <w:r>
              <w:rPr>
                <w:rFonts w:hint="default" w:ascii="Times New Roman" w:hAnsi="Times New Roman" w:eastAsia="宋体" w:cs="Times New Roman"/>
                <w:color w:val="auto"/>
                <w:sz w:val="24"/>
                <w:szCs w:val="24"/>
                <w:lang w:val="en-US" w:eastAsia="zh-CN"/>
              </w:rPr>
              <w:t>草地、交通运输用地</w:t>
            </w:r>
            <w:r>
              <w:rPr>
                <w:rFonts w:hint="eastAsia" w:ascii="Times New Roman" w:hAnsi="Times New Roman" w:eastAsia="宋体" w:cs="Times New Roman"/>
                <w:color w:val="auto"/>
                <w:sz w:val="24"/>
                <w:szCs w:val="24"/>
                <w:lang w:val="en-US" w:eastAsia="zh-CN"/>
              </w:rPr>
              <w:t>、裸土地</w:t>
            </w:r>
            <w:r>
              <w:rPr>
                <w:rFonts w:hint="default" w:ascii="Times New Roman" w:hAnsi="Times New Roman" w:eastAsia="宋体" w:cs="Times New Roman"/>
                <w:color w:val="auto"/>
                <w:sz w:val="24"/>
                <w:szCs w:val="24"/>
                <w:lang w:val="en-US" w:eastAsia="zh-CN"/>
              </w:rPr>
              <w:t>，不</w:t>
            </w:r>
            <w:r>
              <w:rPr>
                <w:rFonts w:hint="eastAsia" w:cs="Times New Roman"/>
                <w:color w:val="auto"/>
                <w:sz w:val="24"/>
                <w:szCs w:val="24"/>
                <w:lang w:val="en-US" w:eastAsia="zh-CN"/>
              </w:rPr>
              <w:t>占用</w:t>
            </w:r>
            <w:r>
              <w:rPr>
                <w:rFonts w:hint="default" w:ascii="Times New Roman" w:hAnsi="Times New Roman" w:eastAsia="宋体" w:cs="Times New Roman"/>
                <w:color w:val="auto"/>
                <w:sz w:val="24"/>
                <w:szCs w:val="24"/>
                <w:lang w:val="en-US" w:eastAsia="zh-CN"/>
              </w:rPr>
              <w:t>基本农田、稳定耕地。</w:t>
            </w:r>
          </w:p>
          <w:p w14:paraId="6C937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本项目施工过程中消耗一定的水、电，不开采地下水，</w:t>
            </w:r>
            <w:r>
              <w:rPr>
                <w:rFonts w:hint="default" w:ascii="Times New Roman" w:hAnsi="Times New Roman" w:cs="Times New Roman"/>
                <w:caps w:val="0"/>
                <w:color w:val="auto"/>
                <w:kern w:val="2"/>
                <w:sz w:val="24"/>
                <w:szCs w:val="24"/>
                <w:highlight w:val="none"/>
                <w:lang w:val="en-US" w:eastAsia="zh-CN" w:bidi="ar-SA"/>
              </w:rPr>
              <w:t>仅占用寻甸县国土面积</w:t>
            </w:r>
            <w:r>
              <w:rPr>
                <w:rFonts w:hint="eastAsia" w:ascii="Times New Roman" w:hAnsi="Times New Roman" w:cs="Times New Roman"/>
                <w:color w:val="auto"/>
                <w:sz w:val="24"/>
                <w:szCs w:val="24"/>
                <w:highlight w:val="none"/>
                <w:lang w:val="en-US" w:eastAsia="zh-CN"/>
              </w:rPr>
              <w:t>69.76</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aps w:val="0"/>
                <w:color w:val="auto"/>
                <w:kern w:val="2"/>
                <w:sz w:val="24"/>
                <w:szCs w:val="24"/>
                <w:highlight w:val="none"/>
                <w:lang w:val="en-US" w:eastAsia="zh-CN" w:bidi="ar-SA"/>
              </w:rPr>
              <w:t>，其中永久用地仅为0.0</w:t>
            </w:r>
            <w:r>
              <w:rPr>
                <w:rFonts w:hint="eastAsia" w:ascii="Times New Roman" w:hAnsi="Times New Roman" w:cs="Times New Roman"/>
                <w:caps w:val="0"/>
                <w:color w:val="auto"/>
                <w:kern w:val="2"/>
                <w:sz w:val="24"/>
                <w:szCs w:val="24"/>
                <w:highlight w:val="none"/>
                <w:lang w:val="en-US" w:eastAsia="zh-CN" w:bidi="ar-SA"/>
              </w:rPr>
              <w:t>5</w:t>
            </w:r>
            <w:r>
              <w:rPr>
                <w:rFonts w:hint="default" w:ascii="Times New Roman" w:hAnsi="Times New Roman" w:cs="Times New Roman"/>
                <w:color w:val="auto"/>
                <w:sz w:val="24"/>
                <w:szCs w:val="24"/>
                <w:highlight w:val="none"/>
                <w:lang w:val="en-US"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项目资源消耗量占区域资源利用总量较少；项目为复合型光伏发电项目，建成后可减少供电区域依赖不可再生能源发电的程度，维持或减少供电区域不可再生能源利用的比例，符合资源利用上</w:t>
            </w:r>
            <w:r>
              <w:rPr>
                <w:rFonts w:hint="eastAsia" w:cs="Times New Roman"/>
                <w:color w:val="auto"/>
                <w:sz w:val="24"/>
                <w:szCs w:val="24"/>
                <w:lang w:val="en-US" w:eastAsia="zh-CN"/>
              </w:rPr>
              <w:t>限</w:t>
            </w:r>
            <w:r>
              <w:rPr>
                <w:rFonts w:hint="default" w:ascii="Times New Roman" w:hAnsi="Times New Roman" w:eastAsia="宋体" w:cs="Times New Roman"/>
                <w:color w:val="auto"/>
                <w:sz w:val="24"/>
                <w:szCs w:val="24"/>
                <w:lang w:val="en-US" w:eastAsia="zh-CN"/>
              </w:rPr>
              <w:t>要求。</w:t>
            </w:r>
          </w:p>
          <w:p w14:paraId="0990E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 xml:space="preserve">③生态环境准入清单调整结果 </w:t>
            </w:r>
          </w:p>
          <w:p w14:paraId="12BD8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结合昆明市不同生态环境管控单元的生态环境主要特征、突出问 题和环境质量目标，提出以改善生态环境质量为导向、对应到各环境管控单元、可操作的管控要求。</w:t>
            </w:r>
          </w:p>
          <w:p w14:paraId="2A698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昆明市的优先保护单元和一般管控单元管控要求以共性要求为基 础，对存在的个例问题制定相应的管控要求。重点管控单元聚焦单元 突出的环境问题，以解决现状环境问题为目的</w:t>
            </w:r>
            <w:r>
              <w:rPr>
                <w:rFonts w:hint="eastAsia" w:cs="Times New Roman"/>
                <w:color w:val="auto"/>
                <w:sz w:val="24"/>
                <w:szCs w:val="24"/>
                <w:lang w:val="en-US" w:eastAsia="zh-CN"/>
              </w:rPr>
              <w:t>提出</w:t>
            </w:r>
            <w:r>
              <w:rPr>
                <w:rFonts w:hint="default" w:ascii="Times New Roman" w:hAnsi="Times New Roman" w:eastAsia="宋体" w:cs="Times New Roman"/>
                <w:color w:val="auto"/>
                <w:sz w:val="24"/>
                <w:szCs w:val="24"/>
                <w:lang w:val="en-US" w:eastAsia="zh-CN"/>
              </w:rPr>
              <w:t>管控要求，增补了减污降碳协同管控相关要求，调整了重点管控单元相应的管控内容。</w:t>
            </w:r>
          </w:p>
          <w:p w14:paraId="69680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本工程不属于高污染、高能耗和资源型的产业类型，不在区域负 面清单内，因此本工程应为环境准入允许类别。</w:t>
            </w:r>
          </w:p>
          <w:p w14:paraId="4F6D5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根据昆明市生态环境工程评估中心关于查询寻甸县四个光伏项目 涉及生态环境分区管控情况的复函（昆环评估复函〔2024〕97号）， </w:t>
            </w:r>
          </w:p>
          <w:p w14:paraId="594FBF55">
            <w:pPr>
              <w:pStyle w:val="2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left"/>
              <w:textAlignment w:val="auto"/>
              <w:rPr>
                <w:rFonts w:hint="eastAsia" w:eastAsia="宋体" w:cs="Times New Roman"/>
                <w:caps w:val="0"/>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经查询，</w:t>
            </w:r>
            <w:r>
              <w:rPr>
                <w:rFonts w:hint="eastAsia" w:ascii="Times New Roman" w:hAnsi="Times New Roman" w:eastAsia="宋体" w:cs="Times New Roman"/>
                <w:caps w:val="0"/>
                <w:color w:val="auto"/>
                <w:sz w:val="24"/>
                <w:szCs w:val="24"/>
                <w:highlight w:val="none"/>
                <w:lang w:eastAsia="zh-CN"/>
              </w:rPr>
              <w:t>本项目</w:t>
            </w:r>
            <w:r>
              <w:rPr>
                <w:rFonts w:hint="eastAsia" w:eastAsia="宋体" w:cs="Times New Roman"/>
                <w:caps w:val="0"/>
                <w:color w:val="auto"/>
                <w:sz w:val="24"/>
                <w:szCs w:val="24"/>
                <w:highlight w:val="none"/>
                <w:lang w:val="en-US" w:eastAsia="zh-CN"/>
              </w:rPr>
              <w:t>位于</w:t>
            </w:r>
            <w:r>
              <w:rPr>
                <w:rFonts w:hint="eastAsia" w:cs="Times New Roman"/>
                <w:caps w:val="0"/>
                <w:color w:val="auto"/>
                <w:sz w:val="24"/>
                <w:szCs w:val="24"/>
                <w:highlight w:val="none"/>
                <w:lang w:val="en-US" w:eastAsia="zh-CN"/>
              </w:rPr>
              <w:t>“</w:t>
            </w:r>
            <w:r>
              <w:rPr>
                <w:rFonts w:hint="eastAsia" w:eastAsia="宋体" w:cs="Times New Roman"/>
                <w:caps w:val="0"/>
                <w:color w:val="auto"/>
                <w:sz w:val="24"/>
                <w:szCs w:val="24"/>
                <w:highlight w:val="none"/>
                <w:lang w:val="en-US" w:eastAsia="zh-CN"/>
              </w:rPr>
              <w:t>寻甸县</w:t>
            </w:r>
            <w:r>
              <w:rPr>
                <w:rFonts w:hint="eastAsia" w:ascii="Times New Roman" w:hAnsi="Times New Roman" w:eastAsia="宋体" w:cs="Times New Roman"/>
                <w:caps w:val="0"/>
                <w:color w:val="auto"/>
                <w:sz w:val="24"/>
                <w:szCs w:val="24"/>
                <w:highlight w:val="none"/>
                <w:lang w:eastAsia="zh-CN"/>
              </w:rPr>
              <w:t>一般生态空间优先保护单元</w:t>
            </w:r>
            <w:r>
              <w:rPr>
                <w:rFonts w:hint="eastAsia" w:cs="Times New Roman"/>
                <w:caps w:val="0"/>
                <w:color w:val="auto"/>
                <w:sz w:val="24"/>
                <w:szCs w:val="24"/>
                <w:highlight w:val="none"/>
                <w:lang w:val="en-US" w:eastAsia="zh-CN"/>
              </w:rPr>
              <w:t>”</w:t>
            </w:r>
            <w:r>
              <w:rPr>
                <w:rFonts w:hint="eastAsia" w:eastAsia="宋体" w:cs="Times New Roman"/>
                <w:caps w:val="0"/>
                <w:color w:val="auto"/>
                <w:sz w:val="24"/>
                <w:szCs w:val="24"/>
                <w:highlight w:val="none"/>
                <w:lang w:val="en-US" w:eastAsia="zh-CN"/>
              </w:rPr>
              <w:t>和</w:t>
            </w:r>
            <w:r>
              <w:rPr>
                <w:rFonts w:hint="eastAsia" w:cs="Times New Roman"/>
                <w:caps w:val="0"/>
                <w:color w:val="auto"/>
                <w:sz w:val="24"/>
                <w:szCs w:val="24"/>
                <w:highlight w:val="none"/>
                <w:lang w:val="en-US" w:eastAsia="zh-CN"/>
              </w:rPr>
              <w:t>“</w:t>
            </w:r>
            <w:r>
              <w:rPr>
                <w:rFonts w:hint="eastAsia" w:eastAsia="宋体" w:cs="Times New Roman"/>
                <w:color w:val="auto"/>
                <w:kern w:val="0"/>
                <w:sz w:val="24"/>
                <w:highlight w:val="none"/>
                <w:lang w:val="en-US" w:eastAsia="zh-CN" w:bidi="ar"/>
              </w:rPr>
              <w:t>一般管控单元</w:t>
            </w:r>
            <w:r>
              <w:rPr>
                <w:rFonts w:hint="eastAsia" w:eastAsia="宋体" w:cs="Times New Roman"/>
                <w:caps w:val="0"/>
                <w:color w:val="auto"/>
                <w:sz w:val="24"/>
                <w:szCs w:val="24"/>
                <w:highlight w:val="none"/>
                <w:lang w:val="en-US" w:eastAsia="zh-CN"/>
              </w:rPr>
              <w:t>内</w:t>
            </w:r>
            <w:r>
              <w:rPr>
                <w:rFonts w:hint="eastAsia" w:cs="Times New Roman"/>
                <w:caps w:val="0"/>
                <w:color w:val="auto"/>
                <w:sz w:val="24"/>
                <w:szCs w:val="24"/>
                <w:highlight w:val="none"/>
                <w:lang w:val="en-US" w:eastAsia="zh-CN"/>
              </w:rPr>
              <w:t>”</w:t>
            </w:r>
            <w:r>
              <w:rPr>
                <w:rFonts w:hint="eastAsia" w:eastAsia="宋体" w:cs="Times New Roman"/>
                <w:caps w:val="0"/>
                <w:color w:val="auto"/>
                <w:sz w:val="24"/>
                <w:szCs w:val="24"/>
                <w:highlight w:val="none"/>
                <w:lang w:val="en-US" w:eastAsia="zh-CN"/>
              </w:rPr>
              <w:t>。</w:t>
            </w:r>
          </w:p>
          <w:p w14:paraId="4A1A4B4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b/>
                <w:bCs/>
                <w:color w:val="auto"/>
                <w:kern w:val="0"/>
                <w:szCs w:val="21"/>
                <w:highlight w:val="none"/>
                <w:shd w:val="clear" w:color="auto" w:fill="auto"/>
                <w:lang w:eastAsia="zh-CN"/>
              </w:rPr>
            </w:pPr>
            <w:r>
              <w:rPr>
                <w:rFonts w:hint="eastAsia"/>
                <w:b/>
                <w:bCs/>
                <w:color w:val="auto"/>
                <w:kern w:val="0"/>
                <w:szCs w:val="21"/>
                <w:highlight w:val="none"/>
                <w:shd w:val="clear" w:color="auto" w:fill="auto"/>
              </w:rPr>
              <w:t>表1-</w:t>
            </w:r>
            <w:r>
              <w:rPr>
                <w:rFonts w:hint="eastAsia"/>
                <w:b/>
                <w:bCs/>
                <w:color w:val="auto"/>
                <w:kern w:val="0"/>
                <w:szCs w:val="21"/>
                <w:highlight w:val="none"/>
                <w:shd w:val="clear" w:color="auto" w:fill="auto"/>
                <w:lang w:val="en-US" w:eastAsia="zh-CN"/>
              </w:rPr>
              <w:t>4</w:t>
            </w:r>
            <w:r>
              <w:rPr>
                <w:rFonts w:hint="eastAsia"/>
                <w:b/>
                <w:bCs/>
                <w:color w:val="auto"/>
                <w:kern w:val="0"/>
                <w:szCs w:val="21"/>
                <w:highlight w:val="none"/>
                <w:shd w:val="clear" w:color="auto" w:fill="auto"/>
              </w:rPr>
              <w:t xml:space="preserve"> 项目与</w:t>
            </w:r>
            <w:r>
              <w:rPr>
                <w:rFonts w:hint="eastAsia"/>
                <w:b/>
                <w:bCs/>
                <w:color w:val="auto"/>
                <w:kern w:val="0"/>
                <w:szCs w:val="21"/>
                <w:highlight w:val="none"/>
                <w:shd w:val="clear" w:color="auto" w:fill="auto"/>
                <w:lang w:eastAsia="zh-CN"/>
              </w:rPr>
              <w:t>昆明市环境管控单元生态环境管控总体要求</w:t>
            </w:r>
            <w:r>
              <w:rPr>
                <w:rFonts w:hint="eastAsia"/>
                <w:b/>
                <w:bCs/>
                <w:color w:val="auto"/>
                <w:kern w:val="0"/>
                <w:szCs w:val="21"/>
                <w:highlight w:val="none"/>
                <w:shd w:val="clear" w:color="auto" w:fill="auto"/>
              </w:rPr>
              <w:t>符合性</w:t>
            </w:r>
            <w:r>
              <w:rPr>
                <w:rFonts w:hint="eastAsia"/>
                <w:b/>
                <w:bCs/>
                <w:color w:val="auto"/>
                <w:kern w:val="0"/>
                <w:szCs w:val="21"/>
                <w:highlight w:val="none"/>
                <w:shd w:val="clear" w:color="auto" w:fill="auto"/>
                <w:lang w:eastAsia="zh-CN"/>
              </w:rPr>
              <w:t>分析</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329"/>
              <w:gridCol w:w="2444"/>
              <w:gridCol w:w="780"/>
            </w:tblGrid>
            <w:tr w14:paraId="3032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14:paraId="608439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内容</w:t>
                  </w:r>
                </w:p>
              </w:tc>
              <w:tc>
                <w:tcPr>
                  <w:tcW w:w="2287" w:type="pct"/>
                  <w:vAlign w:val="center"/>
                </w:tcPr>
                <w:p w14:paraId="1C9858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要求</w:t>
                  </w:r>
                </w:p>
              </w:tc>
              <w:tc>
                <w:tcPr>
                  <w:tcW w:w="1679" w:type="pct"/>
                  <w:vAlign w:val="center"/>
                </w:tcPr>
                <w:p w14:paraId="5C579A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项目情况</w:t>
                  </w:r>
                </w:p>
              </w:tc>
              <w:tc>
                <w:tcPr>
                  <w:tcW w:w="535" w:type="pct"/>
                  <w:vAlign w:val="center"/>
                </w:tcPr>
                <w:p w14:paraId="2956CC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符合性</w:t>
                  </w:r>
                </w:p>
              </w:tc>
            </w:tr>
            <w:tr w14:paraId="4B4F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14:paraId="542E22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空间布局约束</w:t>
                  </w:r>
                </w:p>
              </w:tc>
              <w:tc>
                <w:tcPr>
                  <w:tcW w:w="2287" w:type="pct"/>
                  <w:vAlign w:val="center"/>
                </w:tcPr>
                <w:p w14:paraId="62E8F5DF">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1</w:t>
                  </w:r>
                  <w:r>
                    <w:rPr>
                      <w:rFonts w:hint="eastAsia" w:ascii="Times New Roman" w:hAnsi="Times New Roman"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根据《昆明市国土空间总体规划（2021</w:t>
                  </w:r>
                  <w:r>
                    <w:rPr>
                      <w:rFonts w:hint="eastAsia" w:ascii="Times New Roman" w:hAnsi="Times New Roman" w:cs="Times New Roman"/>
                      <w:color w:val="auto"/>
                      <w:spacing w:val="0"/>
                      <w:sz w:val="21"/>
                      <w:szCs w:val="21"/>
                      <w:highlight w:val="none"/>
                      <w:lang w:val="en-US" w:eastAsia="zh-CN"/>
                    </w:rPr>
                    <w:t>-</w:t>
                  </w:r>
                  <w:r>
                    <w:rPr>
                      <w:rFonts w:hint="default" w:ascii="Times New Roman" w:hAnsi="Times New Roman" w:eastAsia="宋体" w:cs="Times New Roman"/>
                      <w:color w:val="auto"/>
                      <w:spacing w:val="0"/>
                      <w:sz w:val="21"/>
                      <w:szCs w:val="21"/>
                      <w:highlight w:val="none"/>
                    </w:rPr>
                    <w:t>2035年）》进行空间管控。</w:t>
                  </w:r>
                </w:p>
                <w:p w14:paraId="3941AC48">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2</w:t>
                  </w:r>
                  <w:r>
                    <w:rPr>
                      <w:rFonts w:hint="eastAsia" w:ascii="Times New Roman" w:hAnsi="Times New Roman"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牛栏江流域内，严格按照《云南省牛栏江保护条例》相关要求对水环境进行分区管控。</w:t>
                  </w:r>
                </w:p>
                <w:p w14:paraId="1CF85524">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3</w:t>
                  </w:r>
                  <w:r>
                    <w:rPr>
                      <w:rFonts w:hint="eastAsia" w:ascii="Times New Roman" w:hAnsi="Times New Roman"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滇池流域内，严格按照《云南省滇池湖滨生态红线及湖泊生态黄线“两线”划定方案》相关要求进行分区管控。</w:t>
                  </w:r>
                </w:p>
                <w:p w14:paraId="1B6D5256">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4</w:t>
                  </w:r>
                  <w:r>
                    <w:rPr>
                      <w:rFonts w:hint="eastAsia" w:ascii="Times New Roman" w:hAnsi="Times New Roman"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阳宗海流域内，严格按照《云南省阳宗海湖滨生态红线及湖泊生态黄线“两线”划定方案》相关要求进行分区管控。</w:t>
                  </w:r>
                </w:p>
              </w:tc>
              <w:tc>
                <w:tcPr>
                  <w:tcW w:w="1679" w:type="pct"/>
                  <w:vAlign w:val="center"/>
                </w:tcPr>
                <w:p w14:paraId="238678D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（1）项目建设根据《昆明市国土空间总体规划</w:t>
                  </w:r>
                </w:p>
                <w:p w14:paraId="0DBBB8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（2021-2035年）》进行空间管控。</w:t>
                  </w:r>
                </w:p>
                <w:p w14:paraId="59B60C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（2）项目位于牛栏江流域，建设运营过程将严格按照《云南省牛栏江保护条例》相关要求对水环境区进行分区管控。</w:t>
                  </w:r>
                </w:p>
                <w:p w14:paraId="273F9A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（3）、（4）项目位于牛栏江流域，不属于滇池和阳宗海流域。</w:t>
                  </w:r>
                </w:p>
              </w:tc>
              <w:tc>
                <w:tcPr>
                  <w:tcW w:w="535" w:type="pct"/>
                  <w:vAlign w:val="center"/>
                </w:tcPr>
                <w:p w14:paraId="4FA101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14:paraId="41E9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496" w:type="pct"/>
                  <w:vAlign w:val="center"/>
                </w:tcPr>
                <w:p w14:paraId="768C40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污染物排放管控</w:t>
                  </w:r>
                </w:p>
              </w:tc>
              <w:tc>
                <w:tcPr>
                  <w:tcW w:w="2287" w:type="pct"/>
                  <w:vAlign w:val="center"/>
                </w:tcPr>
                <w:p w14:paraId="3FBAB899">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到2025年，昆明市地表水国、省控断面达到或好于III类水体比例应达到81.5%；滇池草海水质稳定达到IV类、外海水质达到IV类（COD≤40mg/L），阳宗海水质稳定达到Ⅲ类水标准，县级及以上集中式饮用水水源地水质达标率100%。化学需氧量重点工程减排量10243t，氨氮重点工程减排量1009t。</w:t>
                  </w:r>
                </w:p>
                <w:p w14:paraId="6086EF5E">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2</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到2025年，昆明市环境空气质量优良天数比例应达到99.1%，城市细颗粒物（PM</w:t>
                  </w:r>
                  <w:r>
                    <w:rPr>
                      <w:rFonts w:hint="default" w:ascii="Times New Roman" w:hAnsi="Times New Roman" w:eastAsia="宋体" w:cs="Times New Roman"/>
                      <w:color w:val="auto"/>
                      <w:spacing w:val="0"/>
                      <w:kern w:val="0"/>
                      <w:sz w:val="21"/>
                      <w:szCs w:val="21"/>
                      <w:highlight w:val="none"/>
                      <w:vertAlign w:val="subscript"/>
                    </w:rPr>
                    <w:t>2.5</w:t>
                  </w:r>
                  <w:r>
                    <w:rPr>
                      <w:rFonts w:hint="default" w:ascii="Times New Roman" w:hAnsi="Times New Roman" w:eastAsia="宋体" w:cs="Times New Roman"/>
                      <w:color w:val="auto"/>
                      <w:spacing w:val="0"/>
                      <w:kern w:val="0"/>
                      <w:sz w:val="21"/>
                      <w:szCs w:val="21"/>
                      <w:highlight w:val="none"/>
                    </w:rPr>
                    <w:t>）平均浓度应达到24μg/m³；氮氧化物重点工程减排量2237t，挥发性有机物重点工程减排量1684t。</w:t>
                  </w:r>
                </w:p>
                <w:p w14:paraId="0F483452">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3</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3BF51422">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4</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建立完善源头、过程和末端的VOCs全过程控制体系，实施VOCs排放总量控制。</w:t>
                  </w:r>
                </w:p>
                <w:p w14:paraId="5800FF5B">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5</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推进农业废弃物综合利用，2025年底前综合利用率达90%以上。</w:t>
                  </w:r>
                </w:p>
                <w:p w14:paraId="500F6D64">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6</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157329B3">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7</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DE54489">
                  <w:pPr>
                    <w:keepNext w:val="0"/>
                    <w:keepLines w:val="0"/>
                    <w:widowControl w:val="0"/>
                    <w:suppressLineNumbers w:val="0"/>
                    <w:tabs>
                      <w:tab w:val="left" w:pos="278"/>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8</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6F8CA9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9</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推动昆明市磷石膏综合利用率2023年达到52%，2024年达到64%，2025年确保达到73%，力争达到75%；到2025年底，中心城区污泥无害化处置率达到95%以上，县城污泥无害化处置率达到90%以上。</w:t>
                  </w:r>
                </w:p>
              </w:tc>
              <w:tc>
                <w:tcPr>
                  <w:tcW w:w="1679" w:type="pct"/>
                  <w:vAlign w:val="center"/>
                </w:tcPr>
                <w:p w14:paraId="557D7EAF">
                  <w:pPr>
                    <w:keepNext w:val="0"/>
                    <w:keepLines w:val="0"/>
                    <w:numPr>
                      <w:ilvl w:val="0"/>
                      <w:numId w:val="0"/>
                    </w:numPr>
                    <w:suppressLineNumbers w:val="0"/>
                    <w:spacing w:before="0" w:beforeAutospacing="0" w:after="0" w:afterAutospacing="0" w:line="240" w:lineRule="auto"/>
                    <w:ind w:left="0" w:right="0" w:rightChars="0"/>
                    <w:jc w:val="both"/>
                    <w:rPr>
                      <w:rFonts w:hint="eastAsia" w:eastAsia="宋体"/>
                      <w:color w:val="auto"/>
                      <w:highlight w:val="none"/>
                      <w:lang w:val="en-US" w:eastAsia="zh-CN"/>
                    </w:rPr>
                  </w:pPr>
                  <w:r>
                    <w:rPr>
                      <w:rFonts w:hint="eastAsia" w:eastAsia="宋体"/>
                      <w:color w:val="auto"/>
                      <w:highlight w:val="none"/>
                      <w:lang w:val="en-US" w:eastAsia="zh-CN"/>
                    </w:rPr>
                    <w:t>（1）项目周围水域主要为牛栏江，根据《寻甸县2024年第二季度环境质量公报》，牛栏江河口糯基桥断面水质类别为Ⅱ类，达到水质考核目标要求和《地表水环境质量标准》（GB3838-2002）Ⅲ类水标准。项目为光伏发电项目，不属于氮氧化物和挥发性有机物重点工程。</w:t>
                  </w:r>
                </w:p>
                <w:p w14:paraId="18B1BEF7">
                  <w:pPr>
                    <w:keepNext w:val="0"/>
                    <w:keepLines w:val="0"/>
                    <w:numPr>
                      <w:ilvl w:val="0"/>
                      <w:numId w:val="0"/>
                    </w:numPr>
                    <w:suppressLineNumbers w:val="0"/>
                    <w:spacing w:before="0" w:beforeAutospacing="0" w:after="0" w:afterAutospacing="0" w:line="240" w:lineRule="auto"/>
                    <w:ind w:left="0" w:right="0" w:rightChars="0"/>
                    <w:jc w:val="both"/>
                    <w:rPr>
                      <w:rFonts w:hint="eastAsia" w:eastAsia="宋体"/>
                      <w:color w:val="auto"/>
                      <w:highlight w:val="none"/>
                      <w:lang w:val="en-US" w:eastAsia="zh-CN"/>
                    </w:rPr>
                  </w:pPr>
                  <w:r>
                    <w:rPr>
                      <w:rFonts w:hint="eastAsia" w:eastAsia="宋体"/>
                      <w:color w:val="auto"/>
                      <w:highlight w:val="none"/>
                      <w:lang w:val="en-US" w:eastAsia="zh-CN"/>
                    </w:rPr>
                    <w:t>（2）根据《2023年度昆明市生态环境状况公报》，主城区空气质量优189天，良好167天，空气质量优良率97.53%，满足要求；本项目为光伏发电项目，不属于氮氧化物和挥发性有机物重点工程。</w:t>
                  </w:r>
                </w:p>
                <w:p w14:paraId="0A656C55">
                  <w:pPr>
                    <w:keepNext w:val="0"/>
                    <w:keepLines w:val="0"/>
                    <w:numPr>
                      <w:ilvl w:val="0"/>
                      <w:numId w:val="0"/>
                    </w:numPr>
                    <w:suppressLineNumbers w:val="0"/>
                    <w:spacing w:before="0" w:beforeAutospacing="0" w:after="0" w:afterAutospacing="0" w:line="240" w:lineRule="auto"/>
                    <w:ind w:left="0" w:right="0" w:rightChars="0"/>
                    <w:jc w:val="both"/>
                    <w:rPr>
                      <w:rFonts w:hint="eastAsia" w:eastAsia="宋体"/>
                      <w:color w:val="auto"/>
                      <w:highlight w:val="none"/>
                      <w:lang w:val="en-US" w:eastAsia="zh-CN"/>
                    </w:rPr>
                  </w:pPr>
                  <w:r>
                    <w:rPr>
                      <w:rFonts w:hint="eastAsia" w:eastAsia="宋体"/>
                      <w:color w:val="auto"/>
                      <w:highlight w:val="none"/>
                      <w:lang w:val="en-US" w:eastAsia="zh-CN"/>
                    </w:rPr>
                    <w:t>（3）~（9）项目不涉及。</w:t>
                  </w:r>
                </w:p>
              </w:tc>
              <w:tc>
                <w:tcPr>
                  <w:tcW w:w="535" w:type="pct"/>
                  <w:vAlign w:val="center"/>
                </w:tcPr>
                <w:p w14:paraId="337222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14:paraId="4D92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14:paraId="13CB4F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环境风险防控</w:t>
                  </w:r>
                </w:p>
              </w:tc>
              <w:tc>
                <w:tcPr>
                  <w:tcW w:w="2287" w:type="pct"/>
                  <w:vAlign w:val="center"/>
                </w:tcPr>
                <w:p w14:paraId="2813F6EA">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加大放射性物质、电磁辐射、危险废物、医疗废物、尾矿库渣场、危险化学品、重金属等风险要素防控力度，全过程监控风险要素产生、使用、储存、运输、处理处置，实现智能化预警与报警，有效降低各类环境风险。</w:t>
                  </w:r>
                </w:p>
                <w:p w14:paraId="461B533A">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2</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针对持久性有机污染物、内分泌干扰物等新污染物，制定实施新污染物治理行动方案，开展新污染物筛查与评估，建立清单，开展化学物质生产使用信息调查，实施调查监测和环境风险评估。</w:t>
                  </w:r>
                </w:p>
                <w:p w14:paraId="7FA4DB2B">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3</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开展重点区域、重点领域环境风险调查评估，加强源头预防、过程管控、末端治理；建设环境应急技术库和物资库，推动各地更新扩充应急物资和防护装备，提升环境应急指挥信息化水平，完善环境应急管理体系。</w:t>
                  </w:r>
                </w:p>
                <w:p w14:paraId="40983376">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4</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开展“千吨万人”农村饮用水水源保护区环境风险排查整治，加强农村水源水质监测。</w:t>
                  </w:r>
                </w:p>
                <w:p w14:paraId="2971DE1A">
                  <w:pPr>
                    <w:keepNext w:val="0"/>
                    <w:keepLines w:val="0"/>
                    <w:widowControl w:val="0"/>
                    <w:numPr>
                      <w:ilvl w:val="0"/>
                      <w:numId w:val="0"/>
                    </w:numPr>
                    <w:suppressLineNumbers w:val="0"/>
                    <w:tabs>
                      <w:tab w:val="left" w:pos="252"/>
                    </w:tabs>
                    <w:wordWrap/>
                    <w:adjustRightInd w:val="0"/>
                    <w:snapToGrid w:val="0"/>
                    <w:spacing w:before="0" w:beforeAutospacing="0" w:after="0" w:afterAutospacing="0" w:line="240" w:lineRule="auto"/>
                    <w:ind w:left="0" w:leftChars="0" w:right="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5</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03A586B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6</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严格新（改、扩）建尾矿库环境准入，健全尾矿库环境监管清单，加强尾矿库分类分级环境监管。严格落实《云南省尾矿库专项整治工作实施方案》。</w:t>
                  </w:r>
                </w:p>
              </w:tc>
              <w:tc>
                <w:tcPr>
                  <w:tcW w:w="1679" w:type="pct"/>
                  <w:vAlign w:val="center"/>
                </w:tcPr>
                <w:p w14:paraId="0590E07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（1）运营期产生的废变压器油暂存事故油池及竹园沟光伏发电项目升压站危废贮存库，委托有资质单位处置，通过采取以上防控措施，可有效降低环境风险。</w:t>
                  </w:r>
                </w:p>
                <w:p w14:paraId="00981B1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（2）项目不涉及。</w:t>
                  </w:r>
                </w:p>
                <w:p w14:paraId="6CCA14B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项目从施工期到运营期制定了一系列的环境保护措施，项目后续将按要求编制突发环境事件应急预案，建立环境风险预测预警体系，提高预警能力。（4）本项目不涉及农村饮用水水源保护区环境风险排查整治。</w:t>
                  </w:r>
                </w:p>
                <w:p w14:paraId="5E3887D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项目涉及的危险废物为废变压器油，拟建箱变配置了事故油池，废变压器油进入事故油池收集后暂存后委托有资质单位进行处置，废旧蓄电池暂存于竹园沟光伏发电项目升压站危废贮存库，委托有危废处理资质的单位进行处理。</w:t>
                  </w:r>
                </w:p>
                <w:p w14:paraId="1857B3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bidi="ar"/>
                    </w:rPr>
                    <w:t>（6）项目不涉及。</w:t>
                  </w:r>
                </w:p>
              </w:tc>
              <w:tc>
                <w:tcPr>
                  <w:tcW w:w="535" w:type="pct"/>
                  <w:vAlign w:val="center"/>
                </w:tcPr>
                <w:p w14:paraId="4B0D2A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14:paraId="2A11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496" w:type="pct"/>
                  <w:vAlign w:val="center"/>
                </w:tcPr>
                <w:p w14:paraId="1F82E84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资源利用效率</w:t>
                  </w:r>
                </w:p>
              </w:tc>
              <w:tc>
                <w:tcPr>
                  <w:tcW w:w="2287" w:type="pct"/>
                  <w:vAlign w:val="center"/>
                </w:tcPr>
                <w:p w14:paraId="6175E98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到2025年，基本建成与经济社会高质量发展和生态文明建设要求相适应、与由全面建成小康社会向基本实现现代化迈进起步期相协同的水安全保障体系。</w:t>
                  </w:r>
                </w:p>
                <w:p w14:paraId="1D620C8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2</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64ABD14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3</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万元工业增加值用水量≤30（立方米/万元）。</w:t>
                  </w:r>
                </w:p>
                <w:p w14:paraId="4200ECE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4</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2025年底前，全市单位地区生产总值能源消耗较2020年下降14%，能源消费总量得到合理控制。</w:t>
                  </w:r>
                </w:p>
                <w:p w14:paraId="6E47033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5</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单位GDP能源消耗累计下降23.6%，不低于省级下达目标。</w:t>
                  </w:r>
                </w:p>
                <w:p w14:paraId="00E5E3F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6</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对照国家有关高耗能行业重点领域能效标杆水平，实施钢铁、有色金属、冶炼等17个高耗能行业节能降碳改造升级，加快提升重点行业、企业能效水平。</w:t>
                  </w:r>
                </w:p>
                <w:p w14:paraId="1ACF40C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7</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加强节能监察和探索用能预算管理，实施电机、变压器等重点用能设备能效提升三年行动，推广先进节能技术。</w:t>
                  </w:r>
                </w:p>
                <w:p w14:paraId="1850F33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8</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到2025年，钢铁行业全面完成超低排放改造。</w:t>
                  </w:r>
                </w:p>
                <w:p w14:paraId="15EB9FA2">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9</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加快推进有色、化工、印染、烟草等行业清洁生产和工业废水资源化利用。</w:t>
                  </w:r>
                </w:p>
                <w:p w14:paraId="045EABB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10</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到2025年，全市新建大型及以上数据中心绿色低碳等级达到4A以上，电源使用效率（PUE）达到1.3以下，逐步组织电源使用效率超过1.5的数据中心进行节能降碳改造。</w:t>
                  </w:r>
                </w:p>
                <w:p w14:paraId="6CE9802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11</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“十四五”期间，全市规模以上工业单位增加值能耗下降14.5%，万元工业增加值用水量下降12%。</w:t>
                  </w:r>
                </w:p>
                <w:p w14:paraId="0B6D8604">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12</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到2025年，通过实施节能降碳提升工程，钢铁、电解铝、水泥、平板玻璃、炼油、乙烯、合成氨、电石等重点行业产能和数据中心达到能效标杆水平的比例超过30%。</w:t>
                  </w:r>
                </w:p>
                <w:p w14:paraId="1701868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13</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公共机构单位建筑面积碳排放量比2020年下降7%。</w:t>
                  </w:r>
                </w:p>
                <w:p w14:paraId="2D68FCF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14</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非化石能源消费占一次能源消费比重达到40%以上，完成省级下达目标。</w:t>
                  </w:r>
                </w:p>
                <w:p w14:paraId="0FD22BC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15</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单位GDP二氧化碳排放累计下降23%，不低于省级下达目标。</w:t>
                  </w:r>
                </w:p>
                <w:p w14:paraId="11EFD10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16</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严把新上项目的碳排放关，严格环境影响评价审批，加强固定资产投资项目节能审查，推动新建“两高一低”项目能效水平应提尽提。</w:t>
                  </w:r>
                </w:p>
                <w:p w14:paraId="5547628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17</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6DF72A6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18</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加快淘汰落后和低端低效产能退出。</w:t>
                  </w:r>
                </w:p>
                <w:p w14:paraId="770E54B9">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pacing w:val="0"/>
                      <w:kern w:val="0"/>
                      <w:sz w:val="21"/>
                      <w:szCs w:val="21"/>
                      <w:highlight w:val="none"/>
                      <w:lang w:eastAsia="zh-CN"/>
                    </w:rPr>
                    <w:t>（</w:t>
                  </w:r>
                  <w:r>
                    <w:rPr>
                      <w:rFonts w:hint="eastAsia" w:ascii="Times New Roman" w:hAnsi="Times New Roman" w:cs="Times New Roman"/>
                      <w:color w:val="auto"/>
                      <w:spacing w:val="0"/>
                      <w:kern w:val="0"/>
                      <w:sz w:val="21"/>
                      <w:szCs w:val="21"/>
                      <w:highlight w:val="none"/>
                      <w:lang w:val="en-US" w:eastAsia="zh-CN"/>
                    </w:rPr>
                    <w:t>19</w:t>
                  </w:r>
                  <w:r>
                    <w:rPr>
                      <w:rFonts w:hint="eastAsia" w:ascii="Times New Roman" w:hAnsi="Times New Roman" w:cs="Times New Roman"/>
                      <w:color w:val="auto"/>
                      <w:spacing w:val="0"/>
                      <w:kern w:val="0"/>
                      <w:sz w:val="21"/>
                      <w:szCs w:val="21"/>
                      <w:highlight w:val="none"/>
                      <w:lang w:eastAsia="zh-CN"/>
                    </w:rPr>
                    <w:t>）</w:t>
                  </w:r>
                  <w:r>
                    <w:rPr>
                      <w:rFonts w:hint="default" w:ascii="Times New Roman" w:hAnsi="Times New Roman" w:eastAsia="宋体" w:cs="Times New Roman"/>
                      <w:color w:val="auto"/>
                      <w:spacing w:val="0"/>
                      <w:kern w:val="0"/>
                      <w:sz w:val="21"/>
                      <w:szCs w:val="21"/>
                      <w:highlight w:val="none"/>
                    </w:rPr>
                    <w:t>指导金融机构加强“两高一低”项目贷前审核。</w:t>
                  </w:r>
                </w:p>
              </w:tc>
              <w:tc>
                <w:tcPr>
                  <w:tcW w:w="1679" w:type="pct"/>
                  <w:vAlign w:val="center"/>
                </w:tcPr>
                <w:p w14:paraId="0BC79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（1）项目不涉及。</w:t>
                  </w:r>
                </w:p>
                <w:p w14:paraId="64DEF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（2）~（3）项目用水仅为施工期施工废水和运营期生活用水，用水量较少。</w:t>
                  </w:r>
                </w:p>
                <w:p w14:paraId="4D454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（4）~（5）项目为光伏发电项目，运营期输送电力能源，消耗的能源较少。</w:t>
                  </w:r>
                </w:p>
                <w:p w14:paraId="4A9CB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（6）项目不属于高耗能 </w:t>
                  </w:r>
                </w:p>
                <w:p w14:paraId="63399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行业。</w:t>
                  </w:r>
                </w:p>
                <w:p w14:paraId="0D7840B3">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项目设计选用能效高级环保型设备，且项目输送电能，能为社会提供较好的能源效益。</w:t>
                  </w:r>
                </w:p>
                <w:p w14:paraId="4D4AF5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（8）项目不涉及。</w:t>
                  </w:r>
                </w:p>
                <w:p w14:paraId="55CF0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（9）项目不涉及。</w:t>
                  </w:r>
                </w:p>
                <w:p w14:paraId="4407A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（10）项目为光伏发电项目，本身消耗的能源较少。</w:t>
                  </w:r>
                </w:p>
                <w:p w14:paraId="1A056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（11）项目运营期消耗的能源较少，且不属于工业单位。</w:t>
                  </w:r>
                </w:p>
                <w:p w14:paraId="4CB38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（12）~（14）项目不涉及。</w:t>
                  </w:r>
                </w:p>
                <w:p w14:paraId="30681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（15）项目运营期不产生废气。</w:t>
                  </w:r>
                </w:p>
                <w:p w14:paraId="7944C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（16）项目不属于“两高一低”项目。</w:t>
                  </w:r>
                </w:p>
                <w:p w14:paraId="2C352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（17）项目不属于“两高一低”项目，项目的建设符合相关政策要求，不属于未批先建项目。</w:t>
                  </w:r>
                </w:p>
                <w:p w14:paraId="35D713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（18）~（19）项目不涉及。</w:t>
                  </w:r>
                </w:p>
                <w:p w14:paraId="421E09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535" w:type="pct"/>
                  <w:vAlign w:val="center"/>
                </w:tcPr>
                <w:p w14:paraId="714E5B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bl>
          <w:p w14:paraId="1FA3F544">
            <w:pPr>
              <w:pStyle w:val="24"/>
              <w:keepNext w:val="0"/>
              <w:keepLines w:val="0"/>
              <w:suppressLineNumbers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表1-</w:t>
            </w:r>
            <w:r>
              <w:rPr>
                <w:rFonts w:hint="eastAsia" w:cs="Times New Roman"/>
                <w:b/>
                <w:bCs w:val="0"/>
                <w:color w:val="auto"/>
                <w:sz w:val="21"/>
                <w:szCs w:val="21"/>
                <w:highlight w:val="none"/>
                <w:lang w:val="en-US" w:eastAsia="zh-CN"/>
              </w:rPr>
              <w:t>5</w:t>
            </w:r>
            <w:r>
              <w:rPr>
                <w:rFonts w:hint="eastAsia" w:ascii="Times New Roman" w:hAnsi="Times New Roman" w:eastAsia="宋体" w:cs="Times New Roman"/>
                <w:b/>
                <w:bCs w:val="0"/>
                <w:color w:val="auto"/>
                <w:sz w:val="21"/>
                <w:szCs w:val="21"/>
                <w:highlight w:val="none"/>
                <w:lang w:val="en-US" w:eastAsia="zh-CN"/>
              </w:rPr>
              <w:t xml:space="preserve">  寻甸县生态环境准入清单</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9"/>
              <w:gridCol w:w="3"/>
              <w:gridCol w:w="609"/>
              <w:gridCol w:w="2564"/>
              <w:gridCol w:w="2853"/>
              <w:gridCol w:w="638"/>
            </w:tblGrid>
            <w:tr w14:paraId="13CE5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9" w:type="pct"/>
                  <w:gridSpan w:val="3"/>
                  <w:tcBorders>
                    <w:tl2br w:val="nil"/>
                    <w:tr2bl w:val="nil"/>
                  </w:tcBorders>
                  <w:noWrap w:val="0"/>
                  <w:tcMar>
                    <w:top w:w="15" w:type="dxa"/>
                    <w:left w:w="15" w:type="dxa"/>
                    <w:right w:w="15" w:type="dxa"/>
                  </w:tcMar>
                  <w:vAlign w:val="center"/>
                </w:tcPr>
                <w:p w14:paraId="0739B1C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lang w:val="en-US" w:eastAsia="zh-CN"/>
                    </w:rPr>
                    <w:t>名称</w:t>
                  </w:r>
                </w:p>
              </w:tc>
              <w:tc>
                <w:tcPr>
                  <w:tcW w:w="1761" w:type="pct"/>
                  <w:tcBorders>
                    <w:tl2br w:val="nil"/>
                    <w:tr2bl w:val="nil"/>
                  </w:tcBorders>
                  <w:noWrap w:val="0"/>
                  <w:tcMar>
                    <w:top w:w="15" w:type="dxa"/>
                    <w:left w:w="15" w:type="dxa"/>
                    <w:right w:w="15" w:type="dxa"/>
                  </w:tcMar>
                  <w:vAlign w:val="center"/>
                </w:tcPr>
                <w:p w14:paraId="25BCFA86">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rPr>
                  </w:pPr>
                  <w:r>
                    <w:rPr>
                      <w:rFonts w:hint="default" w:ascii="Times New Roman" w:hAnsi="Times New Roman" w:eastAsia="宋体" w:cs="Times New Roman"/>
                      <w:b/>
                      <w:bCs/>
                      <w:color w:val="auto"/>
                      <w:spacing w:val="0"/>
                      <w:sz w:val="21"/>
                      <w:szCs w:val="21"/>
                      <w:highlight w:val="none"/>
                      <w:lang w:val="en-US" w:eastAsia="zh-CN"/>
                    </w:rPr>
                    <w:t>管控要求</w:t>
                  </w:r>
                </w:p>
              </w:tc>
              <w:tc>
                <w:tcPr>
                  <w:tcW w:w="1960" w:type="pct"/>
                  <w:tcBorders>
                    <w:tl2br w:val="nil"/>
                    <w:tr2bl w:val="nil"/>
                  </w:tcBorders>
                  <w:noWrap w:val="0"/>
                  <w:tcMar>
                    <w:top w:w="15" w:type="dxa"/>
                    <w:left w:w="15" w:type="dxa"/>
                    <w:right w:w="15" w:type="dxa"/>
                  </w:tcMar>
                  <w:vAlign w:val="center"/>
                </w:tcPr>
                <w:p w14:paraId="39FF0E61">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本项目</w:t>
                  </w:r>
                </w:p>
              </w:tc>
              <w:tc>
                <w:tcPr>
                  <w:tcW w:w="438" w:type="pct"/>
                  <w:tcBorders>
                    <w:tl2br w:val="nil"/>
                    <w:tr2bl w:val="nil"/>
                  </w:tcBorders>
                  <w:noWrap w:val="0"/>
                  <w:tcMar>
                    <w:top w:w="15" w:type="dxa"/>
                    <w:left w:w="15" w:type="dxa"/>
                    <w:right w:w="15" w:type="dxa"/>
                  </w:tcMar>
                  <w:vAlign w:val="center"/>
                </w:tcPr>
                <w:p w14:paraId="3F55ACCF">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符合性</w:t>
                  </w:r>
                </w:p>
              </w:tc>
            </w:tr>
            <w:tr w14:paraId="40316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9" w:type="pct"/>
                  <w:vMerge w:val="restart"/>
                  <w:tcBorders>
                    <w:tl2br w:val="nil"/>
                    <w:tr2bl w:val="nil"/>
                  </w:tcBorders>
                  <w:noWrap w:val="0"/>
                  <w:tcMar>
                    <w:top w:w="15" w:type="dxa"/>
                    <w:left w:w="15" w:type="dxa"/>
                    <w:right w:w="15" w:type="dxa"/>
                  </w:tcMar>
                  <w:vAlign w:val="center"/>
                </w:tcPr>
                <w:p w14:paraId="4C48411E">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lang w:val="en-US" w:eastAsia="zh-CN"/>
                    </w:rPr>
                    <w:t>寻甸</w:t>
                  </w:r>
                  <w:r>
                    <w:rPr>
                      <w:rFonts w:hint="default" w:ascii="Times New Roman" w:hAnsi="Times New Roman" w:eastAsia="宋体" w:cs="Times New Roman"/>
                      <w:color w:val="auto"/>
                      <w:spacing w:val="0"/>
                      <w:sz w:val="21"/>
                      <w:szCs w:val="21"/>
                      <w:lang w:val="zh-CN" w:eastAsia="zh-CN"/>
                    </w:rPr>
                    <w:t>县一般生态空间优先保护单元</w:t>
                  </w:r>
                </w:p>
              </w:tc>
              <w:tc>
                <w:tcPr>
                  <w:tcW w:w="420" w:type="pct"/>
                  <w:gridSpan w:val="2"/>
                  <w:tcBorders>
                    <w:tl2br w:val="nil"/>
                    <w:tr2bl w:val="nil"/>
                  </w:tcBorders>
                  <w:noWrap w:val="0"/>
                  <w:tcMar>
                    <w:top w:w="15" w:type="dxa"/>
                    <w:left w:w="15" w:type="dxa"/>
                    <w:right w:w="15" w:type="dxa"/>
                  </w:tcMar>
                  <w:vAlign w:val="center"/>
                </w:tcPr>
                <w:p w14:paraId="1175BF2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color w:val="auto"/>
                      <w:spacing w:val="0"/>
                      <w:sz w:val="21"/>
                      <w:szCs w:val="21"/>
                      <w:lang w:val="zh-CN" w:eastAsia="zh-CN"/>
                    </w:rPr>
                    <w:t>空间布局约束</w:t>
                  </w:r>
                </w:p>
              </w:tc>
              <w:tc>
                <w:tcPr>
                  <w:tcW w:w="1761" w:type="pct"/>
                  <w:tcBorders>
                    <w:tl2br w:val="nil"/>
                    <w:tr2bl w:val="nil"/>
                  </w:tcBorders>
                  <w:shd w:val="clear" w:color="auto" w:fill="auto"/>
                  <w:noWrap w:val="0"/>
                  <w:tcMar>
                    <w:top w:w="15" w:type="dxa"/>
                    <w:left w:w="15" w:type="dxa"/>
                    <w:right w:w="15" w:type="dxa"/>
                  </w:tcMar>
                  <w:vAlign w:val="center"/>
                </w:tcPr>
                <w:p w14:paraId="23B72116">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14:paraId="05D7A64A">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2.暂未纳入生态保护红线的自然保护地按照相关保护地法律法规进行管理；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1960" w:type="pct"/>
                  <w:tcBorders>
                    <w:tl2br w:val="nil"/>
                    <w:tr2bl w:val="nil"/>
                  </w:tcBorders>
                  <w:shd w:val="clear" w:color="auto" w:fill="auto"/>
                  <w:noWrap w:val="0"/>
                  <w:tcMar>
                    <w:top w:w="15" w:type="dxa"/>
                    <w:left w:w="15" w:type="dxa"/>
                    <w:right w:w="15" w:type="dxa"/>
                  </w:tcMar>
                  <w:vAlign w:val="center"/>
                </w:tcPr>
                <w:p w14:paraId="2C53E333">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项目位于云南省昆明市寻甸回族彝族自治县河口镇境内，根据《云南省主体功能区规划》，项目所在区域属于国家重点开发区域，项目为光伏发电项目，涉及地类现状主要为林地、其他草地、交通运输用地、裸土地，项目建设不会破坏生态系统稳定。</w:t>
                  </w:r>
                </w:p>
                <w:p w14:paraId="35DB77AE">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eastAsia" w:cs="Times New Roman"/>
                      <w:color w:val="auto"/>
                      <w:spacing w:val="0"/>
                      <w:kern w:val="0"/>
                      <w:sz w:val="21"/>
                      <w:szCs w:val="21"/>
                      <w:highlight w:val="none"/>
                      <w:lang w:val="en-US" w:eastAsia="zh-CN"/>
                    </w:rPr>
                    <w:t>2.项目涉及273085m</w:t>
                  </w:r>
                  <w:r>
                    <w:rPr>
                      <w:rFonts w:hint="eastAsia" w:cs="Times New Roman"/>
                      <w:color w:val="auto"/>
                      <w:spacing w:val="0"/>
                      <w:kern w:val="0"/>
                      <w:sz w:val="21"/>
                      <w:szCs w:val="21"/>
                      <w:highlight w:val="none"/>
                      <w:vertAlign w:val="superscript"/>
                      <w:lang w:val="en-US" w:eastAsia="zh-CN"/>
                    </w:rPr>
                    <w:t>2</w:t>
                  </w:r>
                  <w:r>
                    <w:rPr>
                      <w:rFonts w:hint="eastAsia" w:cs="Times New Roman"/>
                      <w:color w:val="auto"/>
                      <w:spacing w:val="0"/>
                      <w:kern w:val="0"/>
                      <w:sz w:val="21"/>
                      <w:szCs w:val="21"/>
                      <w:highlight w:val="none"/>
                      <w:lang w:val="en-US" w:eastAsia="zh-CN"/>
                    </w:rPr>
                    <w:t>公益林，公益林依据《国家级公益林管理办法》《云南省公益林管理办法》进行管理；天然林依据《国家林业局关于严格保护天然林的通知》（林资发〔2015〕181号）《中共中央办公厅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438" w:type="pct"/>
                  <w:tcBorders>
                    <w:tl2br w:val="nil"/>
                    <w:tr2bl w:val="nil"/>
                  </w:tcBorders>
                  <w:shd w:val="clear" w:color="auto" w:fill="auto"/>
                  <w:noWrap w:val="0"/>
                  <w:tcMar>
                    <w:top w:w="15" w:type="dxa"/>
                    <w:left w:w="15" w:type="dxa"/>
                    <w:right w:w="15" w:type="dxa"/>
                  </w:tcMar>
                  <w:vAlign w:val="center"/>
                </w:tcPr>
                <w:p w14:paraId="60716BCB">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符合</w:t>
                  </w:r>
                </w:p>
              </w:tc>
            </w:tr>
            <w:tr w14:paraId="16352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9" w:type="pct"/>
                  <w:vMerge w:val="continue"/>
                  <w:tcBorders>
                    <w:tl2br w:val="nil"/>
                    <w:tr2bl w:val="nil"/>
                  </w:tcBorders>
                  <w:noWrap w:val="0"/>
                  <w:tcMar>
                    <w:top w:w="15" w:type="dxa"/>
                    <w:left w:w="15" w:type="dxa"/>
                    <w:right w:w="15" w:type="dxa"/>
                  </w:tcMar>
                  <w:vAlign w:val="center"/>
                </w:tcPr>
                <w:p w14:paraId="571EB6CE">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p>
              </w:tc>
              <w:tc>
                <w:tcPr>
                  <w:tcW w:w="420" w:type="pct"/>
                  <w:gridSpan w:val="2"/>
                  <w:tcBorders>
                    <w:tl2br w:val="nil"/>
                    <w:tr2bl w:val="nil"/>
                  </w:tcBorders>
                  <w:noWrap w:val="0"/>
                  <w:tcMar>
                    <w:top w:w="15" w:type="dxa"/>
                    <w:left w:w="15" w:type="dxa"/>
                    <w:right w:w="15" w:type="dxa"/>
                  </w:tcMar>
                  <w:vAlign w:val="center"/>
                </w:tcPr>
                <w:p w14:paraId="4F6AA04E">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color w:val="auto"/>
                      <w:spacing w:val="0"/>
                      <w:sz w:val="21"/>
                      <w:szCs w:val="21"/>
                      <w:lang w:val="zh-CN" w:eastAsia="zh-CN"/>
                    </w:rPr>
                    <w:t>污染物排放管控</w:t>
                  </w:r>
                </w:p>
              </w:tc>
              <w:tc>
                <w:tcPr>
                  <w:tcW w:w="1761" w:type="pct"/>
                  <w:tcBorders>
                    <w:tl2br w:val="nil"/>
                    <w:tr2bl w:val="nil"/>
                  </w:tcBorders>
                  <w:shd w:val="clear" w:color="auto" w:fill="auto"/>
                  <w:noWrap w:val="0"/>
                  <w:tcMar>
                    <w:top w:w="15" w:type="dxa"/>
                    <w:left w:w="15" w:type="dxa"/>
                    <w:right w:w="15" w:type="dxa"/>
                  </w:tcMar>
                  <w:vAlign w:val="center"/>
                </w:tcPr>
                <w:p w14:paraId="490755D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1.禁止在二十五度以上陡坡地开垦种植农作物。</w:t>
                  </w:r>
                </w:p>
                <w:p w14:paraId="44E68699">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2.禁止围湖造田和侵占江河滩地。</w:t>
                  </w:r>
                </w:p>
                <w:p w14:paraId="120BB57E">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rPr>
                    <w:t>3.畜禽养殖严格执行禁养区规定。对草原实行以草定蓄、</w:t>
                  </w:r>
                  <w:r>
                    <w:rPr>
                      <w:rFonts w:hint="eastAsia" w:cs="Times New Roman"/>
                      <w:color w:val="auto"/>
                      <w:spacing w:val="0"/>
                      <w:kern w:val="0"/>
                      <w:sz w:val="21"/>
                      <w:szCs w:val="21"/>
                      <w:lang w:val="en-US" w:eastAsia="zh-CN"/>
                    </w:rPr>
                    <w:t>草畜平衡</w:t>
                  </w:r>
                  <w:r>
                    <w:rPr>
                      <w:rFonts w:hint="default" w:ascii="Times New Roman" w:hAnsi="Times New Roman" w:eastAsia="宋体" w:cs="Times New Roman"/>
                      <w:color w:val="auto"/>
                      <w:spacing w:val="0"/>
                      <w:kern w:val="0"/>
                      <w:sz w:val="21"/>
                      <w:szCs w:val="21"/>
                      <w:lang w:val="en-US" w:eastAsia="zh-CN"/>
                    </w:rPr>
                    <w:t>制度，禁止过度放牧。</w:t>
                  </w:r>
                </w:p>
              </w:tc>
              <w:tc>
                <w:tcPr>
                  <w:tcW w:w="1960" w:type="pct"/>
                  <w:tcBorders>
                    <w:tl2br w:val="nil"/>
                    <w:tr2bl w:val="nil"/>
                  </w:tcBorders>
                  <w:shd w:val="clear" w:color="auto" w:fill="auto"/>
                  <w:noWrap w:val="0"/>
                  <w:tcMar>
                    <w:top w:w="15" w:type="dxa"/>
                    <w:left w:w="15" w:type="dxa"/>
                    <w:right w:w="15" w:type="dxa"/>
                  </w:tcMar>
                  <w:vAlign w:val="center"/>
                </w:tcPr>
                <w:p w14:paraId="395E9AA8">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1.</w:t>
                  </w:r>
                  <w:r>
                    <w:rPr>
                      <w:rFonts w:hint="default" w:ascii="Times New Roman" w:hAnsi="Times New Roman" w:eastAsia="宋体" w:cs="Times New Roman"/>
                      <w:color w:val="auto"/>
                      <w:spacing w:val="0"/>
                      <w:kern w:val="0"/>
                      <w:sz w:val="21"/>
                      <w:szCs w:val="21"/>
                      <w:lang w:eastAsia="zh-CN"/>
                    </w:rPr>
                    <w:t>项目为复合型光伏发电，相关种植工程将避开</w:t>
                  </w:r>
                  <w:r>
                    <w:rPr>
                      <w:rFonts w:hint="default" w:ascii="Times New Roman" w:hAnsi="Times New Roman" w:eastAsia="宋体" w:cs="Times New Roman"/>
                      <w:color w:val="auto"/>
                      <w:spacing w:val="0"/>
                      <w:kern w:val="0"/>
                      <w:sz w:val="21"/>
                      <w:szCs w:val="21"/>
                    </w:rPr>
                    <w:t>二十五度以上陡坡</w:t>
                  </w:r>
                  <w:r>
                    <w:rPr>
                      <w:rFonts w:hint="default" w:ascii="Times New Roman" w:hAnsi="Times New Roman" w:eastAsia="宋体" w:cs="Times New Roman"/>
                      <w:color w:val="auto"/>
                      <w:spacing w:val="0"/>
                      <w:kern w:val="0"/>
                      <w:sz w:val="21"/>
                      <w:szCs w:val="21"/>
                      <w:lang w:eastAsia="zh-CN"/>
                    </w:rPr>
                    <w:t>区域。</w:t>
                  </w:r>
                </w:p>
                <w:p w14:paraId="61DEA8A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lang w:eastAsia="zh-CN"/>
                    </w:rPr>
                  </w:pPr>
                  <w:r>
                    <w:rPr>
                      <w:rFonts w:hint="default" w:ascii="Times New Roman" w:hAnsi="Times New Roman" w:eastAsia="宋体" w:cs="Times New Roman"/>
                      <w:color w:val="auto"/>
                      <w:spacing w:val="0"/>
                      <w:kern w:val="0"/>
                      <w:sz w:val="21"/>
                      <w:szCs w:val="21"/>
                      <w:lang w:val="en-US" w:eastAsia="zh-CN"/>
                    </w:rPr>
                    <w:t>2.</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围湖造田和侵占江河滩地</w:t>
                  </w:r>
                  <w:r>
                    <w:rPr>
                      <w:rFonts w:hint="default" w:ascii="Times New Roman" w:hAnsi="Times New Roman" w:eastAsia="宋体" w:cs="Times New Roman"/>
                      <w:color w:val="auto"/>
                      <w:spacing w:val="0"/>
                      <w:kern w:val="0"/>
                      <w:sz w:val="21"/>
                      <w:szCs w:val="21"/>
                      <w:lang w:eastAsia="zh-CN"/>
                    </w:rPr>
                    <w:t>。</w:t>
                  </w:r>
                </w:p>
                <w:p w14:paraId="148075D2">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rPr>
                    <w:t>3.</w:t>
                  </w:r>
                  <w:r>
                    <w:rPr>
                      <w:rFonts w:hint="default" w:ascii="Times New Roman" w:hAnsi="Times New Roman" w:eastAsia="宋体" w:cs="Times New Roman"/>
                      <w:color w:val="auto"/>
                      <w:spacing w:val="0"/>
                      <w:kern w:val="0"/>
                      <w:sz w:val="21"/>
                      <w:szCs w:val="21"/>
                      <w:lang w:eastAsia="zh-CN"/>
                    </w:rPr>
                    <w:t>项目不涉及</w:t>
                  </w:r>
                  <w:r>
                    <w:rPr>
                      <w:rFonts w:hint="default" w:ascii="Times New Roman" w:hAnsi="Times New Roman" w:eastAsia="宋体" w:cs="Times New Roman"/>
                      <w:color w:val="auto"/>
                      <w:spacing w:val="0"/>
                      <w:kern w:val="0"/>
                      <w:sz w:val="21"/>
                      <w:szCs w:val="21"/>
                    </w:rPr>
                    <w:t>畜禽养殖</w:t>
                  </w:r>
                  <w:r>
                    <w:rPr>
                      <w:rFonts w:hint="default" w:ascii="Times New Roman" w:hAnsi="Times New Roman" w:eastAsia="宋体" w:cs="Times New Roman"/>
                      <w:color w:val="auto"/>
                      <w:spacing w:val="0"/>
                      <w:kern w:val="0"/>
                      <w:sz w:val="21"/>
                      <w:szCs w:val="21"/>
                      <w:lang w:eastAsia="zh-CN"/>
                    </w:rPr>
                    <w:t>。</w:t>
                  </w:r>
                </w:p>
              </w:tc>
              <w:tc>
                <w:tcPr>
                  <w:tcW w:w="438" w:type="pct"/>
                  <w:tcBorders>
                    <w:tl2br w:val="nil"/>
                    <w:tr2bl w:val="nil"/>
                  </w:tcBorders>
                  <w:shd w:val="clear" w:color="auto" w:fill="auto"/>
                  <w:noWrap w:val="0"/>
                  <w:tcMar>
                    <w:top w:w="15" w:type="dxa"/>
                    <w:left w:w="15" w:type="dxa"/>
                    <w:right w:w="15" w:type="dxa"/>
                  </w:tcMar>
                  <w:vAlign w:val="center"/>
                </w:tcPr>
                <w:p w14:paraId="4FB7FFEC">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符合</w:t>
                  </w:r>
                </w:p>
              </w:tc>
            </w:tr>
            <w:tr w14:paraId="3C1F8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jc w:val="center"/>
              </w:trPr>
              <w:tc>
                <w:tcPr>
                  <w:tcW w:w="419" w:type="pct"/>
                  <w:vMerge w:val="continue"/>
                  <w:tcBorders>
                    <w:tl2br w:val="nil"/>
                    <w:tr2bl w:val="nil"/>
                  </w:tcBorders>
                  <w:noWrap w:val="0"/>
                  <w:tcMar>
                    <w:top w:w="15" w:type="dxa"/>
                    <w:left w:w="15" w:type="dxa"/>
                    <w:right w:w="15" w:type="dxa"/>
                  </w:tcMar>
                  <w:vAlign w:val="center"/>
                </w:tcPr>
                <w:p w14:paraId="0EDC033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p>
              </w:tc>
              <w:tc>
                <w:tcPr>
                  <w:tcW w:w="420" w:type="pct"/>
                  <w:gridSpan w:val="2"/>
                  <w:tcBorders>
                    <w:tl2br w:val="nil"/>
                    <w:tr2bl w:val="nil"/>
                  </w:tcBorders>
                  <w:noWrap w:val="0"/>
                  <w:tcMar>
                    <w:top w:w="15" w:type="dxa"/>
                    <w:left w:w="15" w:type="dxa"/>
                    <w:right w:w="15" w:type="dxa"/>
                  </w:tcMar>
                  <w:vAlign w:val="center"/>
                </w:tcPr>
                <w:p w14:paraId="3671CF7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color w:val="auto"/>
                      <w:spacing w:val="0"/>
                      <w:sz w:val="21"/>
                      <w:szCs w:val="21"/>
                      <w:lang w:val="zh-CN" w:eastAsia="zh-CN"/>
                    </w:rPr>
                    <w:t>环境风险防控</w:t>
                  </w:r>
                </w:p>
              </w:tc>
              <w:tc>
                <w:tcPr>
                  <w:tcW w:w="1761" w:type="pct"/>
                  <w:tcBorders>
                    <w:tl2br w:val="nil"/>
                    <w:tr2bl w:val="nil"/>
                  </w:tcBorders>
                  <w:shd w:val="clear" w:color="auto" w:fill="auto"/>
                  <w:noWrap w:val="0"/>
                  <w:tcMar>
                    <w:top w:w="15" w:type="dxa"/>
                    <w:left w:w="15" w:type="dxa"/>
                    <w:right w:w="15" w:type="dxa"/>
                  </w:tcMar>
                  <w:vAlign w:val="center"/>
                </w:tcPr>
                <w:p w14:paraId="5747CF5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sz w:val="21"/>
                      <w:szCs w:val="21"/>
                      <w:lang w:val="zh-CN" w:eastAsia="zh-CN"/>
                    </w:rPr>
                    <w:t>执行昆</w:t>
                  </w:r>
                  <w:r>
                    <w:rPr>
                      <w:rFonts w:hint="eastAsia" w:ascii="Times New Roman" w:hAnsi="Times New Roman" w:eastAsia="宋体" w:cs="Times New Roman"/>
                      <w:color w:val="auto"/>
                      <w:spacing w:val="0"/>
                      <w:kern w:val="0"/>
                      <w:sz w:val="21"/>
                      <w:szCs w:val="21"/>
                      <w:lang w:val="zh-CN" w:eastAsia="zh-CN" w:bidi="ar-SA"/>
                    </w:rPr>
                    <w:t>明市总体要求。</w:t>
                  </w:r>
                </w:p>
              </w:tc>
              <w:tc>
                <w:tcPr>
                  <w:tcW w:w="1960" w:type="pct"/>
                  <w:tcBorders>
                    <w:tl2br w:val="nil"/>
                    <w:tr2bl w:val="nil"/>
                  </w:tcBorders>
                  <w:shd w:val="clear" w:color="auto" w:fill="auto"/>
                  <w:noWrap w:val="0"/>
                  <w:tcMar>
                    <w:top w:w="15" w:type="dxa"/>
                    <w:left w:w="15" w:type="dxa"/>
                    <w:right w:w="15" w:type="dxa"/>
                  </w:tcMar>
                  <w:vAlign w:val="center"/>
                </w:tcPr>
                <w:p w14:paraId="5A30ECB6">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lang w:val="en-US" w:eastAsia="zh-CN" w:bidi="ar-SA"/>
                    </w:rPr>
                  </w:pPr>
                  <w:r>
                    <w:rPr>
                      <w:rStyle w:val="150"/>
                      <w:rFonts w:hint="eastAsia" w:ascii="Times New Roman" w:hAnsi="Times New Roman" w:eastAsia="宋体" w:cs="Times New Roman"/>
                      <w:color w:val="auto"/>
                      <w:kern w:val="0"/>
                      <w:szCs w:val="21"/>
                      <w:lang w:val="en-US" w:eastAsia="zh-CN"/>
                    </w:rPr>
                    <w:t>详见</w:t>
                  </w:r>
                  <w:r>
                    <w:rPr>
                      <w:rStyle w:val="150"/>
                      <w:rFonts w:hint="eastAsia" w:ascii="Times New Roman" w:hAnsi="Times New Roman" w:eastAsia="宋体" w:cs="Times New Roman"/>
                      <w:color w:val="auto"/>
                      <w:kern w:val="0"/>
                      <w:szCs w:val="21"/>
                      <w:highlight w:val="none"/>
                      <w:lang w:val="en-US" w:eastAsia="zh-CN"/>
                    </w:rPr>
                    <w:t>表1-</w:t>
                  </w:r>
                  <w:r>
                    <w:rPr>
                      <w:rStyle w:val="150"/>
                      <w:rFonts w:hint="eastAsia" w:cs="Times New Roman"/>
                      <w:color w:val="auto"/>
                      <w:kern w:val="0"/>
                      <w:szCs w:val="21"/>
                      <w:highlight w:val="none"/>
                      <w:lang w:val="en-US" w:eastAsia="zh-CN"/>
                    </w:rPr>
                    <w:t>4</w:t>
                  </w:r>
                  <w:r>
                    <w:rPr>
                      <w:rStyle w:val="150"/>
                      <w:rFonts w:hint="eastAsia" w:ascii="Times New Roman" w:hAnsi="Times New Roman" w:eastAsia="宋体" w:cs="Times New Roman"/>
                      <w:color w:val="auto"/>
                      <w:kern w:val="0"/>
                      <w:szCs w:val="21"/>
                      <w:highlight w:val="none"/>
                      <w:lang w:val="en-US" w:eastAsia="zh-CN"/>
                    </w:rPr>
                    <w:t>项</w:t>
                  </w:r>
                  <w:r>
                    <w:rPr>
                      <w:rStyle w:val="150"/>
                      <w:rFonts w:hint="eastAsia" w:ascii="Times New Roman" w:hAnsi="Times New Roman" w:eastAsia="宋体" w:cs="Times New Roman"/>
                      <w:color w:val="auto"/>
                      <w:kern w:val="0"/>
                      <w:szCs w:val="21"/>
                      <w:lang w:val="en-US" w:eastAsia="zh-CN"/>
                    </w:rPr>
                    <w:t>目与昆明市环境管控单元生态环境总体准入要求相符性分析中的环境风险防控要求符合性分析。</w:t>
                  </w:r>
                </w:p>
              </w:tc>
              <w:tc>
                <w:tcPr>
                  <w:tcW w:w="438" w:type="pct"/>
                  <w:tcBorders>
                    <w:tl2br w:val="nil"/>
                    <w:tr2bl w:val="nil"/>
                  </w:tcBorders>
                  <w:shd w:val="clear" w:color="auto" w:fill="auto"/>
                  <w:noWrap w:val="0"/>
                  <w:tcMar>
                    <w:top w:w="15" w:type="dxa"/>
                    <w:left w:w="15" w:type="dxa"/>
                    <w:right w:w="15" w:type="dxa"/>
                  </w:tcMar>
                  <w:vAlign w:val="center"/>
                </w:tcPr>
                <w:p w14:paraId="32976DED">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符合</w:t>
                  </w:r>
                </w:p>
              </w:tc>
            </w:tr>
            <w:tr w14:paraId="15E27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pct"/>
                  <w:gridSpan w:val="2"/>
                  <w:vMerge w:val="restart"/>
                  <w:tcBorders>
                    <w:tl2br w:val="nil"/>
                    <w:tr2bl w:val="nil"/>
                  </w:tcBorders>
                  <w:noWrap w:val="0"/>
                  <w:tcMar>
                    <w:top w:w="15" w:type="dxa"/>
                    <w:left w:w="15" w:type="dxa"/>
                    <w:right w:w="15" w:type="dxa"/>
                  </w:tcMar>
                  <w:vAlign w:val="center"/>
                </w:tcPr>
                <w:p w14:paraId="77D8C9A3">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寻甸</w:t>
                  </w:r>
                  <w:r>
                    <w:rPr>
                      <w:rFonts w:hint="default" w:ascii="Times New Roman" w:hAnsi="Times New Roman" w:eastAsia="宋体" w:cs="Times New Roman"/>
                      <w:color w:val="auto"/>
                      <w:spacing w:val="0"/>
                      <w:sz w:val="21"/>
                      <w:szCs w:val="21"/>
                      <w:highlight w:val="none"/>
                      <w:lang w:val="zh-CN" w:eastAsia="zh-CN"/>
                    </w:rPr>
                    <w:t>县</w:t>
                  </w:r>
                  <w:r>
                    <w:rPr>
                      <w:rFonts w:hint="eastAsia" w:ascii="Times New Roman" w:hAnsi="Times New Roman" w:eastAsia="宋体" w:cs="Times New Roman"/>
                      <w:color w:val="auto"/>
                      <w:spacing w:val="0"/>
                      <w:sz w:val="21"/>
                      <w:szCs w:val="21"/>
                      <w:highlight w:val="none"/>
                      <w:lang w:val="en-US" w:eastAsia="zh-CN"/>
                    </w:rPr>
                    <w:t>一般管控</w:t>
                  </w:r>
                  <w:r>
                    <w:rPr>
                      <w:rFonts w:hint="default" w:ascii="Times New Roman" w:hAnsi="Times New Roman" w:eastAsia="宋体" w:cs="Times New Roman"/>
                      <w:color w:val="auto"/>
                      <w:spacing w:val="0"/>
                      <w:sz w:val="21"/>
                      <w:szCs w:val="21"/>
                      <w:highlight w:val="none"/>
                      <w:lang w:val="zh-CN" w:eastAsia="zh-CN"/>
                    </w:rPr>
                    <w:t>单元</w:t>
                  </w:r>
                </w:p>
              </w:tc>
              <w:tc>
                <w:tcPr>
                  <w:tcW w:w="418" w:type="pct"/>
                  <w:tcBorders>
                    <w:tl2br w:val="nil"/>
                    <w:tr2bl w:val="nil"/>
                  </w:tcBorders>
                  <w:noWrap w:val="0"/>
                  <w:tcMar>
                    <w:top w:w="15" w:type="dxa"/>
                    <w:left w:w="15" w:type="dxa"/>
                    <w:right w:w="15" w:type="dxa"/>
                  </w:tcMar>
                  <w:vAlign w:val="center"/>
                </w:tcPr>
                <w:p w14:paraId="792CA77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zh-CN" w:eastAsia="zh-CN"/>
                    </w:rPr>
                    <w:t>空间布局约束</w:t>
                  </w:r>
                </w:p>
              </w:tc>
              <w:tc>
                <w:tcPr>
                  <w:tcW w:w="1761" w:type="pct"/>
                  <w:tcBorders>
                    <w:tl2br w:val="nil"/>
                    <w:tr2bl w:val="nil"/>
                  </w:tcBorders>
                  <w:noWrap w:val="0"/>
                  <w:tcMar>
                    <w:top w:w="15" w:type="dxa"/>
                    <w:left w:w="15" w:type="dxa"/>
                    <w:right w:w="15" w:type="dxa"/>
                  </w:tcMar>
                  <w:vAlign w:val="center"/>
                </w:tcPr>
                <w:p w14:paraId="3322371E">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1.禁止在林地、河湖管理范围内新建、改建、扩建房地产开发项目。</w:t>
                  </w:r>
                </w:p>
                <w:p w14:paraId="1DC4F24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2.禁止围湖造田和侵占江河滩地。</w:t>
                  </w:r>
                </w:p>
                <w:p w14:paraId="71EFB2D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3.禁止企业向滩涂、沼泽、荒地等未利用地非法排污、倾倒有毒有害物质。</w:t>
                  </w:r>
                </w:p>
              </w:tc>
              <w:tc>
                <w:tcPr>
                  <w:tcW w:w="1960" w:type="pct"/>
                  <w:tcBorders>
                    <w:tl2br w:val="nil"/>
                    <w:tr2bl w:val="nil"/>
                  </w:tcBorders>
                  <w:noWrap w:val="0"/>
                  <w:tcMar>
                    <w:top w:w="15" w:type="dxa"/>
                    <w:left w:w="15" w:type="dxa"/>
                    <w:right w:w="15" w:type="dxa"/>
                  </w:tcMar>
                  <w:vAlign w:val="center"/>
                </w:tcPr>
                <w:p w14:paraId="6E294D65">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w:t>
                  </w:r>
                  <w:r>
                    <w:rPr>
                      <w:rFonts w:hint="eastAsia" w:cs="Times New Roman"/>
                      <w:color w:val="auto"/>
                      <w:spacing w:val="0"/>
                      <w:kern w:val="0"/>
                      <w:sz w:val="21"/>
                      <w:szCs w:val="21"/>
                      <w:highlight w:val="none"/>
                      <w:lang w:val="en-US" w:eastAsia="zh-CN"/>
                    </w:rPr>
                    <w:t>本</w:t>
                  </w:r>
                  <w:r>
                    <w:rPr>
                      <w:rFonts w:hint="default" w:ascii="Times New Roman" w:hAnsi="Times New Roman" w:eastAsia="宋体" w:cs="Times New Roman"/>
                      <w:color w:val="auto"/>
                      <w:spacing w:val="0"/>
                      <w:kern w:val="0"/>
                      <w:sz w:val="21"/>
                      <w:szCs w:val="21"/>
                      <w:highlight w:val="none"/>
                      <w:lang w:eastAsia="zh-CN"/>
                    </w:rPr>
                    <w:t>项目不</w:t>
                  </w:r>
                  <w:r>
                    <w:rPr>
                      <w:rFonts w:hint="eastAsia" w:cs="Times New Roman"/>
                      <w:color w:val="auto"/>
                      <w:spacing w:val="0"/>
                      <w:kern w:val="0"/>
                      <w:sz w:val="21"/>
                      <w:szCs w:val="21"/>
                      <w:highlight w:val="none"/>
                      <w:lang w:val="en-US" w:eastAsia="zh-CN"/>
                    </w:rPr>
                    <w:t>属于房地产开发项目</w:t>
                  </w:r>
                  <w:r>
                    <w:rPr>
                      <w:rFonts w:hint="default" w:ascii="Times New Roman" w:hAnsi="Times New Roman" w:eastAsia="宋体" w:cs="Times New Roman"/>
                      <w:color w:val="auto"/>
                      <w:spacing w:val="0"/>
                      <w:kern w:val="0"/>
                      <w:sz w:val="21"/>
                      <w:szCs w:val="21"/>
                      <w:highlight w:val="none"/>
                    </w:rPr>
                    <w:t>。</w:t>
                  </w:r>
                </w:p>
                <w:p w14:paraId="12DA80D5">
                  <w:pPr>
                    <w:keepNext w:val="0"/>
                    <w:keepLines w:val="0"/>
                    <w:widowControl w:val="0"/>
                    <w:suppressLineNumbers w:val="0"/>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eastAsia="zh-CN"/>
                    </w:rPr>
                    <w:t>项目</w:t>
                  </w:r>
                  <w:r>
                    <w:rPr>
                      <w:rFonts w:hint="eastAsia" w:cs="Times New Roman"/>
                      <w:color w:val="auto"/>
                      <w:spacing w:val="0"/>
                      <w:kern w:val="0"/>
                      <w:sz w:val="21"/>
                      <w:szCs w:val="21"/>
                      <w:highlight w:val="none"/>
                      <w:lang w:val="en-US" w:eastAsia="zh-CN"/>
                    </w:rPr>
                    <w:t>不涉及围湖造田和侵占江河滩地。</w:t>
                  </w:r>
                </w:p>
                <w:p w14:paraId="1DD286D4">
                  <w:pPr>
                    <w:keepNext w:val="0"/>
                    <w:keepLines w:val="0"/>
                    <w:widowControl w:val="0"/>
                    <w:suppressLineNumbers w:val="0"/>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rPr>
                    <w:t>3.</w:t>
                  </w:r>
                  <w:r>
                    <w:rPr>
                      <w:rFonts w:hint="eastAsia" w:cs="Times New Roman"/>
                      <w:color w:val="auto"/>
                      <w:spacing w:val="0"/>
                      <w:kern w:val="0"/>
                      <w:sz w:val="21"/>
                      <w:szCs w:val="21"/>
                      <w:highlight w:val="none"/>
                      <w:lang w:val="en-US" w:eastAsia="zh-CN"/>
                    </w:rPr>
                    <w:t>项目运营期间</w:t>
                  </w:r>
                  <w:r>
                    <w:rPr>
                      <w:rFonts w:hint="default" w:ascii="Times New Roman" w:hAnsi="Times New Roman" w:eastAsia="宋体" w:cs="Times New Roman"/>
                      <w:color w:val="auto"/>
                      <w:spacing w:val="0"/>
                      <w:kern w:val="0"/>
                      <w:sz w:val="21"/>
                      <w:szCs w:val="21"/>
                      <w:highlight w:val="none"/>
                      <w:lang w:eastAsia="zh-CN"/>
                    </w:rPr>
                    <w:t>损坏更换的电池组件由厂家回收处置；设备检修、更换产生的废油装桶封闭，进入</w:t>
                  </w:r>
                  <w:r>
                    <w:rPr>
                      <w:rFonts w:hint="eastAsia" w:ascii="Times New Roman" w:hAnsi="Times New Roman" w:eastAsia="宋体" w:cs="Times New Roman"/>
                      <w:color w:val="auto"/>
                      <w:spacing w:val="0"/>
                      <w:kern w:val="0"/>
                      <w:sz w:val="21"/>
                      <w:szCs w:val="21"/>
                      <w:highlight w:val="none"/>
                      <w:lang w:val="en-US" w:eastAsia="zh-CN"/>
                    </w:rPr>
                    <w:t>竹园沟项目</w:t>
                  </w:r>
                  <w:r>
                    <w:rPr>
                      <w:rFonts w:hint="default" w:ascii="Times New Roman" w:hAnsi="Times New Roman" w:eastAsia="宋体" w:cs="Times New Roman"/>
                      <w:color w:val="auto"/>
                      <w:spacing w:val="0"/>
                      <w:kern w:val="0"/>
                      <w:sz w:val="21"/>
                      <w:szCs w:val="21"/>
                      <w:highlight w:val="none"/>
                      <w:lang w:eastAsia="zh-CN"/>
                    </w:rPr>
                    <w:t>升压站</w:t>
                  </w:r>
                  <w:r>
                    <w:rPr>
                      <w:rFonts w:hint="eastAsia" w:cs="Times New Roman"/>
                      <w:color w:val="auto"/>
                      <w:spacing w:val="0"/>
                      <w:kern w:val="0"/>
                      <w:sz w:val="21"/>
                      <w:szCs w:val="21"/>
                      <w:highlight w:val="none"/>
                      <w:lang w:eastAsia="zh-CN"/>
                    </w:rPr>
                    <w:t>危废贮存库</w:t>
                  </w:r>
                  <w:r>
                    <w:rPr>
                      <w:rFonts w:hint="default" w:ascii="Times New Roman" w:hAnsi="Times New Roman" w:eastAsia="宋体" w:cs="Times New Roman"/>
                      <w:color w:val="auto"/>
                      <w:spacing w:val="0"/>
                      <w:kern w:val="0"/>
                      <w:sz w:val="21"/>
                      <w:szCs w:val="21"/>
                      <w:highlight w:val="none"/>
                      <w:lang w:eastAsia="zh-CN"/>
                    </w:rPr>
                    <w:t>暂存，定期交由有资质单位处理。固废全部</w:t>
                  </w:r>
                  <w:r>
                    <w:rPr>
                      <w:rFonts w:hint="default" w:ascii="Times New Roman" w:hAnsi="Times New Roman" w:eastAsia="宋体" w:cs="Times New Roman"/>
                      <w:color w:val="auto"/>
                      <w:spacing w:val="0"/>
                      <w:kern w:val="0"/>
                      <w:sz w:val="21"/>
                      <w:szCs w:val="21"/>
                      <w:highlight w:val="none"/>
                      <w:lang w:val="en-US" w:eastAsia="zh-CN"/>
                    </w:rPr>
                    <w:t>100％处置，</w:t>
                  </w:r>
                  <w:r>
                    <w:rPr>
                      <w:rFonts w:hint="default" w:ascii="Times New Roman" w:hAnsi="Times New Roman" w:eastAsia="宋体" w:cs="Times New Roman"/>
                      <w:color w:val="auto"/>
                      <w:spacing w:val="0"/>
                      <w:kern w:val="0"/>
                      <w:sz w:val="21"/>
                      <w:szCs w:val="21"/>
                      <w:highlight w:val="none"/>
                      <w:lang w:eastAsia="zh-CN"/>
                    </w:rPr>
                    <w:t>不</w:t>
                  </w:r>
                  <w:r>
                    <w:rPr>
                      <w:rFonts w:hint="default" w:ascii="Times New Roman" w:hAnsi="Times New Roman" w:eastAsia="宋体" w:cs="Times New Roman"/>
                      <w:color w:val="auto"/>
                      <w:spacing w:val="0"/>
                      <w:kern w:val="0"/>
                      <w:sz w:val="21"/>
                      <w:szCs w:val="21"/>
                      <w:highlight w:val="none"/>
                    </w:rPr>
                    <w:t>向水域倾倒</w:t>
                  </w:r>
                  <w:r>
                    <w:rPr>
                      <w:rFonts w:hint="eastAsia" w:ascii="Times New Roman" w:hAnsi="Times New Roman" w:eastAsia="宋体" w:cs="Times New Roman"/>
                      <w:color w:val="auto"/>
                      <w:spacing w:val="0"/>
                      <w:kern w:val="0"/>
                      <w:sz w:val="21"/>
                      <w:szCs w:val="21"/>
                      <w:highlight w:val="none"/>
                      <w:lang w:val="en-US" w:eastAsia="zh-CN"/>
                    </w:rPr>
                    <w:t>有毒有害物质</w:t>
                  </w:r>
                  <w:r>
                    <w:rPr>
                      <w:rFonts w:hint="default" w:ascii="Times New Roman" w:hAnsi="Times New Roman" w:eastAsia="宋体" w:cs="Times New Roman"/>
                      <w:color w:val="auto"/>
                      <w:spacing w:val="0"/>
                      <w:kern w:val="0"/>
                      <w:sz w:val="21"/>
                      <w:szCs w:val="21"/>
                      <w:highlight w:val="none"/>
                    </w:rPr>
                    <w:t>。</w:t>
                  </w:r>
                </w:p>
              </w:tc>
              <w:tc>
                <w:tcPr>
                  <w:tcW w:w="438" w:type="pct"/>
                  <w:tcBorders>
                    <w:tl2br w:val="nil"/>
                    <w:tr2bl w:val="nil"/>
                  </w:tcBorders>
                  <w:noWrap w:val="0"/>
                  <w:tcMar>
                    <w:top w:w="15" w:type="dxa"/>
                    <w:left w:w="15" w:type="dxa"/>
                    <w:right w:w="15" w:type="dxa"/>
                  </w:tcMar>
                  <w:vAlign w:val="center"/>
                </w:tcPr>
                <w:p w14:paraId="498BF138">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r w14:paraId="0A108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pct"/>
                  <w:gridSpan w:val="2"/>
                  <w:vMerge w:val="continue"/>
                </w:tcPr>
                <w:p w14:paraId="1E0A3AC1">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18" w:type="pct"/>
                  <w:vAlign w:val="center"/>
                </w:tcPr>
                <w:p w14:paraId="1B5F1BEF">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zh-CN" w:eastAsia="zh-CN"/>
                    </w:rPr>
                  </w:pPr>
                  <w:r>
                    <w:rPr>
                      <w:rFonts w:hint="default" w:ascii="Times New Roman" w:hAnsi="Times New Roman" w:eastAsia="宋体" w:cs="Times New Roman"/>
                      <w:color w:val="auto"/>
                      <w:spacing w:val="0"/>
                      <w:kern w:val="0"/>
                      <w:sz w:val="21"/>
                      <w:szCs w:val="21"/>
                      <w:highlight w:val="none"/>
                      <w:lang w:val="en-US" w:eastAsia="zh-CN" w:bidi="ar-SA"/>
                    </w:rPr>
                    <w:t>污染物排放管控</w:t>
                  </w:r>
                </w:p>
              </w:tc>
              <w:tc>
                <w:tcPr>
                  <w:tcW w:w="1761" w:type="pct"/>
                  <w:vAlign w:val="center"/>
                </w:tcPr>
                <w:p w14:paraId="476E8F4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1.严格控制“两高”行业新增产能，新、改、扩建项目要实行产能等量或减量置换。</w:t>
                  </w:r>
                </w:p>
                <w:p w14:paraId="0032B91F">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2.严格用地准入，工业用地及商业用地供地前，自然资源部门需对拟供地块进行土壤环境状况调查，评估环境污染风险后方可供地。</w:t>
                  </w:r>
                </w:p>
                <w:p w14:paraId="57646CD1">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3.禁止使用炸鱼、毒鱼、电鱼等破坏渔业资源方法进行捕捞。</w:t>
                  </w:r>
                </w:p>
                <w:p w14:paraId="678E707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4.禁止在禁渔区、禁渔期进行捕捞。禁止使用小于最小网目尺寸的网具进行捕捞，未依法取得捕捞许可证擅自捕捞。</w:t>
                  </w:r>
                </w:p>
              </w:tc>
              <w:tc>
                <w:tcPr>
                  <w:tcW w:w="1960" w:type="pct"/>
                  <w:vAlign w:val="center"/>
                </w:tcPr>
                <w:p w14:paraId="53FE362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1.本项目为光伏发电项目，不属于“两高”行业。</w:t>
                  </w:r>
                </w:p>
                <w:p w14:paraId="0CE3FD9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2.项目征占地性质不属于工业及商业用地。</w:t>
                  </w:r>
                </w:p>
                <w:p w14:paraId="0C97735A">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3~4.</w:t>
                  </w:r>
                  <w:r>
                    <w:rPr>
                      <w:rFonts w:hint="default" w:ascii="Times New Roman" w:hAnsi="Times New Roman" w:eastAsia="宋体" w:cs="Times New Roman"/>
                      <w:color w:val="auto"/>
                      <w:spacing w:val="0"/>
                      <w:kern w:val="0"/>
                      <w:sz w:val="21"/>
                      <w:szCs w:val="21"/>
                      <w:highlight w:val="none"/>
                      <w:lang w:eastAsia="zh-CN"/>
                    </w:rPr>
                    <w:t>项目为</w:t>
                  </w:r>
                  <w:r>
                    <w:rPr>
                      <w:rFonts w:hint="eastAsia" w:ascii="Times New Roman" w:hAnsi="Times New Roman" w:eastAsia="宋体" w:cs="Times New Roman"/>
                      <w:color w:val="auto"/>
                      <w:spacing w:val="0"/>
                      <w:kern w:val="0"/>
                      <w:sz w:val="21"/>
                      <w:szCs w:val="21"/>
                      <w:highlight w:val="none"/>
                      <w:lang w:val="en-US" w:eastAsia="zh-CN"/>
                    </w:rPr>
                    <w:t>林光</w:t>
                  </w:r>
                  <w:r>
                    <w:rPr>
                      <w:rFonts w:hint="default" w:ascii="Times New Roman" w:hAnsi="Times New Roman" w:eastAsia="宋体" w:cs="Times New Roman"/>
                      <w:color w:val="auto"/>
                      <w:spacing w:val="0"/>
                      <w:kern w:val="0"/>
                      <w:sz w:val="21"/>
                      <w:szCs w:val="21"/>
                      <w:highlight w:val="none"/>
                      <w:lang w:val="en-US" w:eastAsia="zh-CN"/>
                    </w:rPr>
                    <w:t>复合型光伏发电</w:t>
                  </w:r>
                  <w:r>
                    <w:rPr>
                      <w:rFonts w:hint="eastAsia" w:cs="Times New Roman"/>
                      <w:color w:val="auto"/>
                      <w:spacing w:val="0"/>
                      <w:kern w:val="0"/>
                      <w:sz w:val="21"/>
                      <w:szCs w:val="21"/>
                      <w:highlight w:val="none"/>
                      <w:lang w:val="en-US" w:eastAsia="zh-CN"/>
                    </w:rPr>
                    <w:t>，不涉及捕捞，不会破坏渔业资源。</w:t>
                  </w:r>
                </w:p>
                <w:p w14:paraId="101EF712">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rPr>
                  </w:pPr>
                </w:p>
              </w:tc>
              <w:tc>
                <w:tcPr>
                  <w:tcW w:w="438" w:type="pct"/>
                </w:tcPr>
                <w:p w14:paraId="149028EF">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r>
            <w:tr w14:paraId="050B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pct"/>
                  <w:gridSpan w:val="2"/>
                  <w:vMerge w:val="continue"/>
                </w:tcPr>
                <w:p w14:paraId="6E49C0F4">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418" w:type="pct"/>
                  <w:vAlign w:val="center"/>
                </w:tcPr>
                <w:p w14:paraId="496D0F19">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zh-CN" w:eastAsia="zh-CN"/>
                    </w:rPr>
                  </w:pPr>
                  <w:r>
                    <w:rPr>
                      <w:rFonts w:hint="default" w:ascii="Times New Roman" w:hAnsi="Times New Roman" w:eastAsia="宋体" w:cs="Times New Roman"/>
                      <w:color w:val="auto"/>
                      <w:spacing w:val="0"/>
                      <w:sz w:val="21"/>
                      <w:szCs w:val="21"/>
                      <w:highlight w:val="none"/>
                      <w:lang w:val="zh-CN" w:eastAsia="zh-CN"/>
                    </w:rPr>
                    <w:t>环境风险</w:t>
                  </w:r>
                </w:p>
                <w:p w14:paraId="1CA921FB">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zh-CN" w:eastAsia="zh-CN"/>
                    </w:rPr>
                    <w:t>防控</w:t>
                  </w:r>
                </w:p>
              </w:tc>
              <w:tc>
                <w:tcPr>
                  <w:tcW w:w="1761" w:type="pct"/>
                  <w:vAlign w:val="center"/>
                </w:tcPr>
                <w:p w14:paraId="17E2318B">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1.严格限制《环境保护综合名录》（2021年版）中“高污染、高环境风险”产品与工艺装备。</w:t>
                  </w:r>
                </w:p>
                <w:p w14:paraId="555B5DCC">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2.禁止使用剧毒、高残留以及可能二次中毒的农药。</w:t>
                  </w:r>
                </w:p>
                <w:p w14:paraId="6F72096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3.严格污染场地开发利用和流转审批，在影响健康地块修复达标之前，禁止建设居民区、学校、医疗和养老机构。</w:t>
                  </w:r>
                </w:p>
              </w:tc>
              <w:tc>
                <w:tcPr>
                  <w:tcW w:w="1960" w:type="pct"/>
                  <w:vAlign w:val="center"/>
                </w:tcPr>
                <w:p w14:paraId="1E09182D">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1.</w:t>
                  </w:r>
                  <w:r>
                    <w:rPr>
                      <w:rFonts w:hint="default" w:ascii="Times New Roman" w:hAnsi="Times New Roman" w:eastAsia="宋体" w:cs="Times New Roman"/>
                      <w:color w:val="auto"/>
                      <w:spacing w:val="0"/>
                      <w:kern w:val="0"/>
                      <w:sz w:val="21"/>
                      <w:szCs w:val="21"/>
                      <w:highlight w:val="none"/>
                      <w:lang w:eastAsia="zh-CN"/>
                    </w:rPr>
                    <w:t>项目为</w:t>
                  </w:r>
                  <w:r>
                    <w:rPr>
                      <w:rFonts w:hint="eastAsia" w:ascii="Times New Roman" w:hAnsi="Times New Roman" w:eastAsia="宋体" w:cs="Times New Roman"/>
                      <w:color w:val="auto"/>
                      <w:spacing w:val="0"/>
                      <w:kern w:val="0"/>
                      <w:sz w:val="21"/>
                      <w:szCs w:val="21"/>
                      <w:highlight w:val="none"/>
                      <w:lang w:val="en-US" w:eastAsia="zh-CN"/>
                    </w:rPr>
                    <w:t>林光</w:t>
                  </w:r>
                  <w:r>
                    <w:rPr>
                      <w:rFonts w:hint="default" w:ascii="Times New Roman" w:hAnsi="Times New Roman" w:eastAsia="宋体" w:cs="Times New Roman"/>
                      <w:color w:val="auto"/>
                      <w:spacing w:val="0"/>
                      <w:kern w:val="0"/>
                      <w:sz w:val="21"/>
                      <w:szCs w:val="21"/>
                      <w:highlight w:val="none"/>
                      <w:lang w:val="en-US" w:eastAsia="zh-CN"/>
                    </w:rPr>
                    <w:t>复合型光伏发电，</w:t>
                  </w:r>
                  <w:r>
                    <w:rPr>
                      <w:rFonts w:hint="eastAsia" w:cs="Times New Roman"/>
                      <w:color w:val="auto"/>
                      <w:spacing w:val="0"/>
                      <w:kern w:val="0"/>
                      <w:sz w:val="21"/>
                      <w:szCs w:val="21"/>
                      <w:highlight w:val="none"/>
                      <w:lang w:val="en-US" w:eastAsia="zh-CN"/>
                    </w:rPr>
                    <w:t>不涉及使用</w:t>
                  </w:r>
                  <w:r>
                    <w:rPr>
                      <w:rFonts w:hint="eastAsia" w:ascii="Times New Roman" w:hAnsi="Times New Roman" w:eastAsia="宋体" w:cs="Times New Roman"/>
                      <w:color w:val="auto"/>
                      <w:spacing w:val="0"/>
                      <w:kern w:val="0"/>
                      <w:sz w:val="21"/>
                      <w:szCs w:val="21"/>
                      <w:highlight w:val="none"/>
                      <w:lang w:val="en-US" w:eastAsia="zh-CN"/>
                    </w:rPr>
                    <w:t>“高污染、高环境风险”产品与工艺装备。</w:t>
                  </w:r>
                </w:p>
                <w:p w14:paraId="357EB9E7">
                  <w:pPr>
                    <w:keepNext w:val="0"/>
                    <w:keepLines w:val="0"/>
                    <w:widowControl w:val="0"/>
                    <w:suppressLineNumbers w:val="0"/>
                    <w:tabs>
                      <w:tab w:val="left" w:pos="252"/>
                    </w:tabs>
                    <w:wordWrap/>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eastAsia="zh-CN"/>
                    </w:rPr>
                    <w:t>本项目不涉及</w:t>
                  </w:r>
                  <w:r>
                    <w:rPr>
                      <w:rFonts w:hint="default" w:ascii="Times New Roman" w:hAnsi="Times New Roman" w:eastAsia="宋体" w:cs="Times New Roman"/>
                      <w:color w:val="auto"/>
                      <w:spacing w:val="0"/>
                      <w:kern w:val="0"/>
                      <w:sz w:val="21"/>
                      <w:szCs w:val="21"/>
                      <w:highlight w:val="none"/>
                    </w:rPr>
                    <w:t>高毒高风险农药使用。</w:t>
                  </w:r>
                </w:p>
                <w:p w14:paraId="5024EA9D">
                  <w:pPr>
                    <w:keepNext w:val="0"/>
                    <w:keepLines w:val="0"/>
                    <w:widowControl w:val="0"/>
                    <w:suppressLineNumbers w:val="0"/>
                    <w:tabs>
                      <w:tab w:val="left" w:pos="252"/>
                    </w:tabs>
                    <w:wordWrap/>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rPr>
                    <w:t>3.</w:t>
                  </w:r>
                  <w:r>
                    <w:rPr>
                      <w:rFonts w:hint="eastAsia" w:cs="Times New Roman"/>
                      <w:color w:val="auto"/>
                      <w:spacing w:val="0"/>
                      <w:kern w:val="0"/>
                      <w:sz w:val="21"/>
                      <w:szCs w:val="21"/>
                      <w:highlight w:val="none"/>
                      <w:lang w:val="en-US" w:eastAsia="zh-CN"/>
                    </w:rPr>
                    <w:t>本项目为光伏发电项目，不涉及使用污染场地，不属于居民区、学校、医疗和养老机构。</w:t>
                  </w:r>
                </w:p>
              </w:tc>
              <w:tc>
                <w:tcPr>
                  <w:tcW w:w="438" w:type="pct"/>
                </w:tcPr>
                <w:p w14:paraId="43699051">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符合</w:t>
                  </w:r>
                </w:p>
              </w:tc>
            </w:tr>
          </w:tbl>
          <w:p w14:paraId="05FFAE2F">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eastAsia" w:ascii="Times New Roman" w:hAnsi="Times New Roman" w:eastAsia="黑体" w:cs="Times New Roman"/>
                <w:b w:val="0"/>
                <w:bCs w:val="0"/>
                <w:color w:val="auto"/>
                <w:kern w:val="0"/>
                <w:sz w:val="24"/>
                <w:szCs w:val="18"/>
                <w:highlight w:val="none"/>
                <w:lang w:val="en-US" w:eastAsia="zh-CN" w:bidi="ar-SA"/>
              </w:rPr>
            </w:pPr>
            <w:r>
              <w:rPr>
                <w:rFonts w:hint="default" w:ascii="Times New Roman" w:hAnsi="Times New Roman" w:eastAsia="宋体" w:cs="Times New Roman"/>
                <w:color w:val="auto"/>
                <w:sz w:val="24"/>
                <w:szCs w:val="24"/>
                <w:highlight w:val="none"/>
              </w:rPr>
              <w:t>综上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的建设</w:t>
            </w:r>
            <w:r>
              <w:rPr>
                <w:rFonts w:hint="eastAsia" w:ascii="Times New Roman" w:hAnsi="Times New Roman" w:eastAsia="宋体" w:cs="Times New Roman"/>
                <w:color w:val="auto"/>
                <w:sz w:val="24"/>
                <w:szCs w:val="24"/>
                <w:highlight w:val="none"/>
                <w:lang w:val="en-US" w:eastAsia="zh-CN"/>
              </w:rPr>
              <w:t>符合</w:t>
            </w:r>
            <w:r>
              <w:rPr>
                <w:rFonts w:hint="eastAsia" w:ascii="Times New Roman" w:hAnsi="Times New Roman" w:eastAsia="宋体" w:cs="Times New Roman"/>
                <w:color w:val="auto"/>
                <w:kern w:val="0"/>
                <w:sz w:val="24"/>
                <w:szCs w:val="24"/>
                <w:highlight w:val="none"/>
                <w:lang w:val="en-US" w:eastAsia="zh-CN" w:bidi="ar"/>
              </w:rPr>
              <w:t>《昆明市生态环境局关于公开征求《昆明市生态环境分区管控动态更新方案</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征求意见稿</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》意见的公告》</w:t>
            </w:r>
            <w:r>
              <w:rPr>
                <w:rFonts w:hint="default" w:ascii="Times New Roman" w:hAnsi="Times New Roman" w:eastAsia="宋体" w:cs="Times New Roman"/>
                <w:color w:val="auto"/>
                <w:sz w:val="24"/>
                <w:szCs w:val="24"/>
                <w:highlight w:val="none"/>
                <w:lang w:val="zh-CN" w:eastAsia="zh-CN"/>
              </w:rPr>
              <w:t>中生态环境准入要求。</w:t>
            </w:r>
          </w:p>
          <w:p w14:paraId="3BF85F7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3</w:t>
            </w:r>
            <w:r>
              <w:rPr>
                <w:rFonts w:hint="eastAsia"/>
                <w:b/>
                <w:bCs/>
                <w:color w:val="auto"/>
                <w:kern w:val="0"/>
                <w:sz w:val="24"/>
                <w:highlight w:val="none"/>
                <w:shd w:val="clear" w:color="auto" w:fill="auto"/>
              </w:rPr>
              <w:t>、与《云南省主体功能区规划》的</w:t>
            </w:r>
            <w:r>
              <w:rPr>
                <w:rFonts w:hint="eastAsia"/>
                <w:b/>
                <w:bCs/>
                <w:color w:val="auto"/>
                <w:kern w:val="0"/>
                <w:sz w:val="24"/>
                <w:highlight w:val="none"/>
                <w:shd w:val="clear" w:color="auto" w:fill="auto"/>
                <w:lang w:eastAsia="zh-CN"/>
              </w:rPr>
              <w:t>符合性</w:t>
            </w:r>
            <w:r>
              <w:rPr>
                <w:rFonts w:hint="eastAsia"/>
                <w:b/>
                <w:bCs/>
                <w:color w:val="auto"/>
                <w:kern w:val="0"/>
                <w:sz w:val="24"/>
                <w:highlight w:val="none"/>
                <w:shd w:val="clear" w:color="auto" w:fill="auto"/>
              </w:rPr>
              <w:t>分析</w:t>
            </w:r>
          </w:p>
          <w:p w14:paraId="1A793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云南省人民政府于2014年1月6日发布了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云南省人民政府关于印发云南省主体功能区划的通知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（云政发〔2014〕1号），将云南省国土空间划分为重点开发区、限制开发区和禁止开发区3类区域。本项目位于</w:t>
            </w:r>
            <w:r>
              <w:rPr>
                <w:rFonts w:hint="default" w:ascii="Times New Roman" w:hAnsi="Times New Roman" w:eastAsia="宋体" w:cs="Times New Roman"/>
                <w:color w:val="auto"/>
                <w:sz w:val="24"/>
                <w:szCs w:val="24"/>
                <w:highlight w:val="none"/>
                <w:lang w:val="en-US" w:eastAsia="zh-CN"/>
              </w:rPr>
              <w:t>云南省昆明市寻甸回族彝族自治县河口镇境内</w:t>
            </w:r>
            <w:r>
              <w:rPr>
                <w:rFonts w:hint="default" w:ascii="Times New Roman" w:hAnsi="Times New Roman" w:eastAsia="宋体" w:cs="Times New Roman"/>
                <w:color w:val="auto"/>
                <w:sz w:val="24"/>
                <w:szCs w:val="24"/>
                <w:highlight w:val="none"/>
              </w:rPr>
              <w:t>，根据《云南省主体功能区规划》，</w:t>
            </w:r>
            <w:r>
              <w:rPr>
                <w:rFonts w:hint="default" w:ascii="Times New Roman" w:hAnsi="Times New Roman" w:eastAsia="宋体" w:cs="Times New Roman"/>
                <w:color w:val="auto"/>
                <w:sz w:val="24"/>
                <w:szCs w:val="24"/>
                <w:highlight w:val="none"/>
                <w:lang w:eastAsia="zh-CN"/>
              </w:rPr>
              <w:t>项目所在区域</w:t>
            </w:r>
            <w:r>
              <w:rPr>
                <w:rFonts w:hint="default" w:ascii="Times New Roman" w:hAnsi="Times New Roman" w:eastAsia="宋体" w:cs="Times New Roman"/>
                <w:color w:val="auto"/>
                <w:sz w:val="24"/>
                <w:szCs w:val="24"/>
                <w:highlight w:val="none"/>
              </w:rPr>
              <w:t>属于</w:t>
            </w:r>
            <w:r>
              <w:rPr>
                <w:rFonts w:hint="eastAsia" w:ascii="Times New Roman" w:hAnsi="Times New Roman" w:eastAsia="宋体"/>
                <w:color w:val="auto"/>
                <w:kern w:val="0"/>
                <w:sz w:val="24"/>
                <w:highlight w:val="none"/>
                <w:lang w:eastAsia="zh-CN"/>
              </w:rPr>
              <w:t>滇中国家层面重点开发区</w:t>
            </w:r>
            <w:r>
              <w:rPr>
                <w:rFonts w:hint="default" w:ascii="Times New Roman" w:hAnsi="Times New Roman" w:eastAsia="宋体" w:cs="Times New Roman"/>
                <w:color w:val="auto"/>
                <w:sz w:val="24"/>
                <w:szCs w:val="24"/>
                <w:highlight w:val="none"/>
              </w:rPr>
              <w:t>。</w:t>
            </w:r>
          </w:p>
          <w:p w14:paraId="5DA4F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区域功能定位</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rPr>
              <w:t>：我国面向西南开放重要桥头堡建设的核心区，连接东南亚、南亚国家的陆路交通枢纽，面向东南亚、南亚对外开放的重要门户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全国重要的烟草、旅游、文化、能源和商贸物流基地，以化工、有色冶炼加工、生物为重点的区域性资源深加工基地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承接产业转移基地和外向型特色优势产业基地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我国城市化发展格局中特色鲜明的高原生态宜居城市群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全省跨越发展的引擎，我国西南地区重要的经济增长极。</w:t>
            </w:r>
          </w:p>
          <w:p w14:paraId="7952C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default" w:ascii="Times New Roman" w:hAnsi="Times New Roman" w:eastAsia="宋体" w:cs="Times New Roman"/>
                <w:color w:val="auto"/>
                <w:sz w:val="24"/>
                <w:szCs w:val="24"/>
                <w:highlight w:val="none"/>
              </w:rPr>
              <w:t>光伏发电是清洁的可再生能源，具有较好的环境效益，项目在节能减排、改善当地能源结构及促进区域经济发展等方面能产生积极的社会效益。</w:t>
            </w:r>
            <w:r>
              <w:rPr>
                <w:rFonts w:hint="eastAsia" w:cs="Times New Roman"/>
                <w:color w:val="auto"/>
                <w:sz w:val="24"/>
                <w:szCs w:val="24"/>
                <w:highlight w:val="none"/>
                <w:lang w:val="en-US" w:eastAsia="zh-CN"/>
              </w:rPr>
              <w:t>梳山光伏发电项目</w:t>
            </w:r>
            <w:r>
              <w:rPr>
                <w:rFonts w:hint="default" w:ascii="Times New Roman" w:hAnsi="Times New Roman" w:eastAsia="宋体" w:cs="Times New Roman"/>
                <w:color w:val="auto"/>
                <w:sz w:val="24"/>
                <w:szCs w:val="24"/>
                <w:highlight w:val="none"/>
              </w:rPr>
              <w:t>为清洁能源太阳能的开发利用项目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建成后，有利于优化地区能源结构，减少一次能源（如煤、石油、天然气）利用，从而减少因一次能源开发使用造成的污染排放等环境问题，促进地区清洁生产、促进清洁载能产业发展。因此，项目建设与《云南省主体功能区规划》中</w:t>
            </w:r>
            <w:r>
              <w:rPr>
                <w:rFonts w:hint="default" w:ascii="Times New Roman" w:hAnsi="Times New Roman" w:eastAsia="宋体"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该区域的发展方向</w:t>
            </w:r>
            <w:r>
              <w:rPr>
                <w:rFonts w:hint="default" w:ascii="Times New Roman" w:hAnsi="Times New Roman" w:eastAsia="宋体" w:cs="Times New Roman"/>
                <w:color w:val="auto"/>
                <w:sz w:val="24"/>
                <w:szCs w:val="24"/>
                <w:highlight w:val="none"/>
                <w:lang w:eastAsia="zh-CN"/>
              </w:rPr>
              <w:t>定位</w:t>
            </w:r>
            <w:r>
              <w:rPr>
                <w:rFonts w:hint="default" w:ascii="Times New Roman" w:hAnsi="Times New Roman" w:eastAsia="宋体" w:cs="Times New Roman"/>
                <w:color w:val="auto"/>
                <w:sz w:val="24"/>
                <w:szCs w:val="24"/>
                <w:highlight w:val="none"/>
              </w:rPr>
              <w:t>相符合。</w:t>
            </w:r>
          </w:p>
          <w:p w14:paraId="18D609CA">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4</w:t>
            </w:r>
            <w:r>
              <w:rPr>
                <w:rFonts w:hint="eastAsia"/>
                <w:b/>
                <w:bCs/>
                <w:color w:val="auto"/>
                <w:kern w:val="0"/>
                <w:sz w:val="24"/>
                <w:highlight w:val="none"/>
                <w:shd w:val="clear" w:color="auto" w:fill="auto"/>
              </w:rPr>
              <w:t>、与《云南省生态功能区划》的符合性</w:t>
            </w:r>
          </w:p>
          <w:p w14:paraId="62B733CE">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《云南省生态功能区划》由原云南省环境保护厅于</w:t>
            </w:r>
            <w:r>
              <w:rPr>
                <w:rFonts w:hint="default"/>
                <w:color w:val="auto"/>
                <w:kern w:val="0"/>
                <w:sz w:val="24"/>
                <w:highlight w:val="none"/>
                <w:shd w:val="clear" w:color="auto" w:fill="auto"/>
              </w:rPr>
              <w:t>2009</w:t>
            </w:r>
            <w:r>
              <w:rPr>
                <w:rFonts w:hint="eastAsia"/>
                <w:color w:val="auto"/>
                <w:kern w:val="0"/>
                <w:sz w:val="24"/>
                <w:highlight w:val="none"/>
                <w:shd w:val="clear" w:color="auto" w:fill="auto"/>
              </w:rPr>
              <w:t>年</w:t>
            </w:r>
            <w:r>
              <w:rPr>
                <w:rFonts w:hint="default"/>
                <w:color w:val="auto"/>
                <w:kern w:val="0"/>
                <w:sz w:val="24"/>
                <w:highlight w:val="none"/>
                <w:shd w:val="clear" w:color="auto" w:fill="auto"/>
              </w:rPr>
              <w:t>9</w:t>
            </w:r>
            <w:r>
              <w:rPr>
                <w:rFonts w:hint="eastAsia"/>
                <w:color w:val="auto"/>
                <w:kern w:val="0"/>
                <w:sz w:val="24"/>
                <w:highlight w:val="none"/>
                <w:shd w:val="clear" w:color="auto" w:fill="auto"/>
              </w:rPr>
              <w:t>月</w:t>
            </w:r>
            <w:r>
              <w:rPr>
                <w:rFonts w:hint="default"/>
                <w:color w:val="auto"/>
                <w:kern w:val="0"/>
                <w:sz w:val="24"/>
                <w:highlight w:val="none"/>
                <w:shd w:val="clear" w:color="auto" w:fill="auto"/>
              </w:rPr>
              <w:t>7</w:t>
            </w:r>
            <w:r>
              <w:rPr>
                <w:rFonts w:hint="eastAsia"/>
                <w:color w:val="auto"/>
                <w:kern w:val="0"/>
                <w:sz w:val="24"/>
                <w:highlight w:val="none"/>
                <w:shd w:val="clear" w:color="auto" w:fill="auto"/>
              </w:rPr>
              <w:t>日发布实施。根据《云南省生态功能区划》云南省生态功能区共分一级区（生态区）</w:t>
            </w:r>
            <w:r>
              <w:rPr>
                <w:rFonts w:hint="default"/>
                <w:color w:val="auto"/>
                <w:kern w:val="0"/>
                <w:sz w:val="24"/>
                <w:highlight w:val="none"/>
                <w:shd w:val="clear" w:color="auto" w:fill="auto"/>
              </w:rPr>
              <w:t>5</w:t>
            </w:r>
            <w:r>
              <w:rPr>
                <w:rFonts w:hint="eastAsia"/>
                <w:color w:val="auto"/>
                <w:kern w:val="0"/>
                <w:sz w:val="24"/>
                <w:highlight w:val="none"/>
                <w:shd w:val="clear" w:color="auto" w:fill="auto"/>
              </w:rPr>
              <w:t>个，二级区（生态亚区）</w:t>
            </w:r>
            <w:r>
              <w:rPr>
                <w:rFonts w:hint="default"/>
                <w:color w:val="auto"/>
                <w:kern w:val="0"/>
                <w:sz w:val="24"/>
                <w:highlight w:val="none"/>
                <w:shd w:val="clear" w:color="auto" w:fill="auto"/>
              </w:rPr>
              <w:t>19</w:t>
            </w:r>
            <w:r>
              <w:rPr>
                <w:rFonts w:hint="eastAsia"/>
                <w:color w:val="auto"/>
                <w:kern w:val="0"/>
                <w:sz w:val="24"/>
                <w:highlight w:val="none"/>
                <w:shd w:val="clear" w:color="auto" w:fill="auto"/>
              </w:rPr>
              <w:t>个，三级区（生态功能区）</w:t>
            </w:r>
            <w:r>
              <w:rPr>
                <w:rFonts w:hint="default"/>
                <w:color w:val="auto"/>
                <w:kern w:val="0"/>
                <w:sz w:val="24"/>
                <w:highlight w:val="none"/>
                <w:shd w:val="clear" w:color="auto" w:fill="auto"/>
              </w:rPr>
              <w:t>65</w:t>
            </w:r>
            <w:r>
              <w:rPr>
                <w:rFonts w:hint="eastAsia"/>
                <w:color w:val="auto"/>
                <w:kern w:val="0"/>
                <w:sz w:val="24"/>
                <w:highlight w:val="none"/>
                <w:shd w:val="clear" w:color="auto" w:fill="auto"/>
              </w:rPr>
              <w:t>个。项目在云南省生态功能区划情况，见表1-</w:t>
            </w:r>
            <w:r>
              <w:rPr>
                <w:rFonts w:hint="eastAsia"/>
                <w:color w:val="auto"/>
                <w:kern w:val="0"/>
                <w:sz w:val="24"/>
                <w:highlight w:val="none"/>
                <w:shd w:val="clear" w:color="auto" w:fill="auto"/>
                <w:lang w:val="en-US" w:eastAsia="zh-CN"/>
              </w:rPr>
              <w:t>6</w:t>
            </w:r>
            <w:r>
              <w:rPr>
                <w:rFonts w:hint="eastAsia"/>
                <w:color w:val="auto"/>
                <w:kern w:val="0"/>
                <w:sz w:val="24"/>
                <w:highlight w:val="none"/>
                <w:shd w:val="clear" w:color="auto" w:fill="auto"/>
              </w:rPr>
              <w:t>。</w:t>
            </w:r>
          </w:p>
          <w:p w14:paraId="0FDD079F">
            <w:pPr>
              <w:pStyle w:val="38"/>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b/>
                <w:color w:val="auto"/>
                <w:kern w:val="2"/>
                <w:sz w:val="21"/>
                <w:szCs w:val="21"/>
                <w:highlight w:val="none"/>
                <w:shd w:val="clear" w:color="auto" w:fill="auto"/>
              </w:rPr>
            </w:pPr>
            <w:r>
              <w:rPr>
                <w:rFonts w:hint="eastAsia" w:ascii="Times New Roman" w:hAnsi="Times New Roman"/>
                <w:b/>
                <w:color w:val="auto"/>
                <w:kern w:val="2"/>
                <w:sz w:val="21"/>
                <w:szCs w:val="21"/>
                <w:highlight w:val="none"/>
                <w:shd w:val="clear" w:color="auto" w:fill="auto"/>
              </w:rPr>
              <w:t>表</w:t>
            </w:r>
            <w:r>
              <w:rPr>
                <w:rFonts w:hint="eastAsia" w:ascii="Times New Roman" w:hAnsi="Times New Roman"/>
                <w:b/>
                <w:color w:val="auto"/>
                <w:kern w:val="2"/>
                <w:sz w:val="21"/>
                <w:szCs w:val="21"/>
                <w:highlight w:val="none"/>
                <w:shd w:val="clear" w:color="auto" w:fill="auto"/>
                <w:lang w:val="en-US" w:eastAsia="zh-CN"/>
              </w:rPr>
              <w:t>1</w:t>
            </w:r>
            <w:r>
              <w:rPr>
                <w:rFonts w:hint="eastAsia" w:ascii="Times New Roman" w:hAnsi="Times New Roman"/>
                <w:b/>
                <w:color w:val="auto"/>
                <w:kern w:val="2"/>
                <w:sz w:val="21"/>
                <w:szCs w:val="21"/>
                <w:highlight w:val="none"/>
                <w:shd w:val="clear" w:color="auto" w:fill="auto"/>
              </w:rPr>
              <w:t>-</w:t>
            </w:r>
            <w:r>
              <w:rPr>
                <w:rFonts w:hint="eastAsia" w:ascii="Times New Roman" w:hAnsi="Times New Roman"/>
                <w:b/>
                <w:color w:val="auto"/>
                <w:kern w:val="2"/>
                <w:sz w:val="21"/>
                <w:szCs w:val="21"/>
                <w:highlight w:val="none"/>
                <w:shd w:val="clear" w:color="auto" w:fill="auto"/>
                <w:lang w:val="en-US" w:eastAsia="zh-CN"/>
              </w:rPr>
              <w:t>6</w:t>
            </w:r>
            <w:r>
              <w:rPr>
                <w:rFonts w:hint="eastAsia" w:ascii="Times New Roman" w:hAnsi="Times New Roman"/>
                <w:b/>
                <w:color w:val="auto"/>
                <w:kern w:val="2"/>
                <w:sz w:val="21"/>
                <w:szCs w:val="21"/>
                <w:highlight w:val="none"/>
                <w:shd w:val="clear" w:color="auto" w:fill="auto"/>
              </w:rPr>
              <w:t xml:space="preserve">  项目所在地的生态功能区划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autofit"/>
              <w:tblCellMar>
                <w:top w:w="0" w:type="dxa"/>
                <w:left w:w="108" w:type="dxa"/>
                <w:bottom w:w="0" w:type="dxa"/>
                <w:right w:w="108" w:type="dxa"/>
              </w:tblCellMar>
            </w:tblPr>
            <w:tblGrid>
              <w:gridCol w:w="845"/>
              <w:gridCol w:w="951"/>
              <w:gridCol w:w="813"/>
              <w:gridCol w:w="899"/>
              <w:gridCol w:w="1126"/>
              <w:gridCol w:w="513"/>
              <w:gridCol w:w="452"/>
              <w:gridCol w:w="641"/>
              <w:gridCol w:w="1039"/>
            </w:tblGrid>
            <w:tr w14:paraId="1B7B79CB">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1792" w:type="pct"/>
                  <w:gridSpan w:val="3"/>
                  <w:vAlign w:val="center"/>
                </w:tcPr>
                <w:p w14:paraId="3A2A1D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生态功能分区单元</w:t>
                  </w:r>
                </w:p>
              </w:tc>
              <w:tc>
                <w:tcPr>
                  <w:tcW w:w="617" w:type="pct"/>
                  <w:vMerge w:val="restart"/>
                  <w:vAlign w:val="center"/>
                </w:tcPr>
                <w:p w14:paraId="22392F9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所在区域面积</w:t>
                  </w:r>
                </w:p>
              </w:tc>
              <w:tc>
                <w:tcPr>
                  <w:tcW w:w="773" w:type="pct"/>
                  <w:vMerge w:val="restart"/>
                  <w:vAlign w:val="center"/>
                </w:tcPr>
                <w:p w14:paraId="421AF8F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主要生态特征</w:t>
                  </w:r>
                </w:p>
              </w:tc>
              <w:tc>
                <w:tcPr>
                  <w:tcW w:w="352" w:type="pct"/>
                  <w:vMerge w:val="restart"/>
                  <w:vAlign w:val="center"/>
                </w:tcPr>
                <w:p w14:paraId="40905C1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主要生态环境问题</w:t>
                  </w:r>
                </w:p>
              </w:tc>
              <w:tc>
                <w:tcPr>
                  <w:tcW w:w="310" w:type="pct"/>
                  <w:vMerge w:val="restart"/>
                  <w:vAlign w:val="center"/>
                </w:tcPr>
                <w:p w14:paraId="6425A1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生态环境敏感性</w:t>
                  </w:r>
                </w:p>
              </w:tc>
              <w:tc>
                <w:tcPr>
                  <w:tcW w:w="440" w:type="pct"/>
                  <w:vMerge w:val="restart"/>
                  <w:vAlign w:val="center"/>
                </w:tcPr>
                <w:p w14:paraId="5D039B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主要生态系统服务功能</w:t>
                  </w:r>
                </w:p>
              </w:tc>
              <w:tc>
                <w:tcPr>
                  <w:tcW w:w="713" w:type="pct"/>
                  <w:vMerge w:val="restart"/>
                  <w:vAlign w:val="center"/>
                </w:tcPr>
                <w:p w14:paraId="3F528B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保护措施与发展方向</w:t>
                  </w:r>
                </w:p>
              </w:tc>
            </w:tr>
            <w:tr w14:paraId="489DA2E7">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4" w:hRule="atLeast"/>
                <w:jc w:val="center"/>
              </w:trPr>
              <w:tc>
                <w:tcPr>
                  <w:tcW w:w="581" w:type="pct"/>
                  <w:vAlign w:val="center"/>
                </w:tcPr>
                <w:p w14:paraId="640F68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生态区</w:t>
                  </w:r>
                </w:p>
              </w:tc>
              <w:tc>
                <w:tcPr>
                  <w:tcW w:w="653" w:type="pct"/>
                  <w:vAlign w:val="center"/>
                </w:tcPr>
                <w:p w14:paraId="14EF7F6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生态亚区</w:t>
                  </w:r>
                </w:p>
              </w:tc>
              <w:tc>
                <w:tcPr>
                  <w:tcW w:w="557" w:type="pct"/>
                  <w:vAlign w:val="center"/>
                </w:tcPr>
                <w:p w14:paraId="79156B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生态功能区</w:t>
                  </w:r>
                </w:p>
              </w:tc>
              <w:tc>
                <w:tcPr>
                  <w:tcW w:w="617" w:type="pct"/>
                  <w:vMerge w:val="continue"/>
                  <w:vAlign w:val="center"/>
                </w:tcPr>
                <w:p w14:paraId="6A7C40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73" w:type="pct"/>
                  <w:vMerge w:val="continue"/>
                  <w:vAlign w:val="center"/>
                </w:tcPr>
                <w:p w14:paraId="32DC7A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52" w:type="pct"/>
                  <w:vMerge w:val="continue"/>
                  <w:vAlign w:val="center"/>
                </w:tcPr>
                <w:p w14:paraId="0123AF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10" w:type="pct"/>
                  <w:vMerge w:val="continue"/>
                  <w:vAlign w:val="center"/>
                </w:tcPr>
                <w:p w14:paraId="1C4435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40" w:type="pct"/>
                  <w:vMerge w:val="continue"/>
                  <w:vAlign w:val="center"/>
                </w:tcPr>
                <w:p w14:paraId="2A2375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13" w:type="pct"/>
                  <w:vMerge w:val="continue"/>
                  <w:vAlign w:val="center"/>
                </w:tcPr>
                <w:p w14:paraId="7384D7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16C2B965">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581" w:type="pct"/>
                  <w:vAlign w:val="center"/>
                </w:tcPr>
                <w:p w14:paraId="30B8C2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高原亚热带北部常绿阔叶林生态区（Ⅲ）</w:t>
                  </w:r>
                </w:p>
              </w:tc>
              <w:tc>
                <w:tcPr>
                  <w:tcW w:w="653" w:type="pct"/>
                  <w:vAlign w:val="center"/>
                </w:tcPr>
                <w:p w14:paraId="52E780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滇中高原谷盆半湿润常绿阔叶林、暖性针叶林生态亚区（Ⅲ</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tc>
              <w:tc>
                <w:tcPr>
                  <w:tcW w:w="557" w:type="pct"/>
                  <w:vAlign w:val="center"/>
                </w:tcPr>
                <w:p w14:paraId="220EB2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Ⅲ1-10牛栏江上游丘原盆地水源涵养生态功能区</w:t>
                  </w:r>
                </w:p>
              </w:tc>
              <w:tc>
                <w:tcPr>
                  <w:tcW w:w="617" w:type="pct"/>
                  <w:vAlign w:val="center"/>
                </w:tcPr>
                <w:p w14:paraId="751B65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马龙县，嵩明、宜良、寻甸县的部分地区，面积4783.52平方公里</w:t>
                  </w:r>
                </w:p>
              </w:tc>
              <w:tc>
                <w:tcPr>
                  <w:tcW w:w="773" w:type="pct"/>
                  <w:vAlign w:val="center"/>
                </w:tcPr>
                <w:p w14:paraId="13FC4C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以石灰岩丘原盆地地貌为主。降雨量1000-1200 毫米，植被主要为云南松林和半湿润常绿阔叶林，土壤类型主要是红壤</w:t>
                  </w:r>
                </w:p>
              </w:tc>
              <w:tc>
                <w:tcPr>
                  <w:tcW w:w="352" w:type="pct"/>
                  <w:vAlign w:val="center"/>
                </w:tcPr>
                <w:p w14:paraId="2F4270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土地利用过度引起的土地退化</w:t>
                  </w:r>
                </w:p>
              </w:tc>
              <w:tc>
                <w:tcPr>
                  <w:tcW w:w="310" w:type="pct"/>
                  <w:vAlign w:val="center"/>
                </w:tcPr>
                <w:p w14:paraId="7D12D6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石漠化高度及中度敏感</w:t>
                  </w:r>
                </w:p>
              </w:tc>
              <w:tc>
                <w:tcPr>
                  <w:tcW w:w="440" w:type="pct"/>
                  <w:vAlign w:val="center"/>
                </w:tcPr>
                <w:p w14:paraId="06AB37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牛栏江上游的水源涵养和生态农业建设</w:t>
                  </w:r>
                </w:p>
              </w:tc>
              <w:tc>
                <w:tcPr>
                  <w:tcW w:w="713" w:type="pct"/>
                  <w:vAlign w:val="center"/>
                </w:tcPr>
                <w:p w14:paraId="5554C5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山地封山育林，提高森林覆盖，谷盆地区调整农业结构，推行清洁生产，保护农田生态环境，防止区域石漠化</w:t>
                  </w:r>
                </w:p>
              </w:tc>
            </w:tr>
          </w:tbl>
          <w:p w14:paraId="1951824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color w:val="auto"/>
                <w:kern w:val="0"/>
                <w:sz w:val="24"/>
                <w:highlight w:val="none"/>
                <w:shd w:val="clear" w:color="auto" w:fill="auto"/>
                <w:lang w:bidi="ar"/>
              </w:rPr>
            </w:pPr>
            <w:r>
              <w:rPr>
                <w:rFonts w:hint="eastAsia"/>
                <w:b/>
                <w:bCs/>
                <w:color w:val="auto"/>
                <w:kern w:val="0"/>
                <w:sz w:val="24"/>
                <w:szCs w:val="24"/>
                <w:highlight w:val="none"/>
                <w:shd w:val="clear" w:color="auto" w:fill="auto"/>
              </w:rPr>
              <w:t>符合性分析：</w:t>
            </w:r>
            <w:r>
              <w:rPr>
                <w:rFonts w:hint="eastAsia" w:ascii="宋体" w:hAnsi="宋体" w:eastAsia="宋体" w:cs="宋体"/>
                <w:color w:val="auto"/>
                <w:kern w:val="0"/>
                <w:sz w:val="24"/>
                <w:szCs w:val="24"/>
                <w:highlight w:val="none"/>
                <w:shd w:val="clear" w:color="auto" w:fill="auto"/>
                <w:lang w:val="en-US" w:eastAsia="zh-CN" w:bidi="ar"/>
              </w:rPr>
              <w:t>项目为光伏电站建设，项目选址</w:t>
            </w:r>
            <w:r>
              <w:rPr>
                <w:rFonts w:hint="eastAsia"/>
                <w:color w:val="auto"/>
                <w:sz w:val="24"/>
              </w:rPr>
              <w:t>不涉及自然保护区、风景名胜区、森林公园、世界自然遗产地等环境敏感区，不占用生态保护红线、</w:t>
            </w:r>
            <w:r>
              <w:rPr>
                <w:rFonts w:hint="eastAsia"/>
                <w:color w:val="auto"/>
                <w:sz w:val="24"/>
                <w:lang w:val="en-US" w:eastAsia="zh-CN"/>
              </w:rPr>
              <w:t>国家</w:t>
            </w:r>
            <w:r>
              <w:rPr>
                <w:rFonts w:hint="eastAsia"/>
                <w:color w:val="auto"/>
                <w:sz w:val="24"/>
              </w:rPr>
              <w:t>公益林、基本农田、耕地</w:t>
            </w:r>
            <w:r>
              <w:rPr>
                <w:rFonts w:hint="eastAsia"/>
                <w:color w:val="auto"/>
                <w:sz w:val="24"/>
                <w:lang w:eastAsia="zh-CN"/>
              </w:rPr>
              <w:t>，</w:t>
            </w:r>
            <w:r>
              <w:rPr>
                <w:rFonts w:hint="eastAsia"/>
                <w:color w:val="auto"/>
                <w:sz w:val="24"/>
              </w:rPr>
              <w:t>现有植被覆盖率差，工程</w:t>
            </w:r>
            <w:r>
              <w:rPr>
                <w:rFonts w:hint="eastAsia" w:ascii="宋体" w:hAnsi="宋体" w:eastAsia="宋体" w:cs="宋体"/>
                <w:color w:val="auto"/>
                <w:kern w:val="0"/>
                <w:sz w:val="24"/>
                <w:szCs w:val="24"/>
                <w:highlight w:val="none"/>
                <w:shd w:val="clear" w:color="auto" w:fill="auto"/>
                <w:lang w:val="en-US" w:eastAsia="zh-CN" w:bidi="ar"/>
              </w:rPr>
              <w:t>通过实施水土保持措施、植被恢复措施以及本环评所提出的相关生态保护措施，</w:t>
            </w:r>
            <w:r>
              <w:rPr>
                <w:rFonts w:hint="eastAsia"/>
                <w:color w:val="auto"/>
                <w:sz w:val="24"/>
              </w:rPr>
              <w:t>在光伏板下方进行植被恢复，有益于改善水土流失现象，对主要生态系统服务功能基本无影响</w:t>
            </w:r>
            <w:r>
              <w:rPr>
                <w:rFonts w:hint="eastAsia"/>
                <w:color w:val="auto"/>
                <w:sz w:val="24"/>
                <w:lang w:eastAsia="zh-CN"/>
              </w:rPr>
              <w:t>，</w:t>
            </w:r>
            <w:r>
              <w:rPr>
                <w:rFonts w:hint="eastAsia" w:ascii="宋体" w:hAnsi="宋体" w:eastAsia="宋体" w:cs="宋体"/>
                <w:color w:val="auto"/>
                <w:kern w:val="0"/>
                <w:sz w:val="24"/>
                <w:szCs w:val="24"/>
                <w:highlight w:val="none"/>
                <w:shd w:val="clear" w:color="auto" w:fill="auto"/>
                <w:lang w:val="en-US" w:eastAsia="zh-CN" w:bidi="ar"/>
              </w:rPr>
              <w:t>项目建设及</w:t>
            </w:r>
            <w:r>
              <w:rPr>
                <w:rFonts w:hint="eastAsia" w:ascii="宋体" w:hAnsi="宋体" w:cs="宋体"/>
                <w:color w:val="auto"/>
                <w:kern w:val="0"/>
                <w:sz w:val="24"/>
                <w:szCs w:val="24"/>
                <w:highlight w:val="none"/>
                <w:shd w:val="clear" w:color="auto" w:fill="auto"/>
                <w:lang w:val="en-US" w:eastAsia="zh-CN" w:bidi="ar"/>
              </w:rPr>
              <w:t>运营</w:t>
            </w:r>
            <w:r>
              <w:rPr>
                <w:rFonts w:hint="eastAsia" w:ascii="宋体" w:hAnsi="宋体" w:eastAsia="宋体" w:cs="宋体"/>
                <w:color w:val="auto"/>
                <w:kern w:val="0"/>
                <w:sz w:val="24"/>
                <w:szCs w:val="24"/>
                <w:highlight w:val="none"/>
                <w:shd w:val="clear" w:color="auto" w:fill="auto"/>
                <w:lang w:val="en-US" w:eastAsia="zh-CN" w:bidi="ar"/>
              </w:rPr>
              <w:t>期前后生态环境能够保持稳定。因此项目建设符合《云南省生态功能区划》要求。</w:t>
            </w:r>
          </w:p>
          <w:p w14:paraId="5ABC4CFB">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与《云南省生物多样性保护战略与行动计划（</w:t>
            </w:r>
            <w:r>
              <w:rPr>
                <w:rFonts w:hint="eastAsia"/>
                <w:b/>
                <w:bCs/>
                <w:color w:val="auto"/>
                <w:kern w:val="0"/>
                <w:sz w:val="24"/>
                <w:highlight w:val="none"/>
                <w:lang w:val="en-US" w:eastAsia="zh-CN"/>
              </w:rPr>
              <w:t>2024</w:t>
            </w:r>
            <w:r>
              <w:rPr>
                <w:rFonts w:hint="eastAsia"/>
                <w:b/>
                <w:bCs/>
                <w:color w:val="auto"/>
                <w:kern w:val="0"/>
                <w:sz w:val="24"/>
                <w:highlight w:val="none"/>
              </w:rPr>
              <w:t>-2030）》符合性</w:t>
            </w:r>
          </w:p>
          <w:p w14:paraId="2E1918F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rPr>
              <w:t>为进一步加强云南生物多样性保护工作，积极推进生态文明建设，云南省生物多样性保护联席会议组织编制了《云南省生物多样性保护战略与行动计划（</w:t>
            </w:r>
            <w:r>
              <w:rPr>
                <w:rFonts w:hint="eastAsia" w:cs="Times New Roman"/>
                <w:color w:val="auto"/>
                <w:kern w:val="0"/>
                <w:sz w:val="24"/>
                <w:highlight w:val="none"/>
                <w:lang w:val="en-US" w:eastAsia="zh-CN"/>
              </w:rPr>
              <w:t>2024</w:t>
            </w:r>
            <w:r>
              <w:rPr>
                <w:rFonts w:hint="eastAsia" w:ascii="Times New Roman" w:hAnsi="Times New Roman" w:eastAsia="宋体" w:cs="Times New Roman"/>
                <w:color w:val="auto"/>
                <w:kern w:val="0"/>
                <w:sz w:val="24"/>
                <w:highlight w:val="none"/>
              </w:rPr>
              <w:t>-2030年）》，</w:t>
            </w:r>
            <w:r>
              <w:rPr>
                <w:rFonts w:hint="eastAsia" w:ascii="Times New Roman" w:hAnsi="Times New Roman" w:eastAsia="宋体" w:cs="Times New Roman"/>
                <w:color w:val="auto"/>
                <w:kern w:val="0"/>
                <w:sz w:val="24"/>
                <w:highlight w:val="none"/>
                <w:lang w:val="en-US" w:eastAsia="zh-CN"/>
              </w:rPr>
              <w:t>划定了生物多样性保护的6个优先区域，提出了5大保护优先领域和30项行动。2024年1月18日，经国务院批准，生态环境部发布《云南省生物多样性保护战略与行动计划（2024－2030年）》，为各地区推进生物多样性保护提供了指引，因《云南省生物多样性保护战略与行动计划（2024－2030年）》无相应区划及附图，本次沿用《云南省生物多样性保护战略与行动计划（2012－2030年）》区划进行分析</w:t>
            </w:r>
            <w:r>
              <w:rPr>
                <w:rFonts w:hint="eastAsia" w:cs="Times New Roman"/>
                <w:color w:val="auto"/>
                <w:kern w:val="0"/>
                <w:sz w:val="24"/>
                <w:highlight w:val="none"/>
                <w:lang w:val="en-US" w:eastAsia="zh-CN"/>
              </w:rPr>
              <w:t>。</w:t>
            </w:r>
          </w:p>
          <w:p w14:paraId="706058B2">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color w:val="auto"/>
                <w:kern w:val="0"/>
                <w:sz w:val="24"/>
                <w:highlight w:val="none"/>
              </w:rPr>
            </w:pPr>
            <w:r>
              <w:rPr>
                <w:rFonts w:hint="eastAsia" w:ascii="Times New Roman" w:hAnsi="Times New Roman" w:eastAsia="宋体" w:cs="Times New Roman"/>
                <w:b/>
                <w:bCs/>
                <w:color w:val="auto"/>
                <w:kern w:val="0"/>
                <w:sz w:val="24"/>
                <w:highlight w:val="none"/>
              </w:rPr>
              <w:t>符合性分析：</w:t>
            </w:r>
            <w:r>
              <w:rPr>
                <w:rFonts w:hint="eastAsia" w:ascii="Times New Roman" w:hAnsi="Times New Roman" w:eastAsia="宋体" w:cs="Times New Roman"/>
                <w:color w:val="auto"/>
                <w:kern w:val="0"/>
                <w:sz w:val="24"/>
                <w:highlight w:val="none"/>
              </w:rPr>
              <w:t>根</w:t>
            </w:r>
            <w:r>
              <w:rPr>
                <w:rFonts w:hint="eastAsia"/>
                <w:color w:val="auto"/>
                <w:kern w:val="0"/>
                <w:sz w:val="24"/>
                <w:highlight w:val="none"/>
              </w:rPr>
              <w:t>据与云南省生物多样性保护优先区域图叠图可知，本项目位于上述优先保护区域外，</w:t>
            </w:r>
            <w:r>
              <w:rPr>
                <w:rFonts w:hint="eastAsia"/>
                <w:color w:val="auto"/>
                <w:kern w:val="0"/>
                <w:sz w:val="24"/>
                <w:highlight w:val="none"/>
                <w:lang w:val="en-US" w:eastAsia="zh-CN"/>
              </w:rPr>
              <w:t>也不</w:t>
            </w:r>
            <w:r>
              <w:rPr>
                <w:rFonts w:hint="default" w:ascii="Times New Roman" w:hAnsi="Times New Roman" w:cs="Times New Roman"/>
                <w:color w:val="auto"/>
                <w:kern w:val="0"/>
                <w:sz w:val="24"/>
                <w:highlight w:val="none"/>
                <w:lang w:val="en-US" w:eastAsia="zh-CN"/>
              </w:rPr>
              <w:t>存在极小种群、重点保护野生植物以及特殊（珍稀）植物群落等</w:t>
            </w:r>
            <w:r>
              <w:rPr>
                <w:rFonts w:hint="eastAsia" w:ascii="Times New Roman" w:hAnsi="Times New Roman" w:cs="Times New Roman"/>
                <w:color w:val="auto"/>
                <w:kern w:val="0"/>
                <w:sz w:val="24"/>
                <w:highlight w:val="none"/>
                <w:lang w:val="en-US" w:eastAsia="zh-CN"/>
              </w:rPr>
              <w:t>，</w:t>
            </w:r>
            <w:r>
              <w:rPr>
                <w:rFonts w:hint="eastAsia"/>
                <w:color w:val="auto"/>
                <w:kern w:val="0"/>
                <w:sz w:val="24"/>
                <w:highlight w:val="none"/>
              </w:rPr>
              <w:t>与《云南省生物多样性保护战略与行动计划</w:t>
            </w: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2024</w:t>
            </w:r>
            <w:r>
              <w:rPr>
                <w:rFonts w:hint="eastAsia" w:ascii="Times New Roman" w:hAnsi="Times New Roman" w:eastAsia="宋体" w:cs="Times New Roman"/>
                <w:color w:val="auto"/>
                <w:kern w:val="0"/>
                <w:sz w:val="24"/>
                <w:highlight w:val="none"/>
              </w:rPr>
              <w:t>-2030年）</w:t>
            </w:r>
            <w:r>
              <w:rPr>
                <w:rFonts w:hint="eastAsia"/>
                <w:color w:val="auto"/>
                <w:kern w:val="0"/>
                <w:sz w:val="24"/>
                <w:highlight w:val="none"/>
              </w:rPr>
              <w:t>》不冲突。项目生态</w:t>
            </w:r>
            <w:r>
              <w:rPr>
                <w:rFonts w:hint="eastAsia"/>
                <w:color w:val="auto"/>
                <w:kern w:val="0"/>
                <w:sz w:val="24"/>
                <w:highlight w:val="none"/>
                <w:lang w:val="en-US" w:eastAsia="zh-CN"/>
              </w:rPr>
              <w:t>分析</w:t>
            </w:r>
            <w:r>
              <w:rPr>
                <w:rFonts w:hint="eastAsia"/>
                <w:color w:val="auto"/>
                <w:kern w:val="0"/>
                <w:sz w:val="24"/>
                <w:highlight w:val="none"/>
              </w:rPr>
              <w:t>结果表明</w:t>
            </w:r>
            <w:r>
              <w:rPr>
                <w:rFonts w:hint="default"/>
                <w:color w:val="auto"/>
                <w:kern w:val="0"/>
                <w:sz w:val="24"/>
                <w:highlight w:val="none"/>
              </w:rPr>
              <w:t>项目</w:t>
            </w:r>
            <w:r>
              <w:rPr>
                <w:rFonts w:hint="eastAsia"/>
                <w:color w:val="auto"/>
                <w:kern w:val="0"/>
                <w:sz w:val="24"/>
                <w:highlight w:val="none"/>
              </w:rPr>
              <w:t>的</w:t>
            </w:r>
            <w:r>
              <w:rPr>
                <w:rFonts w:hint="default"/>
                <w:color w:val="auto"/>
                <w:kern w:val="0"/>
                <w:sz w:val="24"/>
                <w:highlight w:val="none"/>
              </w:rPr>
              <w:t>实施对云南省生物多样性保护优先区域的影响不大，与《云南省生物多样性保护战略与行动计划</w:t>
            </w: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2024</w:t>
            </w:r>
            <w:r>
              <w:rPr>
                <w:rFonts w:hint="eastAsia" w:ascii="Times New Roman" w:hAnsi="Times New Roman" w:eastAsia="宋体" w:cs="Times New Roman"/>
                <w:color w:val="auto"/>
                <w:kern w:val="0"/>
                <w:sz w:val="24"/>
                <w:highlight w:val="none"/>
              </w:rPr>
              <w:t>-2030年）</w:t>
            </w:r>
            <w:r>
              <w:rPr>
                <w:rFonts w:hint="default"/>
                <w:color w:val="auto"/>
                <w:kern w:val="0"/>
                <w:sz w:val="24"/>
                <w:highlight w:val="none"/>
              </w:rPr>
              <w:t>》统筹生物多样性保护与经济社会发展，保护优先、科学利用的指导思想和基本原则一致。项目</w:t>
            </w:r>
            <w:r>
              <w:rPr>
                <w:rFonts w:hint="eastAsia"/>
                <w:color w:val="auto"/>
                <w:kern w:val="0"/>
                <w:sz w:val="24"/>
                <w:highlight w:val="none"/>
              </w:rPr>
              <w:t>建设</w:t>
            </w:r>
            <w:r>
              <w:rPr>
                <w:rFonts w:hint="default"/>
                <w:color w:val="auto"/>
                <w:kern w:val="0"/>
                <w:sz w:val="24"/>
                <w:highlight w:val="none"/>
              </w:rPr>
              <w:t>与《云南省生物多样性保护战略与行动计划</w:t>
            </w: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2024</w:t>
            </w:r>
            <w:r>
              <w:rPr>
                <w:rFonts w:hint="eastAsia" w:ascii="Times New Roman" w:hAnsi="Times New Roman" w:eastAsia="宋体" w:cs="Times New Roman"/>
                <w:color w:val="auto"/>
                <w:kern w:val="0"/>
                <w:sz w:val="24"/>
                <w:highlight w:val="none"/>
              </w:rPr>
              <w:t>-2030年）</w:t>
            </w:r>
            <w:r>
              <w:rPr>
                <w:rFonts w:hint="default"/>
                <w:color w:val="auto"/>
                <w:kern w:val="0"/>
                <w:sz w:val="24"/>
                <w:highlight w:val="none"/>
              </w:rPr>
              <w:t>》</w:t>
            </w:r>
            <w:r>
              <w:rPr>
                <w:rFonts w:hint="eastAsia"/>
                <w:color w:val="auto"/>
                <w:kern w:val="0"/>
                <w:sz w:val="24"/>
                <w:highlight w:val="none"/>
                <w:lang w:val="en-US" w:eastAsia="zh-CN"/>
              </w:rPr>
              <w:t>不冲突</w:t>
            </w:r>
            <w:r>
              <w:rPr>
                <w:rFonts w:hint="eastAsia"/>
                <w:color w:val="auto"/>
                <w:kern w:val="0"/>
                <w:sz w:val="24"/>
                <w:highlight w:val="none"/>
              </w:rPr>
              <w:t>。</w:t>
            </w:r>
          </w:p>
          <w:p w14:paraId="62062D2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b/>
                <w:bCs/>
                <w:color w:val="auto"/>
                <w:kern w:val="0"/>
                <w:sz w:val="24"/>
                <w:highlight w:val="none"/>
              </w:rPr>
            </w:pPr>
            <w:r>
              <w:rPr>
                <w:rFonts w:hint="eastAsia"/>
                <w:b/>
                <w:bCs/>
                <w:color w:val="auto"/>
                <w:kern w:val="0"/>
                <w:sz w:val="24"/>
                <w:highlight w:val="none"/>
                <w:lang w:val="en-US" w:eastAsia="zh-CN"/>
              </w:rPr>
              <w:t>6</w:t>
            </w:r>
            <w:r>
              <w:rPr>
                <w:rFonts w:hint="eastAsia"/>
                <w:b/>
                <w:bCs/>
                <w:color w:val="auto"/>
                <w:kern w:val="0"/>
                <w:sz w:val="24"/>
                <w:highlight w:val="none"/>
              </w:rPr>
              <w:t>、与</w:t>
            </w:r>
            <w:r>
              <w:rPr>
                <w:rFonts w:hint="default"/>
                <w:b/>
                <w:bCs/>
                <w:color w:val="auto"/>
                <w:kern w:val="0"/>
                <w:sz w:val="24"/>
                <w:highlight w:val="none"/>
              </w:rPr>
              <w:t>《云南省生物多样性保护条例》符合性分析</w:t>
            </w:r>
          </w:p>
          <w:p w14:paraId="13900BCD">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《云南省生物多样性保护条例》旨在保护生物多样性，保障生态安全，由云南省第十三届人大常务委员会第五次会议于2018年9月21日审议通过并公布，共七章四十条，自2019年1月1日起施行。</w:t>
            </w:r>
          </w:p>
          <w:p w14:paraId="565A451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其中，《云南省生物多样性保护条例》第二十九条规定：</w:t>
            </w:r>
            <w:r>
              <w:rPr>
                <w:rFonts w:hint="default" w:ascii="宋体" w:hAnsi="宋体"/>
                <w:color w:val="auto"/>
                <w:sz w:val="24"/>
                <w:highlight w:val="none"/>
              </w:rPr>
              <w:t>“</w:t>
            </w:r>
            <w:r>
              <w:rPr>
                <w:rFonts w:hint="default"/>
                <w:color w:val="auto"/>
                <w:sz w:val="24"/>
                <w:highlight w:val="none"/>
              </w:rPr>
              <w:t>新建、改建、扩建建设项目以及开发自然资源，应当依法开展环境影响评价。对可能造成重要生态系统破坏、损害重要物种及其栖息地和生境的，应当制定专项保护、恢复和补偿方案，纳入环境影响评价。</w:t>
            </w:r>
          </w:p>
          <w:p w14:paraId="6E75F24A">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在生物多样性保护优先区域的建设项目以及自然资源开发，应当评价对生物多样性的影响，并作为环境影响评价的重要组成部分</w:t>
            </w:r>
            <w:r>
              <w:rPr>
                <w:rFonts w:hint="eastAsia"/>
                <w:color w:val="auto"/>
                <w:sz w:val="24"/>
                <w:highlight w:val="none"/>
              </w:rPr>
              <w:t>”</w:t>
            </w:r>
            <w:r>
              <w:rPr>
                <w:rFonts w:hint="default"/>
                <w:color w:val="auto"/>
                <w:sz w:val="24"/>
                <w:highlight w:val="none"/>
              </w:rPr>
              <w:t>。</w:t>
            </w:r>
          </w:p>
          <w:p w14:paraId="6E4AA5C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color w:val="auto"/>
                <w:sz w:val="24"/>
                <w:highlight w:val="none"/>
              </w:rPr>
            </w:pPr>
            <w:r>
              <w:rPr>
                <w:rFonts w:hint="default"/>
                <w:b/>
                <w:bCs/>
                <w:color w:val="auto"/>
                <w:sz w:val="24"/>
                <w:highlight w:val="none"/>
              </w:rPr>
              <w:t>符合性分析</w:t>
            </w:r>
            <w:r>
              <w:rPr>
                <w:rFonts w:hint="eastAsia"/>
                <w:b/>
                <w:bCs/>
                <w:color w:val="auto"/>
                <w:sz w:val="24"/>
                <w:highlight w:val="none"/>
                <w:lang w:eastAsia="zh-CN"/>
              </w:rPr>
              <w:t>：</w:t>
            </w:r>
            <w:r>
              <w:rPr>
                <w:rFonts w:hint="default"/>
                <w:color w:val="auto"/>
                <w:sz w:val="24"/>
                <w:highlight w:val="none"/>
              </w:rPr>
              <w:t>根据生态调查，</w:t>
            </w:r>
            <w:r>
              <w:rPr>
                <w:rFonts w:hint="eastAsia"/>
                <w:color w:val="auto"/>
                <w:sz w:val="24"/>
                <w:highlight w:val="none"/>
              </w:rPr>
              <w:t>本</w:t>
            </w:r>
            <w:r>
              <w:rPr>
                <w:rFonts w:hint="eastAsia"/>
                <w:color w:val="auto"/>
                <w:sz w:val="24"/>
                <w:highlight w:val="none"/>
                <w:lang w:val="en-US" w:eastAsia="zh-CN"/>
              </w:rPr>
              <w:t>项目</w:t>
            </w:r>
            <w:r>
              <w:rPr>
                <w:rFonts w:hint="eastAsia"/>
                <w:color w:val="auto"/>
                <w:sz w:val="24"/>
                <w:highlight w:val="none"/>
              </w:rPr>
              <w:t>评价范围内</w:t>
            </w:r>
            <w:r>
              <w:rPr>
                <w:rFonts w:hint="default"/>
                <w:color w:val="auto"/>
                <w:sz w:val="24"/>
                <w:highlight w:val="none"/>
              </w:rPr>
              <w:t>植被包括</w:t>
            </w:r>
            <w:r>
              <w:rPr>
                <w:rFonts w:hint="eastAsia"/>
                <w:color w:val="auto"/>
                <w:sz w:val="24"/>
                <w:highlight w:val="none"/>
                <w:lang w:eastAsia="zh-CN"/>
              </w:rPr>
              <w:t>落叶阔叶林</w:t>
            </w:r>
            <w:r>
              <w:rPr>
                <w:rFonts w:hint="eastAsia"/>
                <w:color w:val="auto"/>
                <w:sz w:val="24"/>
                <w:highlight w:val="none"/>
              </w:rPr>
              <w:t>、</w:t>
            </w:r>
            <w:r>
              <w:rPr>
                <w:rFonts w:hint="eastAsia"/>
                <w:color w:val="auto"/>
                <w:sz w:val="24"/>
                <w:highlight w:val="none"/>
                <w:lang w:eastAsia="zh-CN"/>
              </w:rPr>
              <w:t>暖温性针叶林、暖性石灰岩灌丛、</w:t>
            </w:r>
            <w:r>
              <w:rPr>
                <w:rFonts w:hint="eastAsia"/>
                <w:color w:val="auto"/>
                <w:sz w:val="24"/>
                <w:highlight w:val="none"/>
              </w:rPr>
              <w:t>稀树灌木草丛等自然植被型</w:t>
            </w:r>
            <w:r>
              <w:rPr>
                <w:rFonts w:hint="default"/>
                <w:color w:val="auto"/>
                <w:sz w:val="24"/>
                <w:highlight w:val="none"/>
              </w:rPr>
              <w:t>。</w:t>
            </w:r>
            <w:r>
              <w:rPr>
                <w:rFonts w:hint="eastAsia"/>
                <w:color w:val="auto"/>
                <w:sz w:val="24"/>
                <w:highlight w:val="none"/>
              </w:rPr>
              <w:t>其中，工程影响植被所涉及的</w:t>
            </w:r>
            <w:r>
              <w:rPr>
                <w:rFonts w:hint="eastAsia"/>
                <w:color w:val="auto"/>
                <w:sz w:val="24"/>
                <w:highlight w:val="none"/>
                <w:lang w:eastAsia="zh-CN"/>
              </w:rPr>
              <w:t>旱冬瓜</w:t>
            </w:r>
            <w:r>
              <w:rPr>
                <w:rFonts w:hint="eastAsia"/>
                <w:color w:val="auto"/>
                <w:sz w:val="24"/>
                <w:highlight w:val="none"/>
              </w:rPr>
              <w:t>、</w:t>
            </w:r>
            <w:r>
              <w:rPr>
                <w:rFonts w:hint="eastAsia"/>
                <w:color w:val="auto"/>
                <w:sz w:val="24"/>
                <w:highlight w:val="none"/>
                <w:lang w:val="pt-BR"/>
              </w:rPr>
              <w:t>毛蕨、</w:t>
            </w:r>
            <w:r>
              <w:rPr>
                <w:rFonts w:hint="eastAsia"/>
                <w:color w:val="auto"/>
                <w:sz w:val="24"/>
                <w:highlight w:val="none"/>
              </w:rPr>
              <w:t>旱茅</w:t>
            </w:r>
            <w:r>
              <w:rPr>
                <w:rFonts w:hint="eastAsia"/>
                <w:color w:val="auto"/>
                <w:sz w:val="24"/>
                <w:highlight w:val="none"/>
                <w:lang w:eastAsia="zh-CN"/>
              </w:rPr>
              <w:t>等</w:t>
            </w:r>
            <w:r>
              <w:rPr>
                <w:rFonts w:hint="eastAsia"/>
                <w:color w:val="auto"/>
                <w:sz w:val="24"/>
                <w:highlight w:val="none"/>
              </w:rPr>
              <w:t>物种，为该区域各植被类型的优势物种。</w:t>
            </w:r>
            <w:r>
              <w:rPr>
                <w:rFonts w:hint="default"/>
                <w:color w:val="auto"/>
                <w:sz w:val="24"/>
                <w:highlight w:val="none"/>
              </w:rPr>
              <w:t>工程占地范围内无重要生态系统、重要物种及其栖息地和生境</w:t>
            </w:r>
            <w:r>
              <w:rPr>
                <w:rFonts w:hint="eastAsia"/>
                <w:color w:val="auto"/>
                <w:sz w:val="24"/>
                <w:highlight w:val="none"/>
              </w:rPr>
              <w:t>，项目建设不会造成重要生态系统破坏，不会损害重要物种及其栖息地和生境。</w:t>
            </w:r>
            <w:r>
              <w:rPr>
                <w:rFonts w:hint="default"/>
                <w:color w:val="auto"/>
                <w:sz w:val="24"/>
                <w:highlight w:val="none"/>
              </w:rPr>
              <w:t>本</w:t>
            </w:r>
            <w:r>
              <w:rPr>
                <w:rFonts w:hint="eastAsia"/>
                <w:color w:val="auto"/>
                <w:sz w:val="24"/>
                <w:highlight w:val="none"/>
              </w:rPr>
              <w:t>项目</w:t>
            </w:r>
            <w:r>
              <w:rPr>
                <w:rFonts w:hint="default"/>
                <w:color w:val="auto"/>
                <w:sz w:val="24"/>
                <w:highlight w:val="none"/>
              </w:rPr>
              <w:t>的建设不违背《云南省生物多样性保护条例》的</w:t>
            </w:r>
            <w:r>
              <w:rPr>
                <w:rFonts w:hint="eastAsia"/>
                <w:color w:val="auto"/>
                <w:sz w:val="24"/>
                <w:highlight w:val="none"/>
              </w:rPr>
              <w:t>相关</w:t>
            </w:r>
            <w:r>
              <w:rPr>
                <w:rFonts w:hint="default"/>
                <w:color w:val="auto"/>
                <w:sz w:val="24"/>
                <w:highlight w:val="none"/>
              </w:rPr>
              <w:t>要求。</w:t>
            </w:r>
          </w:p>
          <w:p w14:paraId="36888AC3">
            <w:pPr>
              <w:keepNext w:val="0"/>
              <w:keepLines/>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kern w:val="0"/>
                <w:sz w:val="24"/>
                <w:szCs w:val="24"/>
                <w:highlight w:val="none"/>
                <w:shd w:val="clear" w:color="auto" w:fill="auto"/>
                <w:lang w:val="en-US" w:eastAsia="zh-CN" w:bidi="ar-SA"/>
              </w:rPr>
            </w:pPr>
            <w:r>
              <w:rPr>
                <w:rFonts w:hint="eastAsia"/>
                <w:b/>
                <w:bCs/>
                <w:color w:val="auto"/>
                <w:sz w:val="24"/>
                <w:highlight w:val="none"/>
                <w:shd w:val="clear" w:color="auto" w:fill="auto"/>
                <w:lang w:val="en-US" w:eastAsia="zh-CN"/>
              </w:rPr>
              <w:t>7、</w:t>
            </w:r>
            <w:r>
              <w:rPr>
                <w:rFonts w:hint="eastAsia" w:ascii="Times New Roman" w:hAnsi="Times New Roman" w:eastAsia="宋体" w:cs="Times New Roman"/>
                <w:b/>
                <w:bCs/>
                <w:color w:val="auto"/>
                <w:kern w:val="0"/>
                <w:sz w:val="24"/>
                <w:szCs w:val="24"/>
                <w:highlight w:val="none"/>
                <w:shd w:val="clear" w:color="auto" w:fill="auto"/>
                <w:lang w:val="en-US" w:eastAsia="zh-CN" w:bidi="ar-SA"/>
              </w:rPr>
              <w:t>与《长江经济带发展负面清单指南（试行，</w:t>
            </w:r>
            <w:r>
              <w:rPr>
                <w:rFonts w:hint="default" w:ascii="Times New Roman" w:hAnsi="Times New Roman" w:eastAsia="宋体" w:cs="Times New Roman"/>
                <w:b/>
                <w:bCs/>
                <w:color w:val="auto"/>
                <w:kern w:val="0"/>
                <w:sz w:val="24"/>
                <w:szCs w:val="24"/>
                <w:highlight w:val="none"/>
                <w:shd w:val="clear" w:color="auto" w:fill="auto"/>
                <w:lang w:val="en-US" w:eastAsia="zh-CN" w:bidi="ar-SA"/>
              </w:rPr>
              <w:t>2022</w:t>
            </w:r>
            <w:r>
              <w:rPr>
                <w:rFonts w:hint="eastAsia" w:ascii="Times New Roman" w:hAnsi="Times New Roman" w:eastAsia="宋体" w:cs="Times New Roman"/>
                <w:b/>
                <w:bCs/>
                <w:color w:val="auto"/>
                <w:kern w:val="0"/>
                <w:sz w:val="24"/>
                <w:szCs w:val="24"/>
                <w:highlight w:val="none"/>
                <w:shd w:val="clear" w:color="auto" w:fill="auto"/>
                <w:lang w:val="en-US" w:eastAsia="zh-CN" w:bidi="ar-SA"/>
              </w:rPr>
              <w:t>年版）》的符合性</w:t>
            </w:r>
          </w:p>
          <w:p w14:paraId="6749C0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rPr>
            </w:pPr>
            <w:r>
              <w:rPr>
                <w:rFonts w:hint="eastAsia"/>
                <w:color w:val="auto"/>
                <w:kern w:val="0"/>
                <w:sz w:val="24"/>
                <w:highlight w:val="none"/>
                <w:shd w:val="clear" w:color="auto" w:fill="auto"/>
                <w:lang w:val="en-US" w:eastAsia="zh-CN"/>
              </w:rPr>
              <w:t>本项目与《长江经济带发展负面清单指南（试行，2022年版）》的符合性分析见表1-7。</w:t>
            </w:r>
          </w:p>
          <w:p w14:paraId="0C530078">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kern w:val="0"/>
                <w:sz w:val="21"/>
                <w:szCs w:val="21"/>
                <w:highlight w:val="none"/>
                <w:shd w:val="clear" w:color="auto" w:fill="auto"/>
                <w:lang w:val="en-US" w:eastAsia="zh-CN"/>
              </w:rPr>
            </w:pPr>
            <w:r>
              <w:rPr>
                <w:rFonts w:hint="eastAsia"/>
                <w:b/>
                <w:bCs/>
                <w:color w:val="auto"/>
                <w:kern w:val="0"/>
                <w:sz w:val="21"/>
                <w:szCs w:val="21"/>
                <w:highlight w:val="none"/>
                <w:shd w:val="clear" w:color="auto" w:fill="auto"/>
                <w:lang w:val="en-US" w:eastAsia="zh-CN"/>
              </w:rPr>
              <w:t>表1-7  项目与长江经济带发展负面清单符合性</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8"/>
              <w:gridCol w:w="2366"/>
              <w:gridCol w:w="942"/>
            </w:tblGrid>
            <w:tr w14:paraId="21F3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665201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具体要求</w:t>
                  </w:r>
                </w:p>
              </w:tc>
              <w:tc>
                <w:tcPr>
                  <w:tcW w:w="1625" w:type="pct"/>
                  <w:vAlign w:val="center"/>
                </w:tcPr>
                <w:p w14:paraId="71AA3F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647" w:type="pct"/>
                  <w:vAlign w:val="center"/>
                </w:tcPr>
                <w:p w14:paraId="652AC0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07F8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7E0077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1.禁止建设不符合全国和省级港口布局规划以及港口总体规划的码头项目，禁止建设不符合《长江干线过江通道布局规划》的过长江通道项目。</w:t>
                  </w:r>
                </w:p>
              </w:tc>
              <w:tc>
                <w:tcPr>
                  <w:tcW w:w="1625" w:type="pct"/>
                  <w:vAlign w:val="center"/>
                </w:tcPr>
                <w:p w14:paraId="03016C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本项目不属于码头及过长江通道项目</w:t>
                  </w:r>
                </w:p>
              </w:tc>
              <w:tc>
                <w:tcPr>
                  <w:tcW w:w="647" w:type="pct"/>
                  <w:vAlign w:val="center"/>
                </w:tcPr>
                <w:p w14:paraId="29AA32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0B2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6FEC3E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2.禁止在自然保护区核心区、缓冲区的岸线和河段范围内投资建设旅游和生产经营项目。禁止在风景名胜区核心景区的岸线和河段范围内投资建设与风景名胜资源保护无关的项目。</w:t>
                  </w:r>
                </w:p>
              </w:tc>
              <w:tc>
                <w:tcPr>
                  <w:tcW w:w="1625" w:type="pct"/>
                  <w:vAlign w:val="center"/>
                </w:tcPr>
                <w:p w14:paraId="75B940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本项目不涉及自然保护区及风景名胜区</w:t>
                  </w:r>
                </w:p>
              </w:tc>
              <w:tc>
                <w:tcPr>
                  <w:tcW w:w="647" w:type="pct"/>
                  <w:vAlign w:val="center"/>
                </w:tcPr>
                <w:p w14:paraId="52454A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DDC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5F1E77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25" w:type="pct"/>
                  <w:vAlign w:val="center"/>
                </w:tcPr>
                <w:p w14:paraId="1CA99F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项目不涉及饮用水水源保护区</w:t>
                  </w:r>
                </w:p>
              </w:tc>
              <w:tc>
                <w:tcPr>
                  <w:tcW w:w="647" w:type="pct"/>
                  <w:vAlign w:val="center"/>
                </w:tcPr>
                <w:p w14:paraId="5EF042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459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4F7F56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25" w:type="pct"/>
                  <w:vAlign w:val="center"/>
                </w:tcPr>
                <w:p w14:paraId="1CB0F9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项目不涉及水产种质资源保护区及国家湿地公园</w:t>
                  </w:r>
                </w:p>
              </w:tc>
              <w:tc>
                <w:tcPr>
                  <w:tcW w:w="647" w:type="pct"/>
                  <w:vAlign w:val="center"/>
                </w:tcPr>
                <w:p w14:paraId="4FE415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1B5F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43890E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25" w:type="pct"/>
                  <w:vAlign w:val="center"/>
                </w:tcPr>
                <w:p w14:paraId="5BED75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项目不在《长江岸线保护和开发利用总体规划》划定的岸线保护区和保留区内，不在《全国重要江河湖泊水功能区划》划定的河段保护区、保留区内</w:t>
                  </w:r>
                </w:p>
              </w:tc>
              <w:tc>
                <w:tcPr>
                  <w:tcW w:w="647" w:type="pct"/>
                  <w:vAlign w:val="center"/>
                </w:tcPr>
                <w:p w14:paraId="0AE7F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2335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16FCCA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6.禁止未经许可在长江干支流及湖泊新设、改设或扩大排污口。</w:t>
                  </w:r>
                </w:p>
              </w:tc>
              <w:tc>
                <w:tcPr>
                  <w:tcW w:w="1625" w:type="pct"/>
                  <w:vAlign w:val="center"/>
                </w:tcPr>
                <w:p w14:paraId="544C4C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本项目所在区域不涉及长江干支流及湖泊新设、改设或扩大排污口</w:t>
                  </w:r>
                </w:p>
              </w:tc>
              <w:tc>
                <w:tcPr>
                  <w:tcW w:w="647" w:type="pct"/>
                  <w:vAlign w:val="center"/>
                </w:tcPr>
                <w:p w14:paraId="39F23C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435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3534AE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7.禁止在“一江一口两湖七河”和332个水生生物保护区开展生产性捕捞。</w:t>
                  </w:r>
                </w:p>
              </w:tc>
              <w:tc>
                <w:tcPr>
                  <w:tcW w:w="1625" w:type="pct"/>
                  <w:vAlign w:val="center"/>
                </w:tcPr>
                <w:p w14:paraId="5014CC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本项目不涉及水生生物捕捞</w:t>
                  </w:r>
                </w:p>
              </w:tc>
              <w:tc>
                <w:tcPr>
                  <w:tcW w:w="647" w:type="pct"/>
                  <w:vAlign w:val="center"/>
                </w:tcPr>
                <w:p w14:paraId="368023F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3D73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6F1520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25" w:type="pct"/>
                  <w:vAlign w:val="center"/>
                </w:tcPr>
                <w:p w14:paraId="783A30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本项目不属于新建、扩建化工园区和化工项目，不属于尾矿库、冶炼渣库和磷石膏库项目</w:t>
                  </w:r>
                </w:p>
              </w:tc>
              <w:tc>
                <w:tcPr>
                  <w:tcW w:w="647" w:type="pct"/>
                  <w:vAlign w:val="center"/>
                </w:tcPr>
                <w:p w14:paraId="01C85E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46C4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383174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9.禁止在合规园区外新建、扩建钢铁、石化、化工、焦化、建材、有色、制浆造纸等高污染项目。</w:t>
                  </w:r>
                </w:p>
              </w:tc>
              <w:tc>
                <w:tcPr>
                  <w:tcW w:w="1625" w:type="pct"/>
                  <w:vAlign w:val="center"/>
                </w:tcPr>
                <w:p w14:paraId="1A5829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本项目不涉及钢铁、石化、化工、焦化、建材、有色、制浆造纸等高污染项目</w:t>
                  </w:r>
                </w:p>
              </w:tc>
              <w:tc>
                <w:tcPr>
                  <w:tcW w:w="647" w:type="pct"/>
                  <w:vAlign w:val="center"/>
                </w:tcPr>
                <w:p w14:paraId="7C8434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3212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2DDC48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10.禁止新建、扩建不符合国家石化、现代煤化工等产业布局规划的项目。</w:t>
                  </w:r>
                </w:p>
              </w:tc>
              <w:tc>
                <w:tcPr>
                  <w:tcW w:w="1625" w:type="pct"/>
                  <w:vAlign w:val="center"/>
                </w:tcPr>
                <w:p w14:paraId="53B854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项目不属于石化、现代煤化工行业</w:t>
                  </w:r>
                </w:p>
              </w:tc>
              <w:tc>
                <w:tcPr>
                  <w:tcW w:w="647" w:type="pct"/>
                  <w:vAlign w:val="center"/>
                </w:tcPr>
                <w:p w14:paraId="798D6E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r w14:paraId="67BC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pct"/>
                  <w:vAlign w:val="center"/>
                </w:tcPr>
                <w:p w14:paraId="5A73C6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11.禁止新建、扩建法律法规和相关政策明令禁止的落后产能项目。禁止新建、扩建不符合国家产能置换要求的严重过剩产能行业的项目。禁止新建、扩建不符合要求的高耗能高排放项目。</w:t>
                  </w:r>
                </w:p>
              </w:tc>
              <w:tc>
                <w:tcPr>
                  <w:tcW w:w="1625" w:type="pct"/>
                  <w:vAlign w:val="center"/>
                </w:tcPr>
                <w:p w14:paraId="3632A5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本项目属于《产业结构调整指导目录（2024年本）》中的鼓励类项目，不涉及两高项目</w:t>
                  </w:r>
                </w:p>
              </w:tc>
              <w:tc>
                <w:tcPr>
                  <w:tcW w:w="647" w:type="pct"/>
                  <w:vAlign w:val="center"/>
                </w:tcPr>
                <w:p w14:paraId="2BE7E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符合</w:t>
                  </w:r>
                </w:p>
              </w:tc>
            </w:tr>
          </w:tbl>
          <w:p w14:paraId="53D73003">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lang w:bidi="ar"/>
              </w:rPr>
            </w:pPr>
            <w:r>
              <w:rPr>
                <w:rFonts w:hint="eastAsia"/>
                <w:color w:val="auto"/>
                <w:kern w:val="0"/>
                <w:sz w:val="24"/>
                <w:highlight w:val="none"/>
                <w:shd w:val="clear" w:color="auto" w:fill="auto"/>
                <w:lang w:val="en-US" w:eastAsia="zh-CN" w:bidi="ar"/>
              </w:rPr>
              <w:t>综上分析，项目不属于《长江经济带发展负面清单指南（试行，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年版）》名列的负面清单建设项目，项目建设符合《长江经济带发展负面清单指南（试行，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年版）》的相关要求。</w:t>
            </w:r>
          </w:p>
          <w:p w14:paraId="1F148F96">
            <w:pPr>
              <w:pStyle w:val="27"/>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eastAsia"/>
                <w:b/>
                <w:bCs/>
                <w:color w:val="auto"/>
                <w:sz w:val="24"/>
                <w:highlight w:val="none"/>
                <w:shd w:val="clear" w:color="auto" w:fill="auto"/>
                <w:lang w:val="en-US" w:eastAsia="zh-CN"/>
              </w:rPr>
            </w:pPr>
            <w:r>
              <w:rPr>
                <w:rFonts w:hint="eastAsia"/>
                <w:b/>
                <w:bCs/>
                <w:color w:val="auto"/>
                <w:sz w:val="24"/>
                <w:highlight w:val="none"/>
                <w:shd w:val="clear" w:color="auto" w:fill="auto"/>
                <w:lang w:val="en-US" w:eastAsia="zh-CN"/>
              </w:rPr>
              <w:t>8、与《云南省推动长江经济带发展领导小组办公室关于印发〈云南省长江经济带发展负面清单指南实施细则（试行，2022版）〉的通知》（云发改基础〔2022〕894号）符合性分析</w:t>
            </w:r>
          </w:p>
          <w:p w14:paraId="2AF1DA35">
            <w:pPr>
              <w:pStyle w:val="27"/>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b w:val="0"/>
                <w:bCs w:val="0"/>
                <w:color w:val="auto"/>
                <w:sz w:val="24"/>
                <w:highlight w:val="none"/>
                <w:shd w:val="clear" w:color="auto" w:fill="auto"/>
              </w:rPr>
              <w:t>本项目与云南省长江经济带发展负面清单指南实施细则（试行，2022版）符合性分析见表1-</w:t>
            </w:r>
            <w:r>
              <w:rPr>
                <w:rFonts w:hint="eastAsia"/>
                <w:b w:val="0"/>
                <w:bCs w:val="0"/>
                <w:color w:val="auto"/>
                <w:sz w:val="24"/>
                <w:highlight w:val="none"/>
                <w:shd w:val="clear" w:color="auto" w:fill="auto"/>
                <w:lang w:val="en-US" w:eastAsia="zh-CN"/>
              </w:rPr>
              <w:t>8</w:t>
            </w:r>
            <w:r>
              <w:rPr>
                <w:rFonts w:hint="eastAsia"/>
                <w:b w:val="0"/>
                <w:bCs w:val="0"/>
                <w:color w:val="auto"/>
                <w:sz w:val="24"/>
                <w:highlight w:val="none"/>
                <w:shd w:val="clear" w:color="auto" w:fill="auto"/>
              </w:rPr>
              <w:t>所示。</w:t>
            </w:r>
          </w:p>
          <w:p w14:paraId="612374FA">
            <w:pPr>
              <w:pStyle w:val="27"/>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b/>
                <w:bCs/>
                <w:color w:val="auto"/>
                <w:sz w:val="21"/>
                <w:szCs w:val="21"/>
                <w:highlight w:val="none"/>
                <w:shd w:val="clear" w:color="auto" w:fill="auto"/>
              </w:rPr>
            </w:pPr>
            <w:r>
              <w:rPr>
                <w:rFonts w:hint="eastAsia"/>
                <w:b/>
                <w:bCs/>
                <w:color w:val="auto"/>
                <w:sz w:val="21"/>
                <w:szCs w:val="21"/>
                <w:highlight w:val="none"/>
                <w:shd w:val="clear" w:color="auto" w:fill="auto"/>
              </w:rPr>
              <w:t>表1-</w:t>
            </w:r>
            <w:r>
              <w:rPr>
                <w:rFonts w:hint="eastAsia"/>
                <w:b/>
                <w:bCs/>
                <w:color w:val="auto"/>
                <w:sz w:val="21"/>
                <w:szCs w:val="21"/>
                <w:highlight w:val="none"/>
                <w:shd w:val="clear" w:color="auto" w:fill="auto"/>
                <w:lang w:val="en-US" w:eastAsia="zh-CN"/>
              </w:rPr>
              <w:t xml:space="preserve">8 </w:t>
            </w:r>
            <w:r>
              <w:rPr>
                <w:rFonts w:hint="eastAsia"/>
                <w:b/>
                <w:bCs/>
                <w:color w:val="auto"/>
                <w:sz w:val="21"/>
                <w:szCs w:val="21"/>
                <w:highlight w:val="none"/>
                <w:shd w:val="clear" w:color="auto" w:fill="auto"/>
              </w:rPr>
              <w:t>项目与</w:t>
            </w:r>
            <w:r>
              <w:rPr>
                <w:rFonts w:hint="eastAsia"/>
                <w:b/>
                <w:bCs/>
                <w:color w:val="auto"/>
                <w:sz w:val="21"/>
                <w:szCs w:val="21"/>
                <w:highlight w:val="none"/>
                <w:shd w:val="clear" w:color="auto" w:fill="auto"/>
                <w:lang w:val="en-US" w:eastAsia="zh-CN"/>
              </w:rPr>
              <w:t>云发改基础〔2022〕894号</w:t>
            </w:r>
            <w:r>
              <w:rPr>
                <w:rFonts w:hint="eastAsia"/>
                <w:b/>
                <w:bCs/>
                <w:color w:val="auto"/>
                <w:sz w:val="21"/>
                <w:szCs w:val="21"/>
                <w:highlight w:val="none"/>
                <w:shd w:val="clear" w:color="auto" w:fill="auto"/>
              </w:rPr>
              <w:t>符合性分析</w:t>
            </w:r>
          </w:p>
          <w:tbl>
            <w:tblPr>
              <w:tblStyle w:val="41"/>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3931"/>
              <w:gridCol w:w="2533"/>
              <w:gridCol w:w="819"/>
            </w:tblGrid>
            <w:tr w14:paraId="3B70966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98" w:type="pct"/>
                  <w:noWrap w:val="0"/>
                  <w:vAlign w:val="center"/>
                </w:tcPr>
                <w:p w14:paraId="767C0D9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相关要求</w:t>
                  </w:r>
                </w:p>
              </w:tc>
              <w:tc>
                <w:tcPr>
                  <w:tcW w:w="1738" w:type="pct"/>
                  <w:noWrap w:val="0"/>
                  <w:vAlign w:val="center"/>
                </w:tcPr>
                <w:p w14:paraId="4088FA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562" w:type="pct"/>
                  <w:noWrap w:val="0"/>
                  <w:vAlign w:val="center"/>
                </w:tcPr>
                <w:p w14:paraId="0F4C7BA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6B9B081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8" w:type="pct"/>
                  <w:noWrap w:val="0"/>
                  <w:vAlign w:val="center"/>
                </w:tcPr>
                <w:p w14:paraId="2AA729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二条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38" w:type="pct"/>
                  <w:noWrap w:val="0"/>
                  <w:vAlign w:val="center"/>
                </w:tcPr>
                <w:p w14:paraId="6913B1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本项目选址不涉自然保护区。</w:t>
                  </w:r>
                </w:p>
              </w:tc>
              <w:tc>
                <w:tcPr>
                  <w:tcW w:w="562" w:type="pct"/>
                  <w:noWrap w:val="0"/>
                  <w:vAlign w:val="center"/>
                </w:tcPr>
                <w:p w14:paraId="53AA43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D54D35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8" w:type="pct"/>
                  <w:noWrap w:val="0"/>
                  <w:vAlign w:val="center"/>
                </w:tcPr>
                <w:p w14:paraId="172DF0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六条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38" w:type="pct"/>
                  <w:noWrap w:val="0"/>
                  <w:vAlign w:val="center"/>
                </w:tcPr>
                <w:p w14:paraId="03B3EC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eastAsia" w:ascii="宋体" w:hAnsi="宋体" w:cs="宋体"/>
                      <w:color w:val="auto"/>
                      <w:kern w:val="0"/>
                      <w:sz w:val="21"/>
                      <w:szCs w:val="21"/>
                      <w:highlight w:val="none"/>
                      <w:lang w:val="en-US" w:eastAsia="zh-CN" w:bidi="ar"/>
                    </w:rPr>
                    <w:t>云南省昆明市寻甸回族彝族自治县河口镇境内</w:t>
                  </w:r>
                  <w:r>
                    <w:rPr>
                      <w:rFonts w:hint="default" w:ascii="Times New Roman" w:hAnsi="Times New Roman" w:eastAsia="宋体" w:cs="Times New Roman"/>
                      <w:color w:val="auto"/>
                      <w:sz w:val="21"/>
                      <w:szCs w:val="21"/>
                      <w:highlight w:val="none"/>
                      <w:lang w:val="en-US" w:eastAsia="zh-CN"/>
                    </w:rPr>
                    <w:t>，不占用河湖岸线，不涉及金沙江岸线保护区和保留区；区域地表水体</w:t>
                  </w:r>
                  <w:r>
                    <w:rPr>
                      <w:rFonts w:hint="default" w:ascii="Times New Roman" w:hAnsi="Times New Roman" w:eastAsia="宋体" w:cs="Times New Roman"/>
                      <w:color w:val="auto"/>
                      <w:sz w:val="21"/>
                      <w:szCs w:val="21"/>
                      <w:highlight w:val="none"/>
                    </w:rPr>
                    <w:t>牛栏江为金沙江水系右岸一级支流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项目建设不直接涉及金沙江干流、九大高原湖泊保护区、保留区。</w:t>
                  </w:r>
                </w:p>
              </w:tc>
              <w:tc>
                <w:tcPr>
                  <w:tcW w:w="562" w:type="pct"/>
                  <w:noWrap w:val="0"/>
                  <w:vAlign w:val="center"/>
                </w:tcPr>
                <w:p w14:paraId="55EDD8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38CF80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8" w:type="pct"/>
                  <w:noWrap w:val="0"/>
                  <w:vAlign w:val="center"/>
                </w:tcPr>
                <w:p w14:paraId="37ABAD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七条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38" w:type="pct"/>
                  <w:noWrap w:val="0"/>
                  <w:vAlign w:val="center"/>
                </w:tcPr>
                <w:p w14:paraId="47FE8D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eastAsia" w:ascii="Times New Roman" w:hAnsi="Times New Roman" w:eastAsia="宋体" w:cs="Times New Roman"/>
                      <w:color w:val="auto"/>
                      <w:sz w:val="21"/>
                      <w:szCs w:val="21"/>
                      <w:highlight w:val="none"/>
                      <w:lang w:val="en-US" w:eastAsia="zh-CN"/>
                    </w:rPr>
                    <w:t>云南省昆明市寻甸回族彝族自治县河口镇境内</w:t>
                  </w:r>
                  <w:r>
                    <w:rPr>
                      <w:rFonts w:hint="default" w:ascii="Times New Roman" w:hAnsi="Times New Roman" w:eastAsia="宋体" w:cs="Times New Roman"/>
                      <w:color w:val="auto"/>
                      <w:sz w:val="21"/>
                      <w:szCs w:val="21"/>
                      <w:highlight w:val="none"/>
                      <w:lang w:val="en-US" w:eastAsia="zh-CN"/>
                    </w:rPr>
                    <w:t>，区域地表水体</w:t>
                  </w:r>
                  <w:r>
                    <w:rPr>
                      <w:rFonts w:hint="default" w:ascii="Times New Roman" w:hAnsi="Times New Roman" w:eastAsia="宋体" w:cs="Times New Roman"/>
                      <w:color w:val="auto"/>
                      <w:sz w:val="21"/>
                      <w:szCs w:val="21"/>
                      <w:highlight w:val="none"/>
                    </w:rPr>
                    <w:t>牛栏江为金沙江水系右岸一级支流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项目建设不直接涉及金沙江干流、长江一级支流；项目废水处理后全部回用，不涉及新设、改设或扩大排污口。</w:t>
                  </w:r>
                </w:p>
              </w:tc>
              <w:tc>
                <w:tcPr>
                  <w:tcW w:w="562" w:type="pct"/>
                  <w:noWrap w:val="0"/>
                  <w:vAlign w:val="center"/>
                </w:tcPr>
                <w:p w14:paraId="7F0E35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ECA865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8" w:type="pct"/>
                  <w:noWrap w:val="0"/>
                  <w:vAlign w:val="center"/>
                </w:tcPr>
                <w:p w14:paraId="34DA33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九条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改建除外。</w:t>
                  </w:r>
                </w:p>
              </w:tc>
              <w:tc>
                <w:tcPr>
                  <w:tcW w:w="1738" w:type="pct"/>
                  <w:noWrap w:val="0"/>
                  <w:vAlign w:val="center"/>
                </w:tcPr>
                <w:p w14:paraId="59DE05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本项目光伏</w:t>
                  </w:r>
                  <w:r>
                    <w:rPr>
                      <w:rFonts w:hint="eastAsia" w:ascii="Times New Roman" w:hAnsi="Times New Roman" w:eastAsia="宋体" w:cs="Times New Roman"/>
                      <w:color w:val="auto"/>
                      <w:sz w:val="21"/>
                      <w:szCs w:val="21"/>
                      <w:highlight w:val="none"/>
                      <w:lang w:val="en-US" w:eastAsia="zh-CN"/>
                    </w:rPr>
                    <w:t>发电</w:t>
                  </w:r>
                  <w:r>
                    <w:rPr>
                      <w:rFonts w:hint="default" w:ascii="Times New Roman" w:hAnsi="Times New Roman" w:eastAsia="宋体" w:cs="Times New Roman"/>
                      <w:color w:val="auto"/>
                      <w:sz w:val="21"/>
                      <w:szCs w:val="21"/>
                      <w:highlight w:val="none"/>
                      <w:lang w:val="en-US" w:eastAsia="zh-CN"/>
                    </w:rPr>
                    <w:t>项目，不属于化工园区和化工项目，也不属于尾矿库、冶炼渣库和磷石膏库的建设。</w:t>
                  </w:r>
                </w:p>
              </w:tc>
              <w:tc>
                <w:tcPr>
                  <w:tcW w:w="562" w:type="pct"/>
                  <w:noWrap w:val="0"/>
                  <w:vAlign w:val="center"/>
                </w:tcPr>
                <w:p w14:paraId="743047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E47615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2698" w:type="pct"/>
                  <w:noWrap w:val="0"/>
                  <w:vAlign w:val="center"/>
                </w:tcPr>
                <w:p w14:paraId="73F9291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十二条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w:t>
                  </w:r>
                  <w:r>
                    <w:rPr>
                      <w:rFonts w:hint="eastAsia" w:ascii="宋体" w:hAnsi="宋体" w:eastAsia="宋体" w:cs="宋体"/>
                      <w:color w:val="auto"/>
                      <w:sz w:val="21"/>
                      <w:szCs w:val="21"/>
                      <w:highlight w:val="none"/>
                      <w:lang w:val="en-US" w:eastAsia="zh-CN"/>
                    </w:rPr>
                    <w:t>业“限制类”产能</w:t>
                  </w:r>
                  <w:r>
                    <w:rPr>
                      <w:rFonts w:hint="default" w:ascii="Times New Roman" w:hAnsi="Times New Roman" w:eastAsia="宋体" w:cs="Times New Roman"/>
                      <w:color w:val="auto"/>
                      <w:sz w:val="21"/>
                      <w:szCs w:val="21"/>
                      <w:highlight w:val="none"/>
                      <w:lang w:val="en-US" w:eastAsia="zh-CN"/>
                    </w:rPr>
                    <w:t>。禁止建设高毒高残留以及对环境影响大的农药原药生产装置，严控尿素、磷铵、电石、焦炭、黄磷、烧碱、纯碱、聚氯乙烯等行业新增产能。</w:t>
                  </w:r>
                </w:p>
              </w:tc>
              <w:tc>
                <w:tcPr>
                  <w:tcW w:w="1738" w:type="pct"/>
                  <w:noWrap w:val="0"/>
                  <w:vAlign w:val="center"/>
                </w:tcPr>
                <w:p w14:paraId="493ABE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本项目为光伏发电项目，根据《产业结构调整指导目录（</w:t>
                  </w:r>
                  <w:r>
                    <w:rPr>
                      <w:rFonts w:hint="default"/>
                      <w:color w:val="auto"/>
                      <w:sz w:val="21"/>
                      <w:szCs w:val="21"/>
                      <w:highlight w:val="none"/>
                      <w:lang w:val="en-US" w:eastAsia="zh-CN"/>
                    </w:rPr>
                    <w:t>20</w:t>
                  </w:r>
                  <w:r>
                    <w:rPr>
                      <w:rFonts w:hint="eastAsia"/>
                      <w:color w:val="auto"/>
                      <w:sz w:val="21"/>
                      <w:szCs w:val="21"/>
                      <w:highlight w:val="none"/>
                      <w:lang w:val="en-US" w:eastAsia="zh-CN"/>
                    </w:rPr>
                    <w:t>24年本）》中“第五项，新能源”中第2条，“可再生能源利用技术与应用：太阳能热发电集热系统、高效率低成本太阳能光伏发电技术研发与产业化、系统集成技术开发应用”，属于鼓励类项目；不属于尿素、磷铵、电石、焦炭、黄磷、烧碱、纯碱、聚氯乙烯等高耗能、高排放项目</w:t>
                  </w:r>
                </w:p>
              </w:tc>
              <w:tc>
                <w:tcPr>
                  <w:tcW w:w="562" w:type="pct"/>
                  <w:noWrap w:val="0"/>
                  <w:vAlign w:val="center"/>
                </w:tcPr>
                <w:p w14:paraId="10E109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7C74BE25">
            <w:pPr>
              <w:pStyle w:val="27"/>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lang w:val="en-US" w:eastAsia="zh-CN" w:bidi="ar"/>
              </w:rPr>
            </w:pPr>
            <w:r>
              <w:rPr>
                <w:rFonts w:hint="eastAsia"/>
                <w:color w:val="auto"/>
                <w:kern w:val="0"/>
                <w:sz w:val="24"/>
                <w:highlight w:val="none"/>
                <w:shd w:val="clear" w:color="auto" w:fill="auto"/>
                <w:lang w:val="en-US" w:eastAsia="zh-CN" w:bidi="ar"/>
              </w:rPr>
              <w:t>综上，本项目的建设符合《云南省推动长江经济带发展领导小组办公室关于印发〈云南省长江经济带发展负面清单指南实施细则（试行，</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版）〉的通知》（云发改基础〔</w:t>
            </w:r>
            <w:r>
              <w:rPr>
                <w:rFonts w:hint="default"/>
                <w:color w:val="auto"/>
                <w:kern w:val="0"/>
                <w:sz w:val="24"/>
                <w:highlight w:val="none"/>
                <w:shd w:val="clear" w:color="auto" w:fill="auto"/>
                <w:lang w:val="en-US" w:eastAsia="zh-CN" w:bidi="ar"/>
              </w:rPr>
              <w:t>2022</w:t>
            </w:r>
            <w:r>
              <w:rPr>
                <w:rFonts w:hint="eastAsia"/>
                <w:color w:val="auto"/>
                <w:kern w:val="0"/>
                <w:sz w:val="24"/>
                <w:highlight w:val="none"/>
                <w:shd w:val="clear" w:color="auto" w:fill="auto"/>
                <w:lang w:val="en-US" w:eastAsia="zh-CN" w:bidi="ar"/>
              </w:rPr>
              <w:t>〕</w:t>
            </w:r>
            <w:r>
              <w:rPr>
                <w:rFonts w:hint="default"/>
                <w:color w:val="auto"/>
                <w:kern w:val="0"/>
                <w:sz w:val="24"/>
                <w:highlight w:val="none"/>
                <w:shd w:val="clear" w:color="auto" w:fill="auto"/>
                <w:lang w:val="en-US" w:eastAsia="zh-CN" w:bidi="ar"/>
              </w:rPr>
              <w:t>894</w:t>
            </w:r>
            <w:r>
              <w:rPr>
                <w:rFonts w:hint="eastAsia"/>
                <w:color w:val="auto"/>
                <w:kern w:val="0"/>
                <w:sz w:val="24"/>
                <w:highlight w:val="none"/>
                <w:shd w:val="clear" w:color="auto" w:fill="auto"/>
                <w:lang w:val="en-US" w:eastAsia="zh-CN" w:bidi="ar"/>
              </w:rPr>
              <w:t>号）中的有关规定。</w:t>
            </w:r>
          </w:p>
          <w:p w14:paraId="56CBBA1D">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highlight w:val="none"/>
              </w:rPr>
            </w:pPr>
            <w:bookmarkStart w:id="3" w:name="_Toc24013"/>
            <w:bookmarkStart w:id="4" w:name="_Toc12523"/>
            <w:bookmarkStart w:id="5" w:name="_Toc25267"/>
            <w:bookmarkStart w:id="6" w:name="_Toc9454"/>
            <w:bookmarkStart w:id="7" w:name="_Toc21876"/>
            <w:bookmarkStart w:id="8" w:name="_Toc23927"/>
            <w:r>
              <w:rPr>
                <w:rFonts w:hint="eastAsia"/>
                <w:b/>
                <w:bCs/>
                <w:color w:val="auto"/>
                <w:sz w:val="24"/>
                <w:highlight w:val="none"/>
                <w:lang w:val="en-US" w:eastAsia="zh-CN"/>
              </w:rPr>
              <w:t>9</w:t>
            </w:r>
            <w:r>
              <w:rPr>
                <w:rFonts w:hint="eastAsia" w:ascii="Times New Roman" w:hAnsi="Times New Roman"/>
                <w:b/>
                <w:bCs/>
                <w:color w:val="auto"/>
                <w:sz w:val="24"/>
                <w:highlight w:val="none"/>
              </w:rPr>
              <w:t>、与</w:t>
            </w:r>
            <w:r>
              <w:rPr>
                <w:rFonts w:hint="eastAsia" w:ascii="Times New Roman" w:hAnsi="Times New Roman"/>
                <w:b/>
                <w:bCs/>
                <w:color w:val="auto"/>
                <w:kern w:val="0"/>
                <w:sz w:val="24"/>
                <w:highlight w:val="none"/>
              </w:rPr>
              <w:t>《云南省牛栏江保护条例》的符合性分析</w:t>
            </w:r>
            <w:bookmarkEnd w:id="3"/>
            <w:bookmarkEnd w:id="4"/>
            <w:bookmarkEnd w:id="5"/>
            <w:bookmarkEnd w:id="6"/>
            <w:bookmarkEnd w:id="7"/>
            <w:bookmarkEnd w:id="8"/>
          </w:p>
          <w:p w14:paraId="2B265A5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olor w:val="auto"/>
                <w:sz w:val="24"/>
                <w:szCs w:val="20"/>
                <w:highlight w:val="none"/>
              </w:rPr>
            </w:pPr>
            <w:r>
              <w:rPr>
                <w:rFonts w:hint="eastAsia" w:ascii="Times New Roman" w:hAnsi="Times New Roman"/>
                <w:color w:val="auto"/>
                <w:sz w:val="24"/>
                <w:szCs w:val="20"/>
                <w:highlight w:val="none"/>
              </w:rPr>
              <w:t>根据《云南省牛栏江保护条例》（2012年9月28日云南省第十一届人民代表大会常务委员会第三十四次会议通过）第一章第五条牛栏江流域上游保护区划分为水源保护区核心区、重点污染控制区和重点水源涵养区。</w:t>
            </w:r>
          </w:p>
          <w:p w14:paraId="728D5E8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（一）水源保护核心区</w:t>
            </w:r>
          </w:p>
          <w:p w14:paraId="12D84DE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0BD2E80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（二）重点污染控制区</w:t>
            </w:r>
          </w:p>
          <w:p w14:paraId="0BC288D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为水源保护核心区以外，流域范围内的坝区以及花庄河、果马河、普沙河、弥良河、对龙河、杨林河、匡郎河、前进河、马龙河水域及两岸外延3000米的区域，区域范围超过一级山脊线的，按照一级山脊线划定。</w:t>
            </w:r>
          </w:p>
          <w:p w14:paraId="15D65DD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（三）重点水源涵养区</w:t>
            </w:r>
          </w:p>
          <w:p w14:paraId="5D472C4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为流域范围内除水源保护核心区、重点污染控制区以外的集水区域。</w:t>
            </w:r>
          </w:p>
          <w:p w14:paraId="02F2A00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项目选址未涉及水源核心保护区，项目与牛栏江水流域调水水源区环境保护分区图的位置关系见</w:t>
            </w:r>
            <w:r>
              <w:rPr>
                <w:rFonts w:hint="eastAsia"/>
                <w:b w:val="0"/>
                <w:bCs w:val="0"/>
                <w:color w:val="auto"/>
                <w:kern w:val="0"/>
                <w:sz w:val="24"/>
                <w:highlight w:val="none"/>
                <w:lang w:val="en-US" w:eastAsia="zh-CN"/>
              </w:rPr>
              <w:t>附</w:t>
            </w:r>
            <w:r>
              <w:rPr>
                <w:rFonts w:hint="eastAsia"/>
                <w:b w:val="0"/>
                <w:bCs w:val="0"/>
                <w:color w:val="auto"/>
                <w:kern w:val="0"/>
                <w:sz w:val="24"/>
                <w:highlight w:val="none"/>
              </w:rPr>
              <w:t>图</w:t>
            </w:r>
            <w:r>
              <w:rPr>
                <w:rFonts w:hint="eastAsia"/>
                <w:b w:val="0"/>
                <w:bCs w:val="0"/>
                <w:color w:val="auto"/>
                <w:kern w:val="0"/>
                <w:sz w:val="24"/>
                <w:highlight w:val="none"/>
                <w:lang w:val="en-US" w:eastAsia="zh-CN"/>
              </w:rPr>
              <w:t>11</w:t>
            </w:r>
            <w:r>
              <w:rPr>
                <w:rFonts w:hint="eastAsia"/>
                <w:b w:val="0"/>
                <w:bCs w:val="0"/>
                <w:color w:val="auto"/>
                <w:kern w:val="0"/>
                <w:sz w:val="24"/>
                <w:highlight w:val="none"/>
              </w:rPr>
              <w:t>，对照《云南省牛栏江保护条例》，该项目位于牛栏江流域重点水源涵养区。</w:t>
            </w:r>
          </w:p>
          <w:p w14:paraId="35157BA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b w:val="0"/>
                <w:bCs w:val="0"/>
                <w:color w:val="auto"/>
                <w:kern w:val="0"/>
                <w:sz w:val="24"/>
                <w:highlight w:val="none"/>
                <w:lang w:eastAsia="zh-CN"/>
              </w:rPr>
            </w:pPr>
            <w:r>
              <w:rPr>
                <w:rFonts w:hint="eastAsia"/>
                <w:b w:val="0"/>
                <w:bCs w:val="0"/>
                <w:color w:val="auto"/>
                <w:kern w:val="0"/>
                <w:sz w:val="24"/>
                <w:highlight w:val="none"/>
              </w:rPr>
              <w:t>根据《云南省牛栏江保护条例》中对重点水源涵养区的限制要求，本项目的建设与《云南省牛栏江保护条例》的相符性分析见下表</w:t>
            </w:r>
            <w:r>
              <w:rPr>
                <w:rFonts w:hint="eastAsia"/>
                <w:b w:val="0"/>
                <w:bCs w:val="0"/>
                <w:color w:val="auto"/>
                <w:kern w:val="0"/>
                <w:sz w:val="24"/>
                <w:highlight w:val="none"/>
                <w:lang w:eastAsia="zh-CN"/>
              </w:rPr>
              <w:t>。</w:t>
            </w:r>
          </w:p>
          <w:p w14:paraId="120144B2">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kern w:val="0"/>
                <w:sz w:val="21"/>
                <w:szCs w:val="21"/>
                <w:highlight w:val="none"/>
              </w:rPr>
            </w:pPr>
            <w:r>
              <w:rPr>
                <w:rFonts w:hint="default" w:ascii="Times New Roman" w:hAnsi="Times New Roman"/>
                <w:b/>
                <w:bCs/>
                <w:color w:val="auto"/>
                <w:kern w:val="0"/>
                <w:sz w:val="21"/>
                <w:szCs w:val="21"/>
                <w:highlight w:val="none"/>
              </w:rPr>
              <w:t>表</w:t>
            </w:r>
            <w:r>
              <w:rPr>
                <w:rFonts w:hint="eastAsia" w:ascii="Times New Roman" w:hAnsi="Times New Roman"/>
                <w:b/>
                <w:bCs/>
                <w:color w:val="auto"/>
                <w:kern w:val="0"/>
                <w:sz w:val="21"/>
                <w:szCs w:val="21"/>
                <w:highlight w:val="none"/>
              </w:rPr>
              <w:t>1-</w:t>
            </w:r>
            <w:r>
              <w:rPr>
                <w:rFonts w:hint="eastAsia"/>
                <w:b/>
                <w:bCs/>
                <w:color w:val="auto"/>
                <w:kern w:val="0"/>
                <w:sz w:val="21"/>
                <w:szCs w:val="21"/>
                <w:highlight w:val="none"/>
                <w:lang w:val="en-US" w:eastAsia="zh-CN"/>
              </w:rPr>
              <w:t>9</w:t>
            </w:r>
            <w:r>
              <w:rPr>
                <w:rFonts w:hint="eastAsia" w:ascii="Times New Roman" w:hAnsi="Times New Roman"/>
                <w:b/>
                <w:bCs/>
                <w:color w:val="auto"/>
                <w:kern w:val="0"/>
                <w:sz w:val="21"/>
                <w:szCs w:val="21"/>
                <w:highlight w:val="none"/>
              </w:rPr>
              <w:t xml:space="preserve">  项目</w:t>
            </w:r>
            <w:r>
              <w:rPr>
                <w:rFonts w:hint="default" w:ascii="Times New Roman" w:hAnsi="Times New Roman"/>
                <w:b/>
                <w:bCs/>
                <w:color w:val="auto"/>
                <w:kern w:val="0"/>
                <w:sz w:val="21"/>
                <w:szCs w:val="21"/>
                <w:highlight w:val="none"/>
              </w:rPr>
              <w:t>与《</w:t>
            </w:r>
            <w:r>
              <w:rPr>
                <w:rFonts w:hint="eastAsia" w:ascii="Times New Roman" w:hAnsi="Times New Roman"/>
                <w:b/>
                <w:bCs/>
                <w:color w:val="auto"/>
                <w:kern w:val="0"/>
                <w:sz w:val="21"/>
                <w:szCs w:val="21"/>
                <w:highlight w:val="none"/>
              </w:rPr>
              <w:t>云南省牛栏江保护条例</w:t>
            </w:r>
            <w:r>
              <w:rPr>
                <w:rFonts w:hint="default" w:ascii="Times New Roman" w:hAnsi="Times New Roman"/>
                <w:b/>
                <w:bCs/>
                <w:color w:val="auto"/>
                <w:kern w:val="0"/>
                <w:sz w:val="21"/>
                <w:szCs w:val="21"/>
                <w:highlight w:val="none"/>
              </w:rPr>
              <w:t>》的符合性</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723"/>
              <w:gridCol w:w="3738"/>
              <w:gridCol w:w="820"/>
            </w:tblGrid>
            <w:tr w14:paraId="63337E5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6449B9B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highlight w:val="none"/>
                    </w:rPr>
                  </w:pPr>
                  <w:r>
                    <w:rPr>
                      <w:rFonts w:hint="eastAsia" w:ascii="Times New Roman" w:hAnsi="Times New Roman"/>
                      <w:b/>
                      <w:bCs/>
                      <w:color w:val="auto"/>
                      <w:kern w:val="0"/>
                      <w:highlight w:val="none"/>
                    </w:rPr>
                    <w:t>条例禁止行为</w:t>
                  </w:r>
                </w:p>
              </w:tc>
              <w:tc>
                <w:tcPr>
                  <w:tcW w:w="2567" w:type="pct"/>
                  <w:noWrap w:val="0"/>
                  <w:vAlign w:val="center"/>
                </w:tcPr>
                <w:p w14:paraId="5CD98A0A">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highlight w:val="none"/>
                    </w:rPr>
                  </w:pPr>
                  <w:r>
                    <w:rPr>
                      <w:rFonts w:hint="default" w:ascii="Times New Roman" w:hAnsi="Times New Roman"/>
                      <w:b/>
                      <w:bCs/>
                      <w:color w:val="auto"/>
                      <w:kern w:val="0"/>
                      <w:highlight w:val="none"/>
                    </w:rPr>
                    <w:t>项目情况</w:t>
                  </w:r>
                </w:p>
              </w:tc>
              <w:tc>
                <w:tcPr>
                  <w:tcW w:w="561" w:type="pct"/>
                  <w:noWrap w:val="0"/>
                  <w:vAlign w:val="center"/>
                </w:tcPr>
                <w:p w14:paraId="310E5F7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b/>
                      <w:bCs/>
                      <w:color w:val="auto"/>
                      <w:kern w:val="0"/>
                      <w:highlight w:val="none"/>
                    </w:rPr>
                  </w:pPr>
                  <w:r>
                    <w:rPr>
                      <w:rFonts w:hint="default" w:ascii="Times New Roman" w:hAnsi="Times New Roman"/>
                      <w:b/>
                      <w:bCs/>
                      <w:color w:val="auto"/>
                      <w:kern w:val="0"/>
                      <w:highlight w:val="none"/>
                    </w:rPr>
                    <w:t>符合性</w:t>
                  </w:r>
                </w:p>
              </w:tc>
            </w:tr>
            <w:tr w14:paraId="5ED0FD9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2DFEE4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b/>
                      <w:bCs/>
                      <w:color w:val="auto"/>
                      <w:kern w:val="0"/>
                      <w:highlight w:val="none"/>
                      <w:lang w:val="en-US" w:eastAsia="zh-CN"/>
                    </w:rPr>
                    <w:t>重点水源涵养区内禁止下列行为：</w:t>
                  </w:r>
                </w:p>
              </w:tc>
            </w:tr>
            <w:tr w14:paraId="7D8B5BD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36CC71CB">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eastAsia="zh-CN"/>
                    </w:rPr>
                    <w:t>（一）</w:t>
                  </w:r>
                  <w:r>
                    <w:rPr>
                      <w:rFonts w:hint="eastAsia" w:ascii="Times New Roman" w:hAnsi="Times New Roman"/>
                      <w:color w:val="auto"/>
                      <w:kern w:val="0"/>
                      <w:highlight w:val="none"/>
                    </w:rPr>
                    <w:t>盗伐、滥伐林木和破坏草地；</w:t>
                  </w:r>
                </w:p>
              </w:tc>
              <w:tc>
                <w:tcPr>
                  <w:tcW w:w="2567" w:type="pct"/>
                  <w:noWrap w:val="0"/>
                  <w:vAlign w:val="center"/>
                </w:tcPr>
                <w:p w14:paraId="316FB8D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项目用地主要为</w:t>
                  </w:r>
                  <w:r>
                    <w:rPr>
                      <w:rFonts w:hint="eastAsia"/>
                      <w:color w:val="auto"/>
                      <w:kern w:val="0"/>
                      <w:highlight w:val="none"/>
                      <w:lang w:val="en-US" w:eastAsia="zh-CN"/>
                    </w:rPr>
                    <w:t>其他</w:t>
                  </w:r>
                  <w:r>
                    <w:rPr>
                      <w:rFonts w:hint="eastAsia" w:ascii="Times New Roman" w:hAnsi="Times New Roman"/>
                      <w:color w:val="auto"/>
                      <w:kern w:val="0"/>
                      <w:highlight w:val="none"/>
                    </w:rPr>
                    <w:t>草地</w:t>
                  </w:r>
                  <w:r>
                    <w:rPr>
                      <w:rFonts w:hint="eastAsia"/>
                      <w:color w:val="auto"/>
                      <w:kern w:val="0"/>
                      <w:highlight w:val="none"/>
                      <w:lang w:eastAsia="zh-CN"/>
                    </w:rPr>
                    <w:t>、</w:t>
                  </w:r>
                  <w:r>
                    <w:rPr>
                      <w:rFonts w:hint="eastAsia"/>
                      <w:color w:val="auto"/>
                      <w:kern w:val="0"/>
                      <w:highlight w:val="none"/>
                      <w:lang w:val="en-US" w:eastAsia="zh-CN"/>
                    </w:rPr>
                    <w:t>林地和交通运输用地、裸土地</w:t>
                  </w:r>
                  <w:r>
                    <w:rPr>
                      <w:rFonts w:hint="eastAsia" w:ascii="Times New Roman" w:hAnsi="Times New Roman"/>
                      <w:color w:val="auto"/>
                      <w:kern w:val="0"/>
                      <w:highlight w:val="none"/>
                    </w:rPr>
                    <w:t>，</w:t>
                  </w:r>
                  <w:r>
                    <w:rPr>
                      <w:rFonts w:hint="eastAsia"/>
                      <w:color w:val="auto"/>
                      <w:kern w:val="0"/>
                      <w:highlight w:val="none"/>
                      <w:lang w:val="en-US" w:eastAsia="zh-CN"/>
                    </w:rPr>
                    <w:t>正在办理寻甸回族彝族自治县</w:t>
                  </w:r>
                  <w:r>
                    <w:rPr>
                      <w:rFonts w:hint="eastAsia" w:ascii="Times New Roman" w:hAnsi="Times New Roman"/>
                      <w:color w:val="auto"/>
                      <w:kern w:val="0"/>
                      <w:highlight w:val="none"/>
                      <w:lang w:eastAsia="zh-CN"/>
                    </w:rPr>
                    <w:t>林业和草原局关于拟规划光伏发电项目用地的审查意见。同时</w:t>
                  </w:r>
                  <w:r>
                    <w:rPr>
                      <w:rFonts w:hint="eastAsia" w:ascii="Times New Roman" w:hAnsi="Times New Roman"/>
                      <w:color w:val="auto"/>
                      <w:kern w:val="0"/>
                      <w:highlight w:val="none"/>
                    </w:rPr>
                    <w:t>，</w:t>
                  </w:r>
                  <w:r>
                    <w:rPr>
                      <w:rFonts w:hint="eastAsia" w:ascii="Times New Roman" w:hAnsi="Times New Roman"/>
                      <w:color w:val="auto"/>
                      <w:kern w:val="0"/>
                      <w:highlight w:val="none"/>
                      <w:lang w:eastAsia="zh-CN"/>
                    </w:rPr>
                    <w:t>项目占用</w:t>
                  </w:r>
                  <w:r>
                    <w:rPr>
                      <w:rFonts w:hint="eastAsia" w:ascii="Times New Roman" w:hAnsi="Times New Roman"/>
                      <w:color w:val="auto"/>
                      <w:kern w:val="0"/>
                      <w:highlight w:val="none"/>
                    </w:rPr>
                    <w:t>草地</w:t>
                  </w:r>
                  <w:r>
                    <w:rPr>
                      <w:rFonts w:hint="eastAsia" w:ascii="Times New Roman" w:hAnsi="Times New Roman"/>
                      <w:color w:val="auto"/>
                      <w:kern w:val="0"/>
                      <w:highlight w:val="none"/>
                      <w:lang w:eastAsia="zh-CN"/>
                    </w:rPr>
                    <w:t>、少</w:t>
                  </w:r>
                  <w:r>
                    <w:rPr>
                      <w:rFonts w:hint="eastAsia" w:ascii="Times New Roman" w:hAnsi="Times New Roman"/>
                      <w:color w:val="auto"/>
                      <w:kern w:val="0"/>
                      <w:highlight w:val="none"/>
                    </w:rPr>
                    <w:t>量灌木林地</w:t>
                  </w:r>
                  <w:r>
                    <w:rPr>
                      <w:rFonts w:hint="eastAsia" w:ascii="Times New Roman" w:hAnsi="Times New Roman"/>
                      <w:color w:val="auto"/>
                      <w:kern w:val="0"/>
                      <w:highlight w:val="none"/>
                      <w:lang w:eastAsia="zh-CN"/>
                    </w:rPr>
                    <w:t>将</w:t>
                  </w:r>
                  <w:r>
                    <w:rPr>
                      <w:rFonts w:hint="eastAsia" w:ascii="Times New Roman" w:hAnsi="Times New Roman"/>
                      <w:color w:val="auto"/>
                      <w:kern w:val="0"/>
                      <w:highlight w:val="none"/>
                    </w:rPr>
                    <w:t>依法依规办理使用林地草地手续，严禁未批先占林草地，不涉及盗伐、滥伐林木和破坏草地情况。</w:t>
                  </w:r>
                </w:p>
              </w:tc>
              <w:tc>
                <w:tcPr>
                  <w:tcW w:w="561" w:type="pct"/>
                  <w:noWrap w:val="0"/>
                  <w:vAlign w:val="center"/>
                </w:tcPr>
                <w:p w14:paraId="412B3D8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eastAsia="宋体"/>
                      <w:color w:val="auto"/>
                      <w:kern w:val="0"/>
                      <w:highlight w:val="none"/>
                      <w:lang w:val="en-US" w:eastAsia="zh-CN"/>
                    </w:rPr>
                  </w:pPr>
                  <w:r>
                    <w:rPr>
                      <w:rFonts w:hint="eastAsia" w:ascii="Times New Roman" w:hAnsi="Times New Roman"/>
                      <w:color w:val="auto"/>
                      <w:kern w:val="0"/>
                      <w:highlight w:val="none"/>
                      <w:lang w:val="en-US" w:eastAsia="zh-CN"/>
                    </w:rPr>
                    <w:t>符合</w:t>
                  </w:r>
                </w:p>
              </w:tc>
            </w:tr>
            <w:tr w14:paraId="6D7EA42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7E79925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eastAsia="zh-CN"/>
                    </w:rPr>
                    <w:t>（二）</w:t>
                  </w:r>
                  <w:r>
                    <w:rPr>
                      <w:rFonts w:hint="eastAsia" w:ascii="Times New Roman" w:hAnsi="Times New Roman"/>
                      <w:color w:val="auto"/>
                      <w:kern w:val="0"/>
                      <w:highlight w:val="none"/>
                    </w:rPr>
                    <w:t>使用高毒、高残留农药；</w:t>
                  </w:r>
                </w:p>
              </w:tc>
              <w:tc>
                <w:tcPr>
                  <w:tcW w:w="2567" w:type="pct"/>
                  <w:noWrap w:val="0"/>
                  <w:vAlign w:val="center"/>
                </w:tcPr>
                <w:p w14:paraId="4286A45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本项目不涉及高毒、高残留农药的使用。</w:t>
                  </w:r>
                </w:p>
              </w:tc>
              <w:tc>
                <w:tcPr>
                  <w:tcW w:w="561" w:type="pct"/>
                  <w:noWrap w:val="0"/>
                  <w:vAlign w:val="center"/>
                </w:tcPr>
                <w:p w14:paraId="75ACF163">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val="en-US" w:eastAsia="zh-CN"/>
                    </w:rPr>
                    <w:t>符合</w:t>
                  </w:r>
                </w:p>
              </w:tc>
            </w:tr>
            <w:tr w14:paraId="480E966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6D2C897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eastAsia="zh-CN"/>
                    </w:rPr>
                    <w:t>（三）</w:t>
                  </w:r>
                  <w:r>
                    <w:rPr>
                      <w:rFonts w:hint="eastAsia" w:ascii="Times New Roman" w:hAnsi="Times New Roman"/>
                      <w:color w:val="auto"/>
                      <w:kern w:val="0"/>
                      <w:highlight w:val="none"/>
                    </w:rPr>
                    <w:t>利用溶洞、渗井、渗坑、裂隙排放、倾倒含有毒有害物质的废水、废渣；</w:t>
                  </w:r>
                </w:p>
              </w:tc>
              <w:tc>
                <w:tcPr>
                  <w:tcW w:w="2567" w:type="pct"/>
                  <w:noWrap w:val="0"/>
                  <w:vAlign w:val="center"/>
                </w:tcPr>
                <w:p w14:paraId="5AC243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本项目为太阳能发电场项目，</w:t>
                  </w:r>
                  <w:r>
                    <w:rPr>
                      <w:rFonts w:hint="eastAsia" w:ascii="Times New Roman" w:hAnsi="Times New Roman"/>
                      <w:color w:val="auto"/>
                      <w:kern w:val="0"/>
                      <w:highlight w:val="none"/>
                      <w:lang w:eastAsia="zh-CN"/>
                    </w:rPr>
                    <w:t>建设、运营无废水排放，固废合理处置，</w:t>
                  </w:r>
                  <w:r>
                    <w:rPr>
                      <w:rFonts w:hint="eastAsia" w:ascii="Times New Roman" w:hAnsi="Times New Roman"/>
                      <w:color w:val="auto"/>
                      <w:kern w:val="0"/>
                      <w:highlight w:val="none"/>
                    </w:rPr>
                    <w:t>不涉及利用溶洞、渗井、渗坑、裂隙排放、倾倒含有毒有害物质的废水、废渣。</w:t>
                  </w:r>
                </w:p>
              </w:tc>
              <w:tc>
                <w:tcPr>
                  <w:tcW w:w="561" w:type="pct"/>
                  <w:noWrap w:val="0"/>
                  <w:vAlign w:val="center"/>
                </w:tcPr>
                <w:p w14:paraId="1496B9B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val="en-US" w:eastAsia="zh-CN"/>
                    </w:rPr>
                    <w:t>符合</w:t>
                  </w:r>
                </w:p>
              </w:tc>
            </w:tr>
            <w:tr w14:paraId="727347A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4013B1D9">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eastAsia="zh-CN"/>
                    </w:rPr>
                    <w:t>（四）</w:t>
                  </w:r>
                  <w:r>
                    <w:rPr>
                      <w:rFonts w:hint="eastAsia" w:ascii="Times New Roman" w:hAnsi="Times New Roman"/>
                      <w:color w:val="auto"/>
                      <w:kern w:val="0"/>
                      <w:highlight w:val="none"/>
                    </w:rPr>
                    <w:t>向水体排放废水、倾倒工业废渣、城镇垃圾或者其他废弃物；</w:t>
                  </w:r>
                </w:p>
              </w:tc>
              <w:tc>
                <w:tcPr>
                  <w:tcW w:w="2567" w:type="pct"/>
                  <w:noWrap w:val="0"/>
                  <w:vAlign w:val="center"/>
                </w:tcPr>
                <w:p w14:paraId="2FF4BDD5">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rPr>
                    <w:t>本项目为太阳能发电场项目，运营期</w:t>
                  </w:r>
                  <w:r>
                    <w:rPr>
                      <w:rFonts w:hint="eastAsia" w:ascii="Times New Roman" w:hAnsi="Times New Roman"/>
                      <w:color w:val="auto"/>
                      <w:kern w:val="0"/>
                      <w:highlight w:val="none"/>
                      <w:lang w:eastAsia="zh-CN"/>
                    </w:rPr>
                    <w:t>光伏区</w:t>
                  </w:r>
                  <w:r>
                    <w:rPr>
                      <w:rFonts w:hint="eastAsia" w:ascii="Times New Roman" w:hAnsi="Times New Roman"/>
                      <w:color w:val="auto"/>
                      <w:kern w:val="0"/>
                      <w:highlight w:val="none"/>
                    </w:rPr>
                    <w:t>少量的光伏组件清洗废水用于板下植物浇洒，不外排；损坏更换的电池组件由厂家回收处置</w:t>
                  </w:r>
                  <w:r>
                    <w:rPr>
                      <w:rFonts w:hint="eastAsia" w:ascii="Times New Roman" w:hAnsi="Times New Roman"/>
                      <w:color w:val="auto"/>
                      <w:kern w:val="0"/>
                      <w:highlight w:val="none"/>
                      <w:lang w:eastAsia="zh-CN"/>
                    </w:rPr>
                    <w:t>，</w:t>
                  </w:r>
                  <w:r>
                    <w:rPr>
                      <w:rFonts w:hint="eastAsia" w:ascii="Times New Roman" w:hAnsi="Times New Roman"/>
                      <w:color w:val="auto"/>
                      <w:kern w:val="0"/>
                      <w:highlight w:val="none"/>
                    </w:rPr>
                    <w:t>固废100％处置。</w:t>
                  </w:r>
                </w:p>
              </w:tc>
              <w:tc>
                <w:tcPr>
                  <w:tcW w:w="561" w:type="pct"/>
                  <w:noWrap w:val="0"/>
                  <w:vAlign w:val="center"/>
                </w:tcPr>
                <w:p w14:paraId="52416510">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val="en-US" w:eastAsia="zh-CN"/>
                    </w:rPr>
                    <w:t>符合</w:t>
                  </w:r>
                </w:p>
              </w:tc>
            </w:tr>
            <w:tr w14:paraId="32195A0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0F945E7D">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eastAsia="zh-CN"/>
                    </w:rPr>
                    <w:t>（五）</w:t>
                  </w:r>
                  <w:r>
                    <w:rPr>
                      <w:rFonts w:hint="eastAsia" w:ascii="Times New Roman" w:hAnsi="Times New Roman"/>
                      <w:color w:val="auto"/>
                      <w:kern w:val="0"/>
                      <w:highlight w:val="none"/>
                    </w:rPr>
                    <w:t>在江河、渠道、水库最高水位线以下的滩地、岸坡堆放、存贮固体废弃物或者其他污染物；</w:t>
                  </w:r>
                </w:p>
              </w:tc>
              <w:tc>
                <w:tcPr>
                  <w:tcW w:w="2567" w:type="pct"/>
                  <w:noWrap w:val="0"/>
                  <w:vAlign w:val="center"/>
                </w:tcPr>
                <w:p w14:paraId="39CBD2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项目选址不涉及江河、渠道、水库最高水位线以下的滩地、岸坡，运营期</w:t>
                  </w:r>
                  <w:r>
                    <w:rPr>
                      <w:rFonts w:hint="eastAsia" w:ascii="Times New Roman" w:hAnsi="Times New Roman"/>
                      <w:color w:val="auto"/>
                      <w:kern w:val="0"/>
                      <w:highlight w:val="none"/>
                      <w:lang w:eastAsia="zh-CN"/>
                    </w:rPr>
                    <w:t>光伏区</w:t>
                  </w:r>
                  <w:r>
                    <w:rPr>
                      <w:rFonts w:hint="eastAsia" w:ascii="Times New Roman" w:hAnsi="Times New Roman"/>
                      <w:color w:val="auto"/>
                      <w:kern w:val="0"/>
                      <w:highlight w:val="none"/>
                    </w:rPr>
                    <w:t>少量的光伏组件清洗废水用于板下植物浇洒，不外排，固废100％处置。</w:t>
                  </w:r>
                </w:p>
              </w:tc>
              <w:tc>
                <w:tcPr>
                  <w:tcW w:w="561" w:type="pct"/>
                  <w:noWrap w:val="0"/>
                  <w:vAlign w:val="center"/>
                </w:tcPr>
                <w:p w14:paraId="1DEC225C">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val="en-US" w:eastAsia="zh-CN"/>
                    </w:rPr>
                    <w:t>符合</w:t>
                  </w:r>
                </w:p>
              </w:tc>
            </w:tr>
            <w:tr w14:paraId="2751B6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15F6B402">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eastAsia="zh-CN"/>
                    </w:rPr>
                    <w:t>（六）</w:t>
                  </w:r>
                  <w:r>
                    <w:rPr>
                      <w:rFonts w:hint="eastAsia" w:ascii="Times New Roman" w:hAnsi="Times New Roman"/>
                      <w:color w:val="auto"/>
                      <w:kern w:val="0"/>
                      <w:highlight w:val="none"/>
                    </w:rPr>
                    <w:t>利用无防渗漏措施的沟渠、坑塘等输送或者存贮含有毒污染物的废水、含病原体的污水或者其他废弃物。</w:t>
                  </w:r>
                </w:p>
              </w:tc>
              <w:tc>
                <w:tcPr>
                  <w:tcW w:w="2567" w:type="pct"/>
                  <w:noWrap w:val="0"/>
                  <w:vAlign w:val="center"/>
                </w:tcPr>
                <w:p w14:paraId="1F28B00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项目运营期光伏组件清洗废水用于板下植物浇洒，不涉及含有毒污染物的废水、含病原体的污水或者其他废弃物。</w:t>
                  </w:r>
                </w:p>
              </w:tc>
              <w:tc>
                <w:tcPr>
                  <w:tcW w:w="561" w:type="pct"/>
                  <w:noWrap w:val="0"/>
                  <w:vAlign w:val="center"/>
                </w:tcPr>
                <w:p w14:paraId="7390E938">
                  <w:pPr>
                    <w:keepNext w:val="0"/>
                    <w:keepLines w:val="0"/>
                    <w:suppressLineNumbers w:val="0"/>
                    <w:overflowPunct w:val="0"/>
                    <w:adjustRightInd w:val="0"/>
                    <w:snapToGrid w:val="0"/>
                    <w:spacing w:before="0" w:beforeAutospacing="0" w:after="0" w:afterAutospacing="0"/>
                    <w:ind w:left="0" w:right="0"/>
                    <w:jc w:val="center"/>
                    <w:textAlignment w:val="baseline"/>
                    <w:rPr>
                      <w:rFonts w:hint="default" w:ascii="Times New Roman" w:hAnsi="Times New Roman"/>
                      <w:color w:val="auto"/>
                      <w:kern w:val="0"/>
                      <w:highlight w:val="none"/>
                    </w:rPr>
                  </w:pPr>
                  <w:r>
                    <w:rPr>
                      <w:rFonts w:hint="eastAsia" w:ascii="Times New Roman" w:hAnsi="Times New Roman"/>
                      <w:color w:val="auto"/>
                      <w:kern w:val="0"/>
                      <w:highlight w:val="none"/>
                      <w:lang w:val="en-US" w:eastAsia="zh-CN"/>
                    </w:rPr>
                    <w:t>符合</w:t>
                  </w:r>
                </w:p>
              </w:tc>
            </w:tr>
            <w:tr w14:paraId="456DC9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3279655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b/>
                      <w:bCs/>
                      <w:color w:val="auto"/>
                      <w:kern w:val="0"/>
                      <w:highlight w:val="none"/>
                      <w:lang w:val="en-US" w:eastAsia="zh-CN"/>
                    </w:rPr>
                    <w:t>重点污染控制区内除重点水源涵养区禁止的行为外，还禁止下列行为：</w:t>
                  </w:r>
                </w:p>
              </w:tc>
            </w:tr>
            <w:tr w14:paraId="04278B9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2F01E4D5">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lang w:val="en-US" w:eastAsia="zh-CN"/>
                    </w:rPr>
                    <w:t>（一）新建、扩建工业园区；</w:t>
                  </w:r>
                </w:p>
              </w:tc>
              <w:tc>
                <w:tcPr>
                  <w:tcW w:w="2567" w:type="pct"/>
                  <w:noWrap w:val="0"/>
                  <w:vAlign w:val="center"/>
                </w:tcPr>
                <w:p w14:paraId="17C3537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highlight w:val="none"/>
                      <w:lang w:eastAsia="zh-CN"/>
                    </w:rPr>
                  </w:pPr>
                  <w:r>
                    <w:rPr>
                      <w:rFonts w:hint="eastAsia" w:ascii="Times New Roman" w:hAnsi="Times New Roman"/>
                      <w:color w:val="auto"/>
                      <w:kern w:val="0"/>
                      <w:highlight w:val="none"/>
                    </w:rPr>
                    <w:t>本项目为</w:t>
                  </w:r>
                  <w:r>
                    <w:rPr>
                      <w:rFonts w:hint="eastAsia" w:ascii="Times New Roman" w:hAnsi="Times New Roman"/>
                      <w:color w:val="auto"/>
                      <w:kern w:val="0"/>
                      <w:highlight w:val="none"/>
                      <w:lang w:eastAsia="zh-CN"/>
                    </w:rPr>
                    <w:t>光伏发电</w:t>
                  </w:r>
                  <w:r>
                    <w:rPr>
                      <w:rFonts w:hint="eastAsia" w:ascii="Times New Roman" w:hAnsi="Times New Roman"/>
                      <w:color w:val="auto"/>
                      <w:kern w:val="0"/>
                      <w:highlight w:val="none"/>
                    </w:rPr>
                    <w:t>项目，</w:t>
                  </w:r>
                  <w:r>
                    <w:rPr>
                      <w:rFonts w:hint="eastAsia" w:ascii="Times New Roman" w:hAnsi="Times New Roman"/>
                      <w:color w:val="auto"/>
                      <w:kern w:val="0"/>
                      <w:highlight w:val="none"/>
                      <w:lang w:eastAsia="zh-CN"/>
                    </w:rPr>
                    <w:t>不属于</w:t>
                  </w:r>
                  <w:r>
                    <w:rPr>
                      <w:rFonts w:hint="eastAsia" w:ascii="Times New Roman" w:hAnsi="Times New Roman"/>
                      <w:color w:val="auto"/>
                      <w:kern w:val="0"/>
                      <w:highlight w:val="none"/>
                      <w:lang w:val="en-US" w:eastAsia="zh-CN"/>
                    </w:rPr>
                    <w:t>新建、扩建工业园区。</w:t>
                  </w:r>
                </w:p>
              </w:tc>
              <w:tc>
                <w:tcPr>
                  <w:tcW w:w="561" w:type="pct"/>
                  <w:noWrap w:val="0"/>
                  <w:vAlign w:val="center"/>
                </w:tcPr>
                <w:p w14:paraId="7A5D7D1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不涉及</w:t>
                  </w:r>
                </w:p>
              </w:tc>
            </w:tr>
            <w:tr w14:paraId="6E0DF9D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5D84890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lang w:val="en-US" w:eastAsia="zh-CN"/>
                    </w:rPr>
                    <w:t>（二）新建、扩建重点水污染物排放的工业项目；</w:t>
                  </w:r>
                </w:p>
              </w:tc>
              <w:tc>
                <w:tcPr>
                  <w:tcW w:w="2567" w:type="pct"/>
                  <w:noWrap w:val="0"/>
                  <w:vAlign w:val="center"/>
                </w:tcPr>
                <w:p w14:paraId="1E8C660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本项目为</w:t>
                  </w:r>
                  <w:r>
                    <w:rPr>
                      <w:rFonts w:hint="eastAsia" w:ascii="Times New Roman" w:hAnsi="Times New Roman"/>
                      <w:color w:val="auto"/>
                      <w:kern w:val="0"/>
                      <w:highlight w:val="none"/>
                      <w:lang w:eastAsia="zh-CN"/>
                    </w:rPr>
                    <w:t>光伏发电</w:t>
                  </w:r>
                  <w:r>
                    <w:rPr>
                      <w:rFonts w:hint="eastAsia" w:ascii="Times New Roman" w:hAnsi="Times New Roman"/>
                      <w:color w:val="auto"/>
                      <w:kern w:val="0"/>
                      <w:highlight w:val="none"/>
                    </w:rPr>
                    <w:t>项目，</w:t>
                  </w:r>
                  <w:r>
                    <w:rPr>
                      <w:rFonts w:hint="eastAsia" w:ascii="Times New Roman" w:hAnsi="Times New Roman"/>
                      <w:color w:val="auto"/>
                      <w:kern w:val="0"/>
                      <w:highlight w:val="none"/>
                      <w:lang w:val="en-US" w:eastAsia="zh-CN"/>
                    </w:rPr>
                    <w:t>不属于重点水污染物排放的工业项目。</w:t>
                  </w:r>
                </w:p>
              </w:tc>
              <w:tc>
                <w:tcPr>
                  <w:tcW w:w="561" w:type="pct"/>
                  <w:noWrap w:val="0"/>
                  <w:vAlign w:val="center"/>
                </w:tcPr>
                <w:p w14:paraId="67EBC04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不涉及</w:t>
                  </w:r>
                </w:p>
              </w:tc>
            </w:tr>
            <w:tr w14:paraId="19415A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0A31721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lang w:val="en-US" w:eastAsia="zh-CN"/>
                    </w:rPr>
                    <w:t>（三）新建、改建、扩建经营性陵园、公墓。</w:t>
                  </w:r>
                </w:p>
              </w:tc>
              <w:tc>
                <w:tcPr>
                  <w:tcW w:w="2567" w:type="pct"/>
                  <w:noWrap w:val="0"/>
                  <w:vAlign w:val="center"/>
                </w:tcPr>
                <w:p w14:paraId="5BA3903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highlight w:val="none"/>
                      <w:lang w:eastAsia="zh-CN"/>
                    </w:rPr>
                  </w:pPr>
                  <w:r>
                    <w:rPr>
                      <w:rFonts w:hint="eastAsia" w:ascii="Times New Roman" w:hAnsi="Times New Roman"/>
                      <w:color w:val="auto"/>
                      <w:kern w:val="0"/>
                      <w:highlight w:val="none"/>
                    </w:rPr>
                    <w:t>本项目为</w:t>
                  </w:r>
                  <w:r>
                    <w:rPr>
                      <w:rFonts w:hint="eastAsia" w:ascii="Times New Roman" w:hAnsi="Times New Roman"/>
                      <w:color w:val="auto"/>
                      <w:kern w:val="0"/>
                      <w:highlight w:val="none"/>
                      <w:lang w:eastAsia="zh-CN"/>
                    </w:rPr>
                    <w:t>光伏发电</w:t>
                  </w:r>
                  <w:r>
                    <w:rPr>
                      <w:rFonts w:hint="eastAsia" w:ascii="Times New Roman" w:hAnsi="Times New Roman"/>
                      <w:color w:val="auto"/>
                      <w:kern w:val="0"/>
                      <w:highlight w:val="none"/>
                    </w:rPr>
                    <w:t>项目，</w:t>
                  </w:r>
                  <w:r>
                    <w:rPr>
                      <w:rFonts w:hint="eastAsia" w:ascii="Times New Roman" w:hAnsi="Times New Roman"/>
                      <w:color w:val="auto"/>
                      <w:kern w:val="0"/>
                      <w:highlight w:val="none"/>
                      <w:lang w:eastAsia="zh-CN"/>
                    </w:rPr>
                    <w:t>不属于</w:t>
                  </w:r>
                  <w:r>
                    <w:rPr>
                      <w:rFonts w:hint="eastAsia" w:ascii="Times New Roman" w:hAnsi="Times New Roman"/>
                      <w:color w:val="auto"/>
                      <w:kern w:val="0"/>
                      <w:highlight w:val="none"/>
                      <w:lang w:val="en-US" w:eastAsia="zh-CN"/>
                    </w:rPr>
                    <w:t>陵园、公墓。</w:t>
                  </w:r>
                </w:p>
              </w:tc>
              <w:tc>
                <w:tcPr>
                  <w:tcW w:w="561" w:type="pct"/>
                  <w:noWrap w:val="0"/>
                  <w:vAlign w:val="center"/>
                </w:tcPr>
                <w:p w14:paraId="2261E15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color w:val="auto"/>
                      <w:kern w:val="0"/>
                      <w:highlight w:val="none"/>
                    </w:rPr>
                    <w:t>不涉及</w:t>
                  </w:r>
                </w:p>
              </w:tc>
            </w:tr>
            <w:tr w14:paraId="39CE339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5000" w:type="pct"/>
                  <w:gridSpan w:val="3"/>
                  <w:noWrap w:val="0"/>
                  <w:vAlign w:val="center"/>
                </w:tcPr>
                <w:p w14:paraId="774BB7B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highlight w:val="none"/>
                    </w:rPr>
                  </w:pPr>
                  <w:r>
                    <w:rPr>
                      <w:rFonts w:hint="eastAsia" w:ascii="Times New Roman" w:hAnsi="Times New Roman"/>
                      <w:b/>
                      <w:bCs/>
                      <w:color w:val="auto"/>
                      <w:kern w:val="0"/>
                      <w:highlight w:val="none"/>
                      <w:lang w:val="en-US" w:eastAsia="zh-CN"/>
                    </w:rPr>
                    <w:t>水源保护核心区内除重点污染控制区、重点水源涵养区禁止的行为外，还禁止下列行为：</w:t>
                  </w:r>
                </w:p>
              </w:tc>
            </w:tr>
            <w:tr w14:paraId="4694B44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74AF4B7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val="en-US" w:eastAsia="zh-CN"/>
                    </w:rPr>
                    <w:t>（一）新建、改建、扩建排污口；</w:t>
                  </w:r>
                </w:p>
              </w:tc>
              <w:tc>
                <w:tcPr>
                  <w:tcW w:w="2567" w:type="pct"/>
                  <w:noWrap w:val="0"/>
                  <w:vAlign w:val="center"/>
                </w:tcPr>
                <w:p w14:paraId="1F9003B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highlight w:val="none"/>
                      <w:lang w:val="en-US" w:eastAsia="zh-CN" w:bidi="ar-SA"/>
                    </w:rPr>
                  </w:pPr>
                  <w:r>
                    <w:rPr>
                      <w:rFonts w:hint="eastAsia" w:ascii="Times New Roman" w:hAnsi="Times New Roman"/>
                      <w:color w:val="auto"/>
                      <w:kern w:val="0"/>
                      <w:highlight w:val="none"/>
                      <w:lang w:eastAsia="zh-CN"/>
                    </w:rPr>
                    <w:t>项目</w:t>
                  </w:r>
                  <w:r>
                    <w:rPr>
                      <w:rFonts w:hint="eastAsia" w:ascii="Times New Roman" w:hAnsi="Times New Roman"/>
                      <w:color w:val="auto"/>
                      <w:kern w:val="0"/>
                      <w:highlight w:val="none"/>
                    </w:rPr>
                    <w:t>运营期</w:t>
                  </w:r>
                  <w:r>
                    <w:rPr>
                      <w:rFonts w:hint="eastAsia" w:ascii="Times New Roman" w:hAnsi="Times New Roman"/>
                      <w:color w:val="auto"/>
                      <w:kern w:val="0"/>
                      <w:highlight w:val="none"/>
                      <w:lang w:eastAsia="zh-CN"/>
                    </w:rPr>
                    <w:t>光伏区</w:t>
                  </w:r>
                  <w:r>
                    <w:rPr>
                      <w:rFonts w:hint="eastAsia" w:ascii="Times New Roman" w:hAnsi="Times New Roman"/>
                      <w:color w:val="auto"/>
                      <w:kern w:val="0"/>
                      <w:highlight w:val="none"/>
                    </w:rPr>
                    <w:t>少量的光伏组件清洗废水</w:t>
                  </w:r>
                  <w:r>
                    <w:rPr>
                      <w:rFonts w:hint="eastAsia"/>
                      <w:color w:val="auto"/>
                      <w:kern w:val="0"/>
                      <w:highlight w:val="none"/>
                      <w:lang w:eastAsia="zh-CN"/>
                    </w:rPr>
                    <w:t>，</w:t>
                  </w:r>
                  <w:r>
                    <w:rPr>
                      <w:rFonts w:hint="eastAsia"/>
                      <w:color w:val="auto"/>
                      <w:kern w:val="0"/>
                      <w:sz w:val="21"/>
                      <w:szCs w:val="21"/>
                      <w:lang w:val="en-US" w:eastAsia="zh-CN"/>
                    </w:rPr>
                    <w:t>该废水</w:t>
                  </w:r>
                  <w:r>
                    <w:rPr>
                      <w:rFonts w:hint="eastAsia"/>
                      <w:color w:val="auto"/>
                      <w:sz w:val="21"/>
                      <w:szCs w:val="21"/>
                    </w:rPr>
                    <w:t>无特殊污染物，主要为SS</w:t>
                  </w:r>
                  <w:r>
                    <w:rPr>
                      <w:rFonts w:hint="eastAsia"/>
                      <w:color w:val="auto"/>
                      <w:sz w:val="21"/>
                      <w:szCs w:val="21"/>
                      <w:lang w:eastAsia="zh-CN"/>
                    </w:rPr>
                    <w:t>，</w:t>
                  </w:r>
                  <w:r>
                    <w:rPr>
                      <w:rFonts w:hint="eastAsia" w:ascii="Times New Roman" w:hAnsi="Times New Roman"/>
                      <w:color w:val="auto"/>
                      <w:kern w:val="0"/>
                      <w:sz w:val="21"/>
                      <w:szCs w:val="21"/>
                    </w:rPr>
                    <w:t>用于板下</w:t>
                  </w:r>
                  <w:r>
                    <w:rPr>
                      <w:rFonts w:hint="eastAsia"/>
                      <w:color w:val="auto"/>
                      <w:kern w:val="0"/>
                      <w:sz w:val="21"/>
                      <w:szCs w:val="21"/>
                      <w:lang w:val="en-US" w:eastAsia="zh-CN"/>
                    </w:rPr>
                    <w:t>林草植被</w:t>
                  </w:r>
                  <w:r>
                    <w:rPr>
                      <w:rFonts w:hint="eastAsia" w:ascii="Times New Roman" w:hAnsi="Times New Roman"/>
                      <w:color w:val="auto"/>
                      <w:kern w:val="0"/>
                      <w:sz w:val="21"/>
                      <w:szCs w:val="21"/>
                    </w:rPr>
                    <w:t>浇洒</w:t>
                  </w:r>
                  <w:r>
                    <w:rPr>
                      <w:rFonts w:hint="eastAsia" w:ascii="Times New Roman" w:hAnsi="Times New Roman"/>
                      <w:color w:val="auto"/>
                      <w:kern w:val="0"/>
                    </w:rPr>
                    <w:t>，</w:t>
                  </w:r>
                  <w:r>
                    <w:rPr>
                      <w:rFonts w:hint="eastAsia" w:ascii="Times New Roman" w:hAnsi="Times New Roman"/>
                      <w:color w:val="auto"/>
                      <w:kern w:val="0"/>
                      <w:highlight w:val="none"/>
                    </w:rPr>
                    <w:t>不外排</w:t>
                  </w:r>
                  <w:r>
                    <w:rPr>
                      <w:rFonts w:hint="eastAsia" w:ascii="Times New Roman" w:hAnsi="Times New Roman"/>
                      <w:color w:val="auto"/>
                      <w:kern w:val="0"/>
                      <w:highlight w:val="none"/>
                      <w:lang w:eastAsia="zh-CN"/>
                    </w:rPr>
                    <w:t>，无</w:t>
                  </w:r>
                  <w:r>
                    <w:rPr>
                      <w:rFonts w:hint="eastAsia" w:ascii="Times New Roman" w:hAnsi="Times New Roman"/>
                      <w:color w:val="auto"/>
                      <w:kern w:val="0"/>
                      <w:highlight w:val="none"/>
                      <w:lang w:val="en-US" w:eastAsia="zh-CN"/>
                    </w:rPr>
                    <w:t>新建、改建、扩建排污口。</w:t>
                  </w:r>
                </w:p>
              </w:tc>
              <w:tc>
                <w:tcPr>
                  <w:tcW w:w="561" w:type="pct"/>
                  <w:noWrap w:val="0"/>
                  <w:vAlign w:val="center"/>
                </w:tcPr>
                <w:p w14:paraId="1CA29892">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rPr>
                    <w:t>不涉及</w:t>
                  </w:r>
                </w:p>
              </w:tc>
            </w:tr>
            <w:tr w14:paraId="7869CEA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48B3DA96">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val="en-US" w:eastAsia="zh-CN"/>
                    </w:rPr>
                    <w:t>（二）围河造地、围垦河道；</w:t>
                  </w:r>
                </w:p>
              </w:tc>
              <w:tc>
                <w:tcPr>
                  <w:tcW w:w="2567" w:type="pct"/>
                  <w:noWrap w:val="0"/>
                  <w:vAlign w:val="center"/>
                </w:tcPr>
                <w:p w14:paraId="34A527A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eastAsia="zh-CN"/>
                    </w:rPr>
                    <w:t>不涉及</w:t>
                  </w:r>
                  <w:r>
                    <w:rPr>
                      <w:rFonts w:hint="eastAsia" w:ascii="Times New Roman" w:hAnsi="Times New Roman"/>
                      <w:color w:val="auto"/>
                      <w:kern w:val="0"/>
                      <w:highlight w:val="none"/>
                      <w:lang w:val="en-US" w:eastAsia="zh-CN"/>
                    </w:rPr>
                    <w:t>围河造地、围垦河道。</w:t>
                  </w:r>
                </w:p>
              </w:tc>
              <w:tc>
                <w:tcPr>
                  <w:tcW w:w="561" w:type="pct"/>
                  <w:noWrap w:val="0"/>
                  <w:vAlign w:val="center"/>
                </w:tcPr>
                <w:p w14:paraId="2904D669">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rPr>
                    <w:t>不涉及</w:t>
                  </w:r>
                </w:p>
              </w:tc>
            </w:tr>
            <w:tr w14:paraId="488AC27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0E305DE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val="en-US" w:eastAsia="zh-CN"/>
                    </w:rPr>
                    <w:t>（三）围堰、围网、网箱养殖；</w:t>
                  </w:r>
                </w:p>
              </w:tc>
              <w:tc>
                <w:tcPr>
                  <w:tcW w:w="2567" w:type="pct"/>
                  <w:noWrap w:val="0"/>
                  <w:vAlign w:val="center"/>
                </w:tcPr>
                <w:p w14:paraId="2ED88A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highlight w:val="none"/>
                      <w:lang w:val="en-US" w:eastAsia="zh-CN" w:bidi="ar-SA"/>
                    </w:rPr>
                  </w:pPr>
                  <w:r>
                    <w:rPr>
                      <w:rFonts w:hint="eastAsia" w:ascii="Times New Roman" w:hAnsi="Times New Roman"/>
                      <w:color w:val="auto"/>
                      <w:kern w:val="0"/>
                      <w:highlight w:val="none"/>
                      <w:lang w:eastAsia="zh-CN"/>
                    </w:rPr>
                    <w:t>不涉及</w:t>
                  </w:r>
                  <w:r>
                    <w:rPr>
                      <w:rFonts w:hint="eastAsia" w:ascii="Times New Roman" w:hAnsi="Times New Roman"/>
                      <w:color w:val="auto"/>
                      <w:kern w:val="0"/>
                      <w:highlight w:val="none"/>
                      <w:lang w:val="en-US" w:eastAsia="zh-CN"/>
                    </w:rPr>
                    <w:t>围堰、围网、网箱养殖。</w:t>
                  </w:r>
                </w:p>
              </w:tc>
              <w:tc>
                <w:tcPr>
                  <w:tcW w:w="561" w:type="pct"/>
                  <w:noWrap w:val="0"/>
                  <w:vAlign w:val="center"/>
                </w:tcPr>
                <w:p w14:paraId="08780378">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rPr>
                    <w:t>不涉及</w:t>
                  </w:r>
                </w:p>
              </w:tc>
            </w:tr>
            <w:tr w14:paraId="510C43D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68F017DE">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val="en-US" w:eastAsia="zh-CN"/>
                    </w:rPr>
                    <w:t>（四）规模化畜禽养殖；</w:t>
                  </w:r>
                </w:p>
              </w:tc>
              <w:tc>
                <w:tcPr>
                  <w:tcW w:w="2567" w:type="pct"/>
                  <w:noWrap w:val="0"/>
                  <w:vAlign w:val="center"/>
                </w:tcPr>
                <w:p w14:paraId="3621966D">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eastAsia="zh-CN"/>
                    </w:rPr>
                    <w:t>本次评价内容不涉及</w:t>
                  </w:r>
                  <w:r>
                    <w:rPr>
                      <w:rFonts w:hint="eastAsia" w:ascii="Times New Roman" w:hAnsi="Times New Roman"/>
                      <w:color w:val="auto"/>
                      <w:kern w:val="0"/>
                      <w:highlight w:val="none"/>
                      <w:lang w:val="en-US" w:eastAsia="zh-CN"/>
                    </w:rPr>
                    <w:t>畜禽养殖。</w:t>
                  </w:r>
                </w:p>
              </w:tc>
              <w:tc>
                <w:tcPr>
                  <w:tcW w:w="561" w:type="pct"/>
                  <w:noWrap w:val="0"/>
                  <w:vAlign w:val="center"/>
                </w:tcPr>
                <w:p w14:paraId="5B37A147">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rPr>
                    <w:t>不涉及</w:t>
                  </w:r>
                </w:p>
              </w:tc>
            </w:tr>
            <w:tr w14:paraId="2B192D0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54F4E363">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val="en-US" w:eastAsia="zh-CN"/>
                    </w:rPr>
                    <w:t>（五）损毁水利、水文、科研、气象、测量、环境监测等设施设备；</w:t>
                  </w:r>
                </w:p>
              </w:tc>
              <w:tc>
                <w:tcPr>
                  <w:tcW w:w="2567" w:type="pct"/>
                  <w:noWrap w:val="0"/>
                  <w:vAlign w:val="center"/>
                </w:tcPr>
                <w:p w14:paraId="5F4F62BC">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highlight w:val="none"/>
                      <w:lang w:val="en-US" w:eastAsia="zh-CN" w:bidi="ar-SA"/>
                    </w:rPr>
                  </w:pPr>
                  <w:r>
                    <w:rPr>
                      <w:rFonts w:hint="eastAsia" w:ascii="Times New Roman" w:hAnsi="Times New Roman"/>
                      <w:color w:val="auto"/>
                      <w:kern w:val="0"/>
                      <w:highlight w:val="none"/>
                      <w:lang w:eastAsia="zh-CN"/>
                    </w:rPr>
                    <w:t>项目占地范围不涉及</w:t>
                  </w:r>
                  <w:r>
                    <w:rPr>
                      <w:rFonts w:hint="eastAsia" w:ascii="Times New Roman" w:hAnsi="Times New Roman"/>
                      <w:color w:val="auto"/>
                      <w:kern w:val="0"/>
                      <w:highlight w:val="none"/>
                      <w:lang w:val="en-US" w:eastAsia="zh-CN"/>
                    </w:rPr>
                    <w:t>水利、水文、科研、气象、测量、环境监测等设施设备，并在</w:t>
                  </w:r>
                  <w:r>
                    <w:rPr>
                      <w:rFonts w:hint="eastAsia" w:ascii="Times New Roman" w:hAnsi="Times New Roman"/>
                      <w:color w:val="auto"/>
                      <w:kern w:val="0"/>
                      <w:highlight w:val="none"/>
                      <w:lang w:eastAsia="zh-CN"/>
                    </w:rPr>
                    <w:t>建设过程中注意避让</w:t>
                  </w:r>
                  <w:r>
                    <w:rPr>
                      <w:rFonts w:hint="eastAsia" w:ascii="Times New Roman" w:hAnsi="Times New Roman"/>
                      <w:color w:val="auto"/>
                      <w:kern w:val="0"/>
                      <w:highlight w:val="none"/>
                      <w:lang w:val="en-US" w:eastAsia="zh-CN"/>
                    </w:rPr>
                    <w:t>。</w:t>
                  </w:r>
                </w:p>
              </w:tc>
              <w:tc>
                <w:tcPr>
                  <w:tcW w:w="561" w:type="pct"/>
                  <w:noWrap w:val="0"/>
                  <w:vAlign w:val="center"/>
                </w:tcPr>
                <w:p w14:paraId="5116EA5B">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rPr>
                    <w:t>不涉及</w:t>
                  </w:r>
                </w:p>
              </w:tc>
            </w:tr>
            <w:tr w14:paraId="77A2E81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870" w:type="pct"/>
                  <w:noWrap w:val="0"/>
                  <w:vAlign w:val="center"/>
                </w:tcPr>
                <w:p w14:paraId="3709E141">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lang w:val="en-US" w:eastAsia="zh-CN"/>
                    </w:rPr>
                    <w:t>（六）挖砂、采石、取土、采矿。</w:t>
                  </w:r>
                </w:p>
              </w:tc>
              <w:tc>
                <w:tcPr>
                  <w:tcW w:w="2567" w:type="pct"/>
                  <w:noWrap w:val="0"/>
                  <w:vAlign w:val="center"/>
                </w:tcPr>
                <w:p w14:paraId="0302A98A">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eastAsia="宋体"/>
                      <w:color w:val="auto"/>
                      <w:kern w:val="0"/>
                      <w:sz w:val="21"/>
                      <w:szCs w:val="24"/>
                      <w:highlight w:val="none"/>
                      <w:lang w:val="en-US" w:eastAsia="zh-CN" w:bidi="ar-SA"/>
                    </w:rPr>
                  </w:pPr>
                  <w:r>
                    <w:rPr>
                      <w:rFonts w:hint="eastAsia" w:ascii="Times New Roman" w:hAnsi="Times New Roman"/>
                      <w:color w:val="auto"/>
                      <w:kern w:val="0"/>
                      <w:highlight w:val="none"/>
                    </w:rPr>
                    <w:t>本项目为</w:t>
                  </w:r>
                  <w:r>
                    <w:rPr>
                      <w:rFonts w:hint="eastAsia" w:ascii="Times New Roman" w:hAnsi="Times New Roman"/>
                      <w:color w:val="auto"/>
                      <w:kern w:val="0"/>
                      <w:highlight w:val="none"/>
                      <w:lang w:eastAsia="zh-CN"/>
                    </w:rPr>
                    <w:t>光伏发电</w:t>
                  </w:r>
                  <w:r>
                    <w:rPr>
                      <w:rFonts w:hint="eastAsia" w:ascii="Times New Roman" w:hAnsi="Times New Roman"/>
                      <w:color w:val="auto"/>
                      <w:kern w:val="0"/>
                      <w:highlight w:val="none"/>
                    </w:rPr>
                    <w:t>项目，</w:t>
                  </w:r>
                  <w:r>
                    <w:rPr>
                      <w:rFonts w:hint="eastAsia" w:ascii="Times New Roman" w:hAnsi="Times New Roman"/>
                      <w:color w:val="auto"/>
                      <w:kern w:val="0"/>
                      <w:highlight w:val="none"/>
                      <w:lang w:eastAsia="zh-CN"/>
                    </w:rPr>
                    <w:t>不涉及采矿，施工</w:t>
                  </w:r>
                  <w:r>
                    <w:rPr>
                      <w:rFonts w:hint="eastAsia" w:ascii="Times New Roman" w:hAnsi="Times New Roman"/>
                      <w:color w:val="auto"/>
                      <w:kern w:val="0"/>
                      <w:highlight w:val="none"/>
                    </w:rPr>
                    <w:t>砂石骨料</w:t>
                  </w:r>
                  <w:r>
                    <w:rPr>
                      <w:rFonts w:hint="eastAsia" w:ascii="Times New Roman" w:hAnsi="Times New Roman"/>
                      <w:color w:val="auto"/>
                      <w:kern w:val="0"/>
                      <w:highlight w:val="none"/>
                      <w:lang w:eastAsia="zh-CN"/>
                    </w:rPr>
                    <w:t>全部</w:t>
                  </w:r>
                  <w:r>
                    <w:rPr>
                      <w:rFonts w:hint="eastAsia" w:ascii="Times New Roman" w:hAnsi="Times New Roman"/>
                      <w:color w:val="auto"/>
                      <w:kern w:val="0"/>
                      <w:highlight w:val="none"/>
                    </w:rPr>
                    <w:t>外购，不设置取料场</w:t>
                  </w:r>
                  <w:r>
                    <w:rPr>
                      <w:rFonts w:hint="eastAsia" w:ascii="Times New Roman" w:hAnsi="Times New Roman"/>
                      <w:color w:val="auto"/>
                      <w:kern w:val="0"/>
                      <w:highlight w:val="none"/>
                      <w:lang w:eastAsia="zh-CN"/>
                    </w:rPr>
                    <w:t>、取土场，不会有</w:t>
                  </w:r>
                  <w:r>
                    <w:rPr>
                      <w:rFonts w:hint="eastAsia" w:ascii="Times New Roman" w:hAnsi="Times New Roman"/>
                      <w:color w:val="auto"/>
                      <w:kern w:val="0"/>
                      <w:highlight w:val="none"/>
                      <w:lang w:val="en-US" w:eastAsia="zh-CN"/>
                    </w:rPr>
                    <w:t>挖砂、采石、取土行为。</w:t>
                  </w:r>
                </w:p>
              </w:tc>
              <w:tc>
                <w:tcPr>
                  <w:tcW w:w="561" w:type="pct"/>
                  <w:noWrap w:val="0"/>
                  <w:vAlign w:val="center"/>
                </w:tcPr>
                <w:p w14:paraId="5AFB0BDF">
                  <w:pPr>
                    <w:keepNext w:val="0"/>
                    <w:keepLines w:val="0"/>
                    <w:suppressLineNumbers w:val="0"/>
                    <w:overflowPunct w:val="0"/>
                    <w:adjustRightInd w:val="0"/>
                    <w:snapToGrid w:val="0"/>
                    <w:spacing w:before="0" w:beforeAutospacing="0" w:after="0" w:afterAutospacing="0"/>
                    <w:ind w:left="0" w:right="0"/>
                    <w:jc w:val="center"/>
                    <w:textAlignment w:val="baseline"/>
                    <w:rPr>
                      <w:rFonts w:hint="eastAsia" w:ascii="Times New Roman" w:hAnsi="Times New Roman"/>
                      <w:color w:val="auto"/>
                      <w:kern w:val="0"/>
                      <w:sz w:val="21"/>
                      <w:szCs w:val="24"/>
                      <w:highlight w:val="none"/>
                      <w:lang w:val="en-US" w:eastAsia="zh-CN" w:bidi="ar-SA"/>
                    </w:rPr>
                  </w:pPr>
                  <w:r>
                    <w:rPr>
                      <w:rFonts w:hint="eastAsia" w:ascii="Times New Roman" w:hAnsi="Times New Roman"/>
                      <w:color w:val="auto"/>
                      <w:kern w:val="0"/>
                      <w:highlight w:val="none"/>
                    </w:rPr>
                    <w:t>不涉及</w:t>
                  </w:r>
                </w:p>
              </w:tc>
            </w:tr>
          </w:tbl>
          <w:p w14:paraId="6D5677B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0" w:firstLineChars="200"/>
              <w:textAlignment w:val="auto"/>
              <w:rPr>
                <w:rFonts w:hint="default" w:ascii="Times New Roman" w:hAnsi="Times New Roman"/>
                <w:color w:val="auto"/>
                <w:sz w:val="24"/>
                <w:szCs w:val="20"/>
                <w:highlight w:val="none"/>
              </w:rPr>
            </w:pPr>
            <w:r>
              <w:rPr>
                <w:rFonts w:hint="eastAsia" w:ascii="Times New Roman" w:hAnsi="Times New Roman"/>
                <w:color w:val="auto"/>
                <w:sz w:val="24"/>
                <w:szCs w:val="20"/>
                <w:highlight w:val="none"/>
              </w:rPr>
              <w:t>本项目</w:t>
            </w:r>
            <w:r>
              <w:rPr>
                <w:rFonts w:hint="eastAsia" w:ascii="Times New Roman" w:hAnsi="Times New Roman" w:cs="Times New Roman"/>
                <w:color w:val="auto"/>
                <w:sz w:val="24"/>
                <w:szCs w:val="20"/>
                <w:highlight w:val="none"/>
              </w:rPr>
              <w:t>为</w:t>
            </w:r>
            <w:r>
              <w:rPr>
                <w:rFonts w:hint="eastAsia" w:ascii="Times New Roman" w:hAnsi="Times New Roman" w:cs="Times New Roman"/>
                <w:color w:val="auto"/>
                <w:sz w:val="24"/>
                <w:szCs w:val="20"/>
                <w:highlight w:val="none"/>
                <w:lang w:eastAsia="zh-CN"/>
              </w:rPr>
              <w:t>光伏发电</w:t>
            </w:r>
            <w:r>
              <w:rPr>
                <w:rFonts w:hint="eastAsia" w:ascii="Times New Roman" w:hAnsi="Times New Roman" w:cs="Times New Roman"/>
                <w:color w:val="auto"/>
                <w:sz w:val="24"/>
                <w:szCs w:val="20"/>
                <w:highlight w:val="none"/>
              </w:rPr>
              <w:t>项目，</w:t>
            </w:r>
            <w:r>
              <w:rPr>
                <w:rFonts w:hint="eastAsia" w:ascii="Times New Roman" w:hAnsi="Times New Roman"/>
                <w:color w:val="auto"/>
                <w:sz w:val="24"/>
                <w:szCs w:val="20"/>
                <w:highlight w:val="none"/>
              </w:rPr>
              <w:t>由上表可知项目建设不违反《云南省牛栏江保护条例》的有关规定</w:t>
            </w:r>
            <w:r>
              <w:rPr>
                <w:rFonts w:hint="default" w:ascii="Times New Roman" w:hAnsi="Times New Roman"/>
                <w:color w:val="auto"/>
                <w:sz w:val="24"/>
                <w:szCs w:val="20"/>
                <w:highlight w:val="none"/>
              </w:rPr>
              <w:t>。</w:t>
            </w:r>
          </w:p>
          <w:p w14:paraId="66F5E3C4">
            <w:pPr>
              <w:keepNext/>
              <w:keepLines/>
              <w:suppressLineNumbers w:val="0"/>
              <w:spacing w:before="0" w:beforeAutospacing="0" w:after="0" w:afterAutospacing="0" w:line="360" w:lineRule="auto"/>
              <w:ind w:left="0" w:right="0" w:firstLine="482" w:firstLineChars="200"/>
              <w:outlineLvl w:val="2"/>
              <w:rPr>
                <w:rFonts w:hint="eastAsia" w:ascii="Times New Roman" w:hAnsi="Times New Roman"/>
                <w:b/>
                <w:bCs/>
                <w:color w:val="auto"/>
                <w:kern w:val="0"/>
                <w:sz w:val="24"/>
                <w:highlight w:val="none"/>
              </w:rPr>
            </w:pPr>
            <w:bookmarkStart w:id="9" w:name="_Toc5673"/>
            <w:bookmarkStart w:id="10" w:name="_Toc3343"/>
            <w:bookmarkStart w:id="11" w:name="_Toc7481"/>
            <w:bookmarkStart w:id="12" w:name="_Toc18896"/>
            <w:bookmarkStart w:id="13" w:name="_Toc4269"/>
            <w:bookmarkStart w:id="14" w:name="_Toc25173"/>
            <w:r>
              <w:rPr>
                <w:rFonts w:hint="eastAsia"/>
                <w:b/>
                <w:bCs/>
                <w:color w:val="auto"/>
                <w:sz w:val="24"/>
                <w:highlight w:val="none"/>
                <w:lang w:val="en-US" w:eastAsia="zh-CN"/>
              </w:rPr>
              <w:t>10</w:t>
            </w:r>
            <w:r>
              <w:rPr>
                <w:rFonts w:hint="eastAsia" w:ascii="Times New Roman" w:hAnsi="Times New Roman"/>
                <w:b/>
                <w:bCs/>
                <w:color w:val="auto"/>
                <w:sz w:val="24"/>
                <w:highlight w:val="none"/>
              </w:rPr>
              <w:t>、与</w:t>
            </w:r>
            <w:r>
              <w:rPr>
                <w:rFonts w:hint="eastAsia" w:ascii="Times New Roman" w:hAnsi="Times New Roman"/>
                <w:b/>
                <w:bCs/>
                <w:color w:val="auto"/>
                <w:kern w:val="0"/>
                <w:sz w:val="24"/>
                <w:highlight w:val="none"/>
              </w:rPr>
              <w:t>《</w:t>
            </w:r>
            <w:r>
              <w:rPr>
                <w:rFonts w:hint="eastAsia" w:ascii="Times New Roman" w:hAnsi="Times New Roman"/>
                <w:b/>
                <w:bCs/>
                <w:color w:val="auto"/>
                <w:kern w:val="0"/>
                <w:sz w:val="24"/>
                <w:highlight w:val="none"/>
                <w:lang w:val="en-US" w:eastAsia="zh-CN"/>
              </w:rPr>
              <w:t>牛栏江流域（云南部分）水环境保护规划</w:t>
            </w:r>
            <w:r>
              <w:rPr>
                <w:rFonts w:hint="eastAsia" w:ascii="Times New Roman" w:hAnsi="Times New Roman"/>
                <w:b/>
                <w:bCs/>
                <w:color w:val="auto"/>
                <w:kern w:val="0"/>
                <w:sz w:val="24"/>
                <w:highlight w:val="none"/>
              </w:rPr>
              <w:t>》的符合性分析</w:t>
            </w:r>
            <w:bookmarkEnd w:id="9"/>
            <w:bookmarkEnd w:id="10"/>
            <w:bookmarkEnd w:id="11"/>
            <w:bookmarkEnd w:id="12"/>
            <w:bookmarkEnd w:id="13"/>
            <w:bookmarkEnd w:id="14"/>
          </w:p>
          <w:p w14:paraId="697EEE6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根据“牛栏江流域（云南部分）水环境保护规划（2009-2030年）”中第十条水环境保护分区：将牛栏江流域（云南段）划分为牛栏江德泽水库以上水环境重点保护区（调水水源区）和牛栏江德泽水库以下生态环境保护区（下游区）。其中，调水水源区（I区）分为水源保护核心区（I1区）、重点污染控制区（I2区）、水源涵养区（I3区）；下游区（II区）分为污染控制区（IIl区）和水源涵养区（II2区）。根据县（市、区）界限，分10个污染控制单元。</w:t>
            </w:r>
          </w:p>
          <w:p w14:paraId="4BDDEE2F">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根据牛栏江流域调水水源区水环境保护分区情况，本项目位于牛栏江德泽水库以上水环境重点保护区（调水水源区），按照划分区域，处于“规划”中的水源涵养区（I</w:t>
            </w:r>
            <w:r>
              <w:rPr>
                <w:rFonts w:hint="eastAsia"/>
                <w:b w:val="0"/>
                <w:bCs w:val="0"/>
                <w:color w:val="auto"/>
                <w:kern w:val="0"/>
                <w:sz w:val="24"/>
                <w:highlight w:val="none"/>
                <w:lang w:val="en-US" w:eastAsia="zh-CN"/>
              </w:rPr>
              <w:t>3</w:t>
            </w:r>
            <w:r>
              <w:rPr>
                <w:rFonts w:hint="eastAsia"/>
                <w:b w:val="0"/>
                <w:bCs w:val="0"/>
                <w:color w:val="auto"/>
                <w:kern w:val="0"/>
                <w:sz w:val="24"/>
                <w:highlight w:val="none"/>
              </w:rPr>
              <w:t>区）。</w:t>
            </w:r>
          </w:p>
          <w:p w14:paraId="5A447A1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kern w:val="0"/>
                <w:sz w:val="24"/>
                <w:highlight w:val="none"/>
              </w:rPr>
            </w:pPr>
            <w:r>
              <w:rPr>
                <w:rFonts w:hint="eastAsia"/>
                <w:b w:val="0"/>
                <w:bCs w:val="0"/>
                <w:color w:val="auto"/>
                <w:kern w:val="0"/>
                <w:sz w:val="24"/>
                <w:highlight w:val="none"/>
              </w:rPr>
              <w:t>根据牛栏江流域（云南部分）水环境保护规划（2009-2030年）调水水源区水污染源治理规划方案，现将本项目符合性分析如下：</w:t>
            </w:r>
          </w:p>
          <w:p w14:paraId="25CDA9A2">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highlight w:val="none"/>
              </w:rPr>
            </w:pPr>
            <w:r>
              <w:rPr>
                <w:rFonts w:hint="eastAsia"/>
                <w:b/>
                <w:bCs/>
                <w:color w:val="auto"/>
                <w:kern w:val="0"/>
                <w:sz w:val="21"/>
                <w:szCs w:val="21"/>
                <w:highlight w:val="none"/>
              </w:rPr>
              <w:t>表1-</w:t>
            </w:r>
            <w:r>
              <w:rPr>
                <w:rFonts w:hint="eastAsia"/>
                <w:b/>
                <w:bCs/>
                <w:color w:val="auto"/>
                <w:kern w:val="0"/>
                <w:sz w:val="21"/>
                <w:szCs w:val="21"/>
                <w:highlight w:val="none"/>
                <w:lang w:val="en-US" w:eastAsia="zh-CN"/>
              </w:rPr>
              <w:t>10</w:t>
            </w:r>
            <w:r>
              <w:rPr>
                <w:rFonts w:hint="eastAsia"/>
                <w:b/>
                <w:bCs/>
                <w:color w:val="auto"/>
                <w:kern w:val="0"/>
                <w:sz w:val="21"/>
                <w:szCs w:val="21"/>
                <w:highlight w:val="none"/>
              </w:rPr>
              <w:t xml:space="preserve"> 项目与《牛栏江流域（云南部分）水环境保护规划（2009-2030年）》符合性分析</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855"/>
              <w:gridCol w:w="2890"/>
              <w:gridCol w:w="830"/>
            </w:tblGrid>
            <w:tr w14:paraId="4017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0CA05800">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kern w:val="0"/>
                      <w:sz w:val="21"/>
                      <w:szCs w:val="21"/>
                      <w:highlight w:val="none"/>
                      <w:vertAlign w:val="baseline"/>
                      <w:lang w:val="en-US" w:eastAsia="zh-CN"/>
                    </w:rPr>
                  </w:pPr>
                  <w:r>
                    <w:rPr>
                      <w:rFonts w:hint="eastAsia"/>
                      <w:b/>
                      <w:bCs/>
                      <w:color w:val="auto"/>
                      <w:kern w:val="0"/>
                      <w:sz w:val="21"/>
                      <w:szCs w:val="21"/>
                      <w:highlight w:val="none"/>
                      <w:vertAlign w:val="baseline"/>
                      <w:lang w:val="en-US" w:eastAsia="zh-CN"/>
                    </w:rPr>
                    <w:t>序号</w:t>
                  </w:r>
                </w:p>
              </w:tc>
              <w:tc>
                <w:tcPr>
                  <w:tcW w:w="1961" w:type="pct"/>
                  <w:vAlign w:val="center"/>
                </w:tcPr>
                <w:p w14:paraId="5A338730">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highlight w:val="none"/>
                      <w:vertAlign w:val="baseline"/>
                    </w:rPr>
                  </w:pPr>
                  <w:r>
                    <w:rPr>
                      <w:rFonts w:hint="eastAsia"/>
                      <w:b/>
                      <w:bCs/>
                      <w:color w:val="auto"/>
                      <w:kern w:val="0"/>
                      <w:sz w:val="21"/>
                      <w:szCs w:val="21"/>
                      <w:highlight w:val="none"/>
                      <w:vertAlign w:val="baseline"/>
                    </w:rPr>
                    <w:t>规划要求</w:t>
                  </w:r>
                </w:p>
              </w:tc>
              <w:tc>
                <w:tcPr>
                  <w:tcW w:w="1985" w:type="pct"/>
                  <w:vAlign w:val="center"/>
                </w:tcPr>
                <w:p w14:paraId="6BDE1ED4">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highlight w:val="none"/>
                      <w:vertAlign w:val="baseline"/>
                    </w:rPr>
                  </w:pPr>
                  <w:r>
                    <w:rPr>
                      <w:rFonts w:hint="eastAsia"/>
                      <w:b/>
                      <w:bCs/>
                      <w:color w:val="auto"/>
                      <w:kern w:val="0"/>
                      <w:sz w:val="21"/>
                      <w:szCs w:val="21"/>
                      <w:highlight w:val="none"/>
                      <w:vertAlign w:val="baseline"/>
                    </w:rPr>
                    <w:t>项目情况</w:t>
                  </w:r>
                </w:p>
              </w:tc>
              <w:tc>
                <w:tcPr>
                  <w:tcW w:w="570" w:type="pct"/>
                  <w:vAlign w:val="center"/>
                </w:tcPr>
                <w:p w14:paraId="5412A7E8">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kern w:val="0"/>
                      <w:sz w:val="21"/>
                      <w:szCs w:val="21"/>
                      <w:highlight w:val="none"/>
                      <w:vertAlign w:val="baseline"/>
                    </w:rPr>
                  </w:pPr>
                  <w:r>
                    <w:rPr>
                      <w:rFonts w:hint="eastAsia"/>
                      <w:b/>
                      <w:bCs/>
                      <w:color w:val="auto"/>
                      <w:kern w:val="0"/>
                      <w:sz w:val="21"/>
                      <w:szCs w:val="21"/>
                      <w:highlight w:val="none"/>
                      <w:vertAlign w:val="baseline"/>
                    </w:rPr>
                    <w:t>符合性</w:t>
                  </w:r>
                </w:p>
              </w:tc>
            </w:tr>
            <w:tr w14:paraId="27BE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7B8A08C0">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1</w:t>
                  </w:r>
                </w:p>
              </w:tc>
              <w:tc>
                <w:tcPr>
                  <w:tcW w:w="1961" w:type="pct"/>
                </w:tcPr>
                <w:p w14:paraId="16E7E0F7">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rPr>
                    <w:t>落实国家产业政策和有关环保政策，实现主要废水排放企业的“零排放”，到2012年12月31日，实现牛栏江调水水源区工业废水的零排放。在调水水源区，通过贯彻落实国家产业政策大检查和环保设施专项检查、强制清洁生产审核等措施，确保实现园区和企业废水的零排放。</w:t>
                  </w:r>
                </w:p>
              </w:tc>
              <w:tc>
                <w:tcPr>
                  <w:tcW w:w="1985" w:type="pct"/>
                  <w:vAlign w:val="center"/>
                </w:tcPr>
                <w:p w14:paraId="7673112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highlight w:val="none"/>
                      <w:vertAlign w:val="baseline"/>
                      <w:lang w:eastAsia="zh-CN"/>
                    </w:rPr>
                  </w:pPr>
                  <w:r>
                    <w:rPr>
                      <w:rFonts w:hint="eastAsia"/>
                      <w:color w:val="auto"/>
                      <w:szCs w:val="21"/>
                      <w:highlight w:val="none"/>
                    </w:rPr>
                    <w:t>项目</w:t>
                  </w:r>
                  <w:r>
                    <w:rPr>
                      <w:rFonts w:hint="eastAsia"/>
                      <w:color w:val="auto"/>
                      <w:szCs w:val="21"/>
                      <w:highlight w:val="none"/>
                      <w:lang w:val="en-US" w:eastAsia="zh-CN"/>
                    </w:rPr>
                    <w:t>运营期无生活污水</w:t>
                  </w:r>
                  <w:r>
                    <w:rPr>
                      <w:rFonts w:hint="eastAsia"/>
                      <w:color w:val="auto"/>
                      <w:kern w:val="0"/>
                      <w:szCs w:val="21"/>
                      <w:highlight w:val="none"/>
                    </w:rPr>
                    <w:t>。清</w:t>
                  </w:r>
                  <w:r>
                    <w:rPr>
                      <w:rFonts w:hint="eastAsia"/>
                      <w:color w:val="auto"/>
                      <w:kern w:val="0"/>
                      <w:szCs w:val="21"/>
                      <w:highlight w:val="none"/>
                      <w:lang w:val="en-US" w:eastAsia="zh-CN"/>
                    </w:rPr>
                    <w:t>洁</w:t>
                  </w:r>
                  <w:r>
                    <w:rPr>
                      <w:rFonts w:hint="eastAsia"/>
                      <w:color w:val="auto"/>
                      <w:kern w:val="0"/>
                      <w:szCs w:val="21"/>
                      <w:highlight w:val="none"/>
                    </w:rPr>
                    <w:t>废水直接作为植物的生长用水不外排</w:t>
                  </w:r>
                  <w:r>
                    <w:rPr>
                      <w:rFonts w:hint="eastAsia"/>
                      <w:color w:val="auto"/>
                      <w:kern w:val="0"/>
                      <w:szCs w:val="21"/>
                      <w:highlight w:val="none"/>
                      <w:lang w:eastAsia="zh-CN"/>
                    </w:rPr>
                    <w:t>。</w:t>
                  </w:r>
                </w:p>
              </w:tc>
              <w:tc>
                <w:tcPr>
                  <w:tcW w:w="570" w:type="pct"/>
                  <w:vAlign w:val="center"/>
                </w:tcPr>
                <w:p w14:paraId="25CED88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相符</w:t>
                  </w:r>
                </w:p>
              </w:tc>
            </w:tr>
            <w:tr w14:paraId="1F6F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4E5CF8FF">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2</w:t>
                  </w:r>
                </w:p>
              </w:tc>
              <w:tc>
                <w:tcPr>
                  <w:tcW w:w="1961" w:type="pct"/>
                </w:tcPr>
                <w:p w14:paraId="644A288D">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rPr>
                    <w:t>严格工业企业环境管理，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COD、TN、TP排放量；新建、改建、扩建工业项目应采用先进的生产工艺和污染防治技术，其清洁生产水平应达到国家清洁生产标准中的国内先进水平。</w:t>
                  </w:r>
                </w:p>
              </w:tc>
              <w:tc>
                <w:tcPr>
                  <w:tcW w:w="1985" w:type="pct"/>
                  <w:vAlign w:val="center"/>
                </w:tcPr>
                <w:p w14:paraId="2D744203">
                  <w:pPr>
                    <w:keepNext w:val="0"/>
                    <w:keepLines w:val="0"/>
                    <w:widowControl/>
                    <w:suppressLineNumbers w:val="0"/>
                    <w:spacing w:before="0" w:beforeAutospacing="0" w:after="0" w:afterAutospacing="0"/>
                    <w:ind w:left="0" w:right="0"/>
                    <w:jc w:val="both"/>
                    <w:rPr>
                      <w:rFonts w:hint="eastAsia" w:eastAsia="宋体"/>
                      <w:color w:val="auto"/>
                      <w:highlight w:val="none"/>
                      <w:lang w:eastAsia="zh-CN"/>
                    </w:rPr>
                  </w:pPr>
                  <w:r>
                    <w:rPr>
                      <w:rFonts w:hint="eastAsia"/>
                      <w:color w:val="auto"/>
                      <w:sz w:val="21"/>
                      <w:szCs w:val="21"/>
                      <w:highlight w:val="none"/>
                      <w:lang w:val="en-US" w:eastAsia="zh-CN"/>
                    </w:rPr>
                    <w:t>项目为光伏发电项目，根据《产业结构调整指导目录（</w:t>
                  </w:r>
                  <w:r>
                    <w:rPr>
                      <w:rFonts w:hint="default"/>
                      <w:color w:val="auto"/>
                      <w:sz w:val="21"/>
                      <w:szCs w:val="21"/>
                      <w:highlight w:val="none"/>
                      <w:lang w:val="en-US" w:eastAsia="zh-CN"/>
                    </w:rPr>
                    <w:t>20</w:t>
                  </w:r>
                  <w:r>
                    <w:rPr>
                      <w:rFonts w:hint="eastAsia"/>
                      <w:color w:val="auto"/>
                      <w:sz w:val="21"/>
                      <w:szCs w:val="21"/>
                      <w:highlight w:val="none"/>
                      <w:lang w:val="en-US" w:eastAsia="zh-CN"/>
                    </w:rPr>
                    <w:t>24年本）》中“第五项，新能源”中第2条，“可再生能源利用技术与应用：太阳能热发电集热系统、高效率低成本太阳能光伏发电技术研发与产业化、系统集成技术开发应用”，属于鼓励类项目，不属于</w:t>
                  </w:r>
                  <w:r>
                    <w:rPr>
                      <w:rFonts w:hint="eastAsia"/>
                      <w:b w:val="0"/>
                      <w:bCs w:val="0"/>
                      <w:color w:val="auto"/>
                      <w:kern w:val="0"/>
                      <w:sz w:val="21"/>
                      <w:szCs w:val="21"/>
                      <w:highlight w:val="none"/>
                      <w:vertAlign w:val="baseline"/>
                    </w:rPr>
                    <w:t>钢铁、有色冶金、基础化工、农药、电镀、造纸制浆、制革、印染、石棉制品、土硫磺、土磷肥和染料等企业和项目</w:t>
                  </w:r>
                  <w:r>
                    <w:rPr>
                      <w:rFonts w:hint="eastAsia"/>
                      <w:b w:val="0"/>
                      <w:bCs w:val="0"/>
                      <w:color w:val="auto"/>
                      <w:kern w:val="0"/>
                      <w:sz w:val="21"/>
                      <w:szCs w:val="21"/>
                      <w:highlight w:val="none"/>
                      <w:vertAlign w:val="baseline"/>
                      <w:lang w:eastAsia="zh-CN"/>
                    </w:rPr>
                    <w:t>。</w:t>
                  </w:r>
                </w:p>
                <w:p w14:paraId="54136EA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highlight w:val="none"/>
                      <w:vertAlign w:val="baseline"/>
                      <w:lang w:eastAsia="zh-CN"/>
                    </w:rPr>
                  </w:pPr>
                  <w:r>
                    <w:rPr>
                      <w:rFonts w:hint="eastAsia"/>
                      <w:color w:val="auto"/>
                      <w:szCs w:val="21"/>
                      <w:highlight w:val="none"/>
                    </w:rPr>
                    <w:t>项目</w:t>
                  </w:r>
                  <w:r>
                    <w:rPr>
                      <w:rFonts w:hint="eastAsia"/>
                      <w:color w:val="auto"/>
                      <w:kern w:val="0"/>
                      <w:szCs w:val="21"/>
                      <w:highlight w:val="none"/>
                    </w:rPr>
                    <w:t>清</w:t>
                  </w:r>
                  <w:r>
                    <w:rPr>
                      <w:rFonts w:hint="eastAsia"/>
                      <w:color w:val="auto"/>
                      <w:kern w:val="0"/>
                      <w:szCs w:val="21"/>
                      <w:highlight w:val="none"/>
                      <w:lang w:val="en-US" w:eastAsia="zh-CN"/>
                    </w:rPr>
                    <w:t>洁</w:t>
                  </w:r>
                  <w:r>
                    <w:rPr>
                      <w:rFonts w:hint="eastAsia"/>
                      <w:color w:val="auto"/>
                      <w:kern w:val="0"/>
                      <w:szCs w:val="21"/>
                      <w:highlight w:val="none"/>
                    </w:rPr>
                    <w:t>废水直接作为植物的生长用水不外排</w:t>
                  </w:r>
                  <w:r>
                    <w:rPr>
                      <w:rFonts w:hint="eastAsia"/>
                      <w:color w:val="auto"/>
                      <w:kern w:val="0"/>
                      <w:szCs w:val="21"/>
                      <w:highlight w:val="none"/>
                      <w:lang w:eastAsia="zh-CN"/>
                    </w:rPr>
                    <w:t>，</w:t>
                  </w:r>
                  <w:r>
                    <w:rPr>
                      <w:rFonts w:hint="eastAsia"/>
                      <w:b w:val="0"/>
                      <w:bCs w:val="0"/>
                      <w:color w:val="auto"/>
                      <w:kern w:val="0"/>
                      <w:sz w:val="21"/>
                      <w:szCs w:val="21"/>
                      <w:highlight w:val="none"/>
                      <w:vertAlign w:val="baseline"/>
                    </w:rPr>
                    <w:t>其清洁生产水平应达到国家清洁生产标准中的国内先进水平</w:t>
                  </w:r>
                  <w:r>
                    <w:rPr>
                      <w:rFonts w:hint="eastAsia"/>
                      <w:b w:val="0"/>
                      <w:bCs w:val="0"/>
                      <w:color w:val="auto"/>
                      <w:kern w:val="0"/>
                      <w:sz w:val="21"/>
                      <w:szCs w:val="21"/>
                      <w:highlight w:val="none"/>
                      <w:vertAlign w:val="baseline"/>
                      <w:lang w:eastAsia="zh-CN"/>
                    </w:rPr>
                    <w:t>。</w:t>
                  </w:r>
                </w:p>
              </w:tc>
              <w:tc>
                <w:tcPr>
                  <w:tcW w:w="570" w:type="pct"/>
                  <w:vAlign w:val="center"/>
                </w:tcPr>
                <w:p w14:paraId="054EB15C">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lang w:val="en-US" w:eastAsia="zh-CN"/>
                    </w:rPr>
                    <w:t>相符</w:t>
                  </w:r>
                </w:p>
              </w:tc>
            </w:tr>
            <w:tr w14:paraId="59C8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3AEF2548">
                  <w:pPr>
                    <w:keepNext w:val="0"/>
                    <w:keepLines w:val="0"/>
                    <w:suppressLineNumbers w:val="0"/>
                    <w:adjustRightInd w:val="0"/>
                    <w:snapToGrid w:val="0"/>
                    <w:spacing w:before="0" w:beforeAutospacing="0" w:after="0" w:afterAutospacing="0" w:line="240" w:lineRule="auto"/>
                    <w:ind w:left="0" w:right="0"/>
                    <w:jc w:val="center"/>
                    <w:rPr>
                      <w:rFonts w:hint="eastAsia" w:eastAsia="宋体"/>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3</w:t>
                  </w:r>
                </w:p>
              </w:tc>
              <w:tc>
                <w:tcPr>
                  <w:tcW w:w="1961" w:type="pct"/>
                </w:tcPr>
                <w:p w14:paraId="79208B7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rPr>
                    <w:t>严格工业固体废弃物管理，实现固体废弃物安全处置。调水水源区内所有排放固体废弃物的企业，按国家有关固体废弃物安全处置的要求，对现有固体废弃物堆场进行安全处置。</w:t>
                  </w:r>
                </w:p>
              </w:tc>
              <w:tc>
                <w:tcPr>
                  <w:tcW w:w="1985" w:type="pct"/>
                </w:tcPr>
                <w:p w14:paraId="057CD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 xml:space="preserve">废电池板、废逆变器、废电气元件暂存于竹园沟光伏发电项目一般固废暂存间，及时委托专业的回收厂家收购回收处理，不得随意堆放处置。 </w:t>
                  </w:r>
                </w:p>
                <w:p w14:paraId="5671FE9B">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highlight w:val="none"/>
                      <w:vertAlign w:val="baseline"/>
                    </w:rPr>
                  </w:pPr>
                  <w:r>
                    <w:rPr>
                      <w:rFonts w:hint="default" w:ascii="Times New Roman" w:hAnsi="Times New Roman" w:eastAsia="宋体" w:cs="Times New Roman"/>
                      <w:bCs/>
                      <w:color w:val="auto"/>
                      <w:sz w:val="21"/>
                      <w:szCs w:val="21"/>
                      <w:highlight w:val="none"/>
                      <w:shd w:val="clear" w:color="auto" w:fill="auto"/>
                    </w:rPr>
                    <w:t>单次维修产生的废变压器油和事故废油均属危险废物，经集中收集后，暂存于竹园沟光伏发电项目升压站危废贮存库，并委托有资质单位处置；变压器油不合格需全部更换时产生的废变压器油，委托有资质单位在更换后即时转移处置，不在厂区贮存。</w:t>
                  </w:r>
                  <w:r>
                    <w:rPr>
                      <w:rFonts w:hint="eastAsia"/>
                      <w:color w:val="auto"/>
                      <w:sz w:val="21"/>
                      <w:szCs w:val="21"/>
                      <w:highlight w:val="none"/>
                      <w:lang w:val="en-US" w:eastAsia="zh-CN"/>
                    </w:rPr>
                    <w:t>综上，</w:t>
                  </w:r>
                  <w:r>
                    <w:rPr>
                      <w:rFonts w:hint="eastAsia"/>
                      <w:b w:val="0"/>
                      <w:bCs w:val="0"/>
                      <w:color w:val="auto"/>
                      <w:kern w:val="0"/>
                      <w:sz w:val="21"/>
                      <w:szCs w:val="21"/>
                      <w:highlight w:val="none"/>
                      <w:vertAlign w:val="baseline"/>
                    </w:rPr>
                    <w:t>项目所产生的固体废物均得到妥善处置，无排放。</w:t>
                  </w:r>
                </w:p>
              </w:tc>
              <w:tc>
                <w:tcPr>
                  <w:tcW w:w="570" w:type="pct"/>
                  <w:vAlign w:val="center"/>
                </w:tcPr>
                <w:p w14:paraId="4675092A">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lang w:val="en-US" w:eastAsia="zh-CN"/>
                    </w:rPr>
                    <w:t>相符</w:t>
                  </w:r>
                </w:p>
              </w:tc>
            </w:tr>
            <w:tr w14:paraId="3DA7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6F2B2F3D">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4</w:t>
                  </w:r>
                </w:p>
              </w:tc>
              <w:tc>
                <w:tcPr>
                  <w:tcW w:w="1961" w:type="pct"/>
                </w:tcPr>
                <w:p w14:paraId="7CE37A45">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rPr>
                    <w:t>企业实现“雨污分流”，污水处理厂出水水质达到园区污水处理厂的进水水质要求，园区污水处理厂的出水水质必须达到再生水处理系统的进水水质，再生水处理系统出水水质必须达到回用水水质。</w:t>
                  </w:r>
                </w:p>
              </w:tc>
              <w:tc>
                <w:tcPr>
                  <w:tcW w:w="1985" w:type="pct"/>
                  <w:vAlign w:val="center"/>
                </w:tcPr>
                <w:p w14:paraId="70524417">
                  <w:pPr>
                    <w:keepNext w:val="0"/>
                    <w:keepLines w:val="0"/>
                    <w:suppressLineNumbers w:val="0"/>
                    <w:adjustRightInd w:val="0"/>
                    <w:snapToGrid w:val="0"/>
                    <w:spacing w:before="0" w:beforeAutospacing="0" w:after="0" w:afterAutospacing="0" w:line="240" w:lineRule="auto"/>
                    <w:ind w:left="0" w:right="0"/>
                    <w:jc w:val="both"/>
                    <w:rPr>
                      <w:rFonts w:hint="eastAsia" w:eastAsia="宋体"/>
                      <w:b w:val="0"/>
                      <w:bCs w:val="0"/>
                      <w:color w:val="auto"/>
                      <w:kern w:val="0"/>
                      <w:sz w:val="21"/>
                      <w:szCs w:val="21"/>
                      <w:highlight w:val="none"/>
                      <w:vertAlign w:val="baseline"/>
                      <w:lang w:eastAsia="zh-CN"/>
                    </w:rPr>
                  </w:pPr>
                  <w:r>
                    <w:rPr>
                      <w:rFonts w:hint="eastAsia"/>
                      <w:color w:val="auto"/>
                      <w:szCs w:val="21"/>
                      <w:highlight w:val="none"/>
                    </w:rPr>
                    <w:t>项目</w:t>
                  </w:r>
                  <w:r>
                    <w:rPr>
                      <w:rFonts w:hint="eastAsia"/>
                      <w:color w:val="auto"/>
                      <w:szCs w:val="21"/>
                      <w:highlight w:val="none"/>
                      <w:lang w:val="en-US" w:eastAsia="zh-CN"/>
                    </w:rPr>
                    <w:t>运营期无生活污水产生，</w:t>
                  </w:r>
                  <w:r>
                    <w:rPr>
                      <w:rFonts w:hint="eastAsia"/>
                      <w:color w:val="auto"/>
                      <w:kern w:val="0"/>
                      <w:szCs w:val="21"/>
                      <w:highlight w:val="none"/>
                    </w:rPr>
                    <w:t>清</w:t>
                  </w:r>
                  <w:r>
                    <w:rPr>
                      <w:rFonts w:hint="eastAsia"/>
                      <w:color w:val="auto"/>
                      <w:kern w:val="0"/>
                      <w:szCs w:val="21"/>
                      <w:highlight w:val="none"/>
                      <w:lang w:val="en-US" w:eastAsia="zh-CN"/>
                    </w:rPr>
                    <w:t>洁</w:t>
                  </w:r>
                  <w:r>
                    <w:rPr>
                      <w:rFonts w:hint="eastAsia"/>
                      <w:color w:val="auto"/>
                      <w:kern w:val="0"/>
                      <w:szCs w:val="21"/>
                      <w:highlight w:val="none"/>
                    </w:rPr>
                    <w:t>废水直接作为植物的生长用水不外排</w:t>
                  </w:r>
                  <w:r>
                    <w:rPr>
                      <w:rFonts w:hint="eastAsia"/>
                      <w:color w:val="auto"/>
                      <w:kern w:val="0"/>
                      <w:szCs w:val="21"/>
                      <w:highlight w:val="none"/>
                      <w:lang w:eastAsia="zh-CN"/>
                    </w:rPr>
                    <w:t>。</w:t>
                  </w:r>
                </w:p>
              </w:tc>
              <w:tc>
                <w:tcPr>
                  <w:tcW w:w="570" w:type="pct"/>
                  <w:vAlign w:val="center"/>
                </w:tcPr>
                <w:p w14:paraId="7C68A49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相符</w:t>
                  </w:r>
                </w:p>
              </w:tc>
            </w:tr>
            <w:tr w14:paraId="48C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3F470E85">
                  <w:pPr>
                    <w:keepNext w:val="0"/>
                    <w:keepLines w:val="0"/>
                    <w:suppressLineNumbers w:val="0"/>
                    <w:adjustRightInd w:val="0"/>
                    <w:snapToGrid w:val="0"/>
                    <w:spacing w:before="0" w:beforeAutospacing="0" w:after="0" w:afterAutospacing="0" w:line="240" w:lineRule="auto"/>
                    <w:ind w:left="0" w:right="0"/>
                    <w:jc w:val="center"/>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5</w:t>
                  </w:r>
                </w:p>
              </w:tc>
              <w:tc>
                <w:tcPr>
                  <w:tcW w:w="1961" w:type="pct"/>
                </w:tcPr>
                <w:p w14:paraId="4D488268">
                  <w:pPr>
                    <w:keepNext w:val="0"/>
                    <w:keepLines w:val="0"/>
                    <w:suppressLineNumbers w:val="0"/>
                    <w:adjustRightInd w:val="0"/>
                    <w:snapToGrid w:val="0"/>
                    <w:spacing w:before="0" w:beforeAutospacing="0" w:after="0" w:afterAutospacing="0" w:line="240" w:lineRule="auto"/>
                    <w:ind w:left="0" w:right="0"/>
                    <w:jc w:val="left"/>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rPr>
                    <w:t>加强企业执法监督力度，增加对产污企业的执法监督频次，对污水处理设施运行、应急处理设施等重点环节要严把监督关，杜绝偷排漏排现象。对有偷排漏排等行为的企业，加大处罚力度，直至停产、关闭。对造成环境危害的单位要依法追究责任，依法进行环境损害赔偿。</w:t>
                  </w:r>
                </w:p>
              </w:tc>
              <w:tc>
                <w:tcPr>
                  <w:tcW w:w="1985" w:type="pct"/>
                  <w:vAlign w:val="center"/>
                </w:tcPr>
                <w:p w14:paraId="56828382">
                  <w:pPr>
                    <w:keepNext w:val="0"/>
                    <w:keepLines w:val="0"/>
                    <w:suppressLineNumbers w:val="0"/>
                    <w:adjustRightInd w:val="0"/>
                    <w:snapToGrid w:val="0"/>
                    <w:spacing w:before="0" w:beforeAutospacing="0" w:after="0" w:afterAutospacing="0" w:line="240" w:lineRule="auto"/>
                    <w:ind w:left="0" w:right="0"/>
                    <w:jc w:val="both"/>
                    <w:rPr>
                      <w:rFonts w:hint="eastAsia"/>
                      <w:b w:val="0"/>
                      <w:bCs w:val="0"/>
                      <w:color w:val="auto"/>
                      <w:kern w:val="0"/>
                      <w:sz w:val="21"/>
                      <w:szCs w:val="21"/>
                      <w:highlight w:val="none"/>
                      <w:vertAlign w:val="baseline"/>
                    </w:rPr>
                  </w:pPr>
                  <w:r>
                    <w:rPr>
                      <w:rFonts w:hint="eastAsia"/>
                      <w:b w:val="0"/>
                      <w:bCs w:val="0"/>
                      <w:color w:val="auto"/>
                      <w:kern w:val="0"/>
                      <w:sz w:val="21"/>
                      <w:szCs w:val="21"/>
                      <w:highlight w:val="none"/>
                      <w:vertAlign w:val="baseline"/>
                    </w:rPr>
                    <w:t>企业定期开展自行监测，确保水质达标。项目所产生的固体废物均得到妥善处置，</w:t>
                  </w:r>
                  <w:r>
                    <w:rPr>
                      <w:rFonts w:hint="eastAsia"/>
                      <w:b w:val="0"/>
                      <w:bCs w:val="0"/>
                      <w:color w:val="auto"/>
                      <w:kern w:val="0"/>
                      <w:sz w:val="21"/>
                      <w:szCs w:val="21"/>
                      <w:highlight w:val="none"/>
                      <w:vertAlign w:val="baseline"/>
                      <w:lang w:val="en-US" w:eastAsia="zh-CN"/>
                    </w:rPr>
                    <w:t>处置率100%</w:t>
                  </w:r>
                  <w:r>
                    <w:rPr>
                      <w:rFonts w:hint="eastAsia"/>
                      <w:b w:val="0"/>
                      <w:bCs w:val="0"/>
                      <w:color w:val="auto"/>
                      <w:kern w:val="0"/>
                      <w:sz w:val="21"/>
                      <w:szCs w:val="21"/>
                      <w:highlight w:val="none"/>
                      <w:vertAlign w:val="baseline"/>
                    </w:rPr>
                    <w:t>。</w:t>
                  </w:r>
                </w:p>
              </w:tc>
              <w:tc>
                <w:tcPr>
                  <w:tcW w:w="570" w:type="pct"/>
                  <w:vAlign w:val="center"/>
                </w:tcPr>
                <w:p w14:paraId="75439E46">
                  <w:pPr>
                    <w:keepNext w:val="0"/>
                    <w:keepLines w:val="0"/>
                    <w:suppressLineNumbers w:val="0"/>
                    <w:adjustRightInd w:val="0"/>
                    <w:snapToGrid w:val="0"/>
                    <w:spacing w:before="0" w:beforeAutospacing="0" w:after="0" w:afterAutospacing="0" w:line="240" w:lineRule="auto"/>
                    <w:ind w:left="0" w:right="0"/>
                    <w:jc w:val="center"/>
                    <w:rPr>
                      <w:rFonts w:hint="eastAsia"/>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相符</w:t>
                  </w:r>
                </w:p>
              </w:tc>
            </w:tr>
          </w:tbl>
          <w:p w14:paraId="115E23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综上所述，本项目处于“规划”中的</w:t>
            </w:r>
            <w:r>
              <w:rPr>
                <w:rFonts w:hint="eastAsia"/>
                <w:b w:val="0"/>
                <w:bCs w:val="0"/>
                <w:color w:val="auto"/>
                <w:kern w:val="0"/>
                <w:sz w:val="24"/>
                <w:szCs w:val="24"/>
                <w:highlight w:val="none"/>
              </w:rPr>
              <w:t>水源涵养区</w:t>
            </w:r>
            <w:r>
              <w:rPr>
                <w:rFonts w:hint="eastAsia" w:ascii="Times New Roman" w:hAnsi="Times New Roman" w:eastAsia="宋体" w:cs="Times New Roman"/>
                <w:color w:val="auto"/>
                <w:kern w:val="0"/>
                <w:sz w:val="24"/>
                <w:szCs w:val="24"/>
                <w:highlight w:val="none"/>
                <w:lang w:val="en-US" w:eastAsia="zh-CN" w:bidi="ar-SA"/>
              </w:rPr>
              <w:t>内，由于本项目</w:t>
            </w:r>
            <w:r>
              <w:rPr>
                <w:rFonts w:hint="eastAsia"/>
                <w:color w:val="auto"/>
                <w:kern w:val="0"/>
                <w:sz w:val="24"/>
                <w:szCs w:val="24"/>
                <w:highlight w:val="none"/>
                <w:lang w:val="en-US" w:eastAsia="zh-CN"/>
              </w:rPr>
              <w:t>为</w:t>
            </w:r>
            <w:r>
              <w:rPr>
                <w:rFonts w:hint="eastAsia"/>
                <w:color w:val="auto"/>
                <w:kern w:val="0"/>
                <w:sz w:val="24"/>
                <w:szCs w:val="24"/>
                <w:highlight w:val="none"/>
              </w:rPr>
              <w:t>光伏</w:t>
            </w:r>
            <w:r>
              <w:rPr>
                <w:rFonts w:hint="eastAsia"/>
                <w:color w:val="auto"/>
                <w:kern w:val="0"/>
                <w:sz w:val="24"/>
                <w:szCs w:val="24"/>
                <w:highlight w:val="none"/>
                <w:lang w:eastAsia="zh-CN"/>
              </w:rPr>
              <w:t>发电项目</w:t>
            </w:r>
            <w:r>
              <w:rPr>
                <w:rFonts w:hint="eastAsia" w:ascii="Times New Roman" w:hAnsi="Times New Roman" w:eastAsia="宋体" w:cs="Times New Roman"/>
                <w:color w:val="auto"/>
                <w:kern w:val="0"/>
                <w:sz w:val="24"/>
                <w:szCs w:val="24"/>
                <w:highlight w:val="none"/>
                <w:lang w:val="en-US" w:eastAsia="zh-CN" w:bidi="ar-SA"/>
              </w:rPr>
              <w:t>，属于</w:t>
            </w:r>
            <w:r>
              <w:rPr>
                <w:rFonts w:hint="eastAsia" w:cs="Times New Roman"/>
                <w:color w:val="auto"/>
                <w:kern w:val="0"/>
                <w:sz w:val="24"/>
                <w:szCs w:val="24"/>
                <w:highlight w:val="none"/>
                <w:lang w:val="en-US" w:eastAsia="zh-CN" w:bidi="ar-SA"/>
              </w:rPr>
              <w:t>鼓励类</w:t>
            </w:r>
            <w:r>
              <w:rPr>
                <w:rFonts w:hint="eastAsia" w:ascii="Times New Roman" w:hAnsi="Times New Roman" w:eastAsia="宋体" w:cs="Times New Roman"/>
                <w:color w:val="auto"/>
                <w:kern w:val="0"/>
                <w:sz w:val="24"/>
                <w:szCs w:val="24"/>
                <w:highlight w:val="none"/>
                <w:lang w:val="en-US" w:eastAsia="zh-CN" w:bidi="ar-SA"/>
              </w:rPr>
              <w:t>项目，不属于生产类建设项目，通过以上分析，本项目建设符合“牛栏江流域（云南部分）水环境保护规划（2009-2030年）”的相关规定。</w:t>
            </w:r>
          </w:p>
          <w:p w14:paraId="3EFF8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SA"/>
              </w:rPr>
              <w:t>11</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项目与</w:t>
            </w:r>
            <w:r>
              <w:rPr>
                <w:rFonts w:hint="default" w:ascii="Times New Roman" w:hAnsi="Times New Roman" w:eastAsia="宋体" w:cs="Times New Roman"/>
                <w:b/>
                <w:bCs/>
                <w:color w:val="auto"/>
                <w:sz w:val="24"/>
                <w:szCs w:val="24"/>
                <w:highlight w:val="none"/>
                <w:lang w:val="en-US" w:eastAsia="zh-CN"/>
              </w:rPr>
              <w:t>《牛栏江流域（寻甸段）水环境保护规划（2011~2030）》的符合性分析</w:t>
            </w:r>
          </w:p>
          <w:p w14:paraId="3A5EE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《牛栏江流域（寻甸段）水环境保护规划（2011~2030）》规划范围： </w:t>
            </w:r>
          </w:p>
          <w:p w14:paraId="4D4F9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规划范围为牛栏江流域（寻甸段），牛栏江干流在寻甸县境内全长75km，流域面积1339km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，涉及仁德街道办事处、七星镇、河口镇、羊街镇、功山镇5个乡镇（街道办事处）6个社区，56个村委会。项目位于</w:t>
            </w:r>
            <w:r>
              <w:rPr>
                <w:rFonts w:hint="eastAsia" w:ascii="宋体" w:hAnsi="宋体" w:cs="宋体"/>
                <w:color w:val="auto"/>
                <w:kern w:val="0"/>
                <w:sz w:val="24"/>
                <w:szCs w:val="24"/>
                <w:highlight w:val="none"/>
                <w:lang w:val="en-US" w:eastAsia="zh-CN" w:bidi="ar"/>
              </w:rPr>
              <w:t>云南省昆明市寻甸回族彝族自治县</w:t>
            </w:r>
            <w:r>
              <w:rPr>
                <w:rFonts w:hint="eastAsia"/>
                <w:color w:val="auto"/>
                <w:sz w:val="24"/>
                <w:szCs w:val="24"/>
                <w:highlight w:val="none"/>
                <w:shd w:val="clear" w:color="auto" w:fill="auto"/>
                <w:lang w:val="en-US" w:eastAsia="zh-CN"/>
              </w:rPr>
              <w:t>河口镇、功山镇</w:t>
            </w:r>
            <w:r>
              <w:rPr>
                <w:rFonts w:hint="eastAsia" w:ascii="宋体" w:hAnsi="宋体" w:cs="宋体"/>
                <w:color w:val="auto"/>
                <w:kern w:val="0"/>
                <w:sz w:val="24"/>
                <w:szCs w:val="24"/>
                <w:highlight w:val="none"/>
                <w:lang w:val="en-US" w:eastAsia="zh-CN" w:bidi="ar"/>
              </w:rPr>
              <w:t>境内</w:t>
            </w:r>
            <w:r>
              <w:rPr>
                <w:rFonts w:hint="default" w:ascii="Times New Roman" w:hAnsi="Times New Roman" w:eastAsia="宋体" w:cs="Times New Roman"/>
                <w:color w:val="auto"/>
                <w:sz w:val="24"/>
                <w:szCs w:val="24"/>
                <w:highlight w:val="none"/>
                <w:lang w:val="en-US" w:eastAsia="zh-CN"/>
              </w:rPr>
              <w:t xml:space="preserve">，处于规划范围内。 </w:t>
            </w:r>
          </w:p>
          <w:p w14:paraId="5EE7F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牛栏江流域（寻甸段）水环境分区范围涉及规划区干流及主要支流（前进河、羊街河、马龙河、尹武河等）河流径流区。 </w:t>
            </w:r>
          </w:p>
          <w:p w14:paraId="7045D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规划区分为3个保护区：水源保护核心区、重点污染控制区、重点水源涵养区，各分区范围节点如下： </w:t>
            </w:r>
          </w:p>
          <w:p w14:paraId="44BFF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（1）水源保护核心区范围为牛栏江流域（寻甸段）干流1000m范围。 </w:t>
            </w:r>
          </w:p>
          <w:p w14:paraId="08C27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水源保护核心区分为禁止建设区、限制建设区两个区，禁止建设区范围指干流河面水域及沿岸外延200m的区域，限制建设区范围指干流沿岸外200m—1000m之间的区域。 </w:t>
            </w:r>
          </w:p>
          <w:p w14:paraId="5935E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（2）重点污染控制区 </w:t>
            </w:r>
          </w:p>
          <w:p w14:paraId="4A31D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重点污染控制区范围指水体保护核心区外，主要入江支流水域外延3000m的区域和流域范围内的坝区，若区域范围超过一级山脊，按一级山脊线划定。 </w:t>
            </w:r>
          </w:p>
          <w:p w14:paraId="7A5FB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（3）水源涵养区 </w:t>
            </w:r>
          </w:p>
          <w:p w14:paraId="5C50C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重点水源涵养区范围指流域范围内除水源保护核心区、重点污染控制区以外的区域。 </w:t>
            </w:r>
          </w:p>
          <w:p w14:paraId="190E9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本项目位于牛栏江流域（寻甸段）水环境分区中的重点水源涵养区。项目与牛栏江流域（寻甸段）水环境保护分区位置关系见附图</w:t>
            </w:r>
            <w:r>
              <w:rPr>
                <w:rFonts w:hint="eastAsia"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w:t>
            </w:r>
          </w:p>
          <w:p w14:paraId="01C70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根据《牛栏江流域（寻甸段）水环境保护规划（2011~2030）》，其水源涵养区环境保护策略为：</w:t>
            </w:r>
          </w:p>
          <w:p w14:paraId="17CD1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在流域源头区宜林荒山，实施工程技术、退耕还林工程，石漠化地块区域造林，在调水水源涵养林中开展幼林抚育、低产低造林分改造。水源涵养区内针对坡度在 25°以上农耕地要逐步退耕还林，提高森林覆盖率。 </w:t>
            </w:r>
          </w:p>
          <w:p w14:paraId="43852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2）实施小流域综合整治，减少水土流失。 </w:t>
            </w:r>
          </w:p>
          <w:p w14:paraId="52BD7F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根据项目主体设计，项目占地面积约为</w:t>
            </w:r>
            <w:r>
              <w:rPr>
                <w:rFonts w:hint="eastAsia" w:cs="Times New Roman"/>
                <w:color w:val="auto"/>
                <w:sz w:val="24"/>
                <w:szCs w:val="24"/>
                <w:highlight w:val="none"/>
                <w:lang w:val="en-US" w:eastAsia="zh-CN"/>
              </w:rPr>
              <w:t>69.76</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，其中永久占地</w:t>
            </w:r>
            <w:r>
              <w:rPr>
                <w:rFonts w:hint="eastAsia" w:cs="Times New Roman"/>
                <w:color w:val="auto"/>
                <w:sz w:val="24"/>
                <w:szCs w:val="24"/>
                <w:highlight w:val="none"/>
                <w:lang w:val="en-US" w:eastAsia="zh-CN"/>
              </w:rPr>
              <w:t>0.05</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，工程永久占地面积较小，施工结束后临时迹地将得到恢复，永久设施附近将进行一定面积的植被绿化。建设单位已委托编制水土保持方案，建设单位在项目建设期间，将严格落实《</w:t>
            </w:r>
            <w:r>
              <w:rPr>
                <w:rFonts w:hint="eastAsia" w:ascii="Times New Roman" w:hAnsi="Times New Roman" w:eastAsia="宋体" w:cs="Times New Roman"/>
                <w:color w:val="auto"/>
                <w:sz w:val="24"/>
                <w:szCs w:val="24"/>
                <w:highlight w:val="none"/>
                <w:lang w:val="en-US" w:eastAsia="zh-CN"/>
              </w:rPr>
              <w:t>梳山</w:t>
            </w:r>
            <w:r>
              <w:rPr>
                <w:rFonts w:hint="default" w:ascii="Times New Roman" w:hAnsi="Times New Roman" w:eastAsia="宋体" w:cs="Times New Roman"/>
                <w:color w:val="auto"/>
                <w:sz w:val="24"/>
                <w:szCs w:val="24"/>
                <w:highlight w:val="none"/>
                <w:lang w:val="en-US" w:eastAsia="zh-CN"/>
              </w:rPr>
              <w:t xml:space="preserve">光伏发电项目水土保持方案报告书》提出的各项工程措施、植物恢复措施。 </w:t>
            </w:r>
          </w:p>
          <w:p w14:paraId="00D4E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在严格落实水土保持方案提出的水土流失防治措施情况</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：项目区域水土流失治理度可达到</w:t>
            </w:r>
            <w:r>
              <w:rPr>
                <w:rFonts w:hint="eastAsia" w:cs="Times New Roman"/>
                <w:color w:val="auto"/>
                <w:sz w:val="24"/>
                <w:szCs w:val="24"/>
                <w:highlight w:val="none"/>
                <w:lang w:val="en-US" w:eastAsia="zh-CN"/>
              </w:rPr>
              <w:t>99.00</w:t>
            </w:r>
            <w:r>
              <w:rPr>
                <w:rFonts w:hint="default" w:ascii="Times New Roman" w:hAnsi="Times New Roman" w:eastAsia="宋体" w:cs="Times New Roman"/>
                <w:color w:val="auto"/>
                <w:sz w:val="24"/>
                <w:szCs w:val="24"/>
                <w:highlight w:val="none"/>
                <w:lang w:val="en-US" w:eastAsia="zh-CN"/>
              </w:rPr>
              <w:t>%、土壤流失控制比可达到</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en-US" w:eastAsia="zh-CN"/>
              </w:rPr>
              <w:t>、渣土防护率可达到</w:t>
            </w:r>
            <w:r>
              <w:rPr>
                <w:rFonts w:hint="eastAsia" w:cs="Times New Roman"/>
                <w:color w:val="auto"/>
                <w:sz w:val="24"/>
                <w:szCs w:val="24"/>
                <w:highlight w:val="none"/>
                <w:lang w:val="en-US" w:eastAsia="zh-CN"/>
              </w:rPr>
              <w:t>99.00</w:t>
            </w:r>
            <w:r>
              <w:rPr>
                <w:rFonts w:hint="default" w:ascii="Times New Roman" w:hAnsi="Times New Roman" w:eastAsia="宋体" w:cs="Times New Roman"/>
                <w:color w:val="auto"/>
                <w:sz w:val="24"/>
                <w:szCs w:val="24"/>
                <w:highlight w:val="none"/>
                <w:lang w:val="en-US" w:eastAsia="zh-CN"/>
              </w:rPr>
              <w:t>%、表土保护率可达到99.</w:t>
            </w:r>
            <w:r>
              <w:rPr>
                <w:rFonts w:hint="eastAsia"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lang w:val="en-US" w:eastAsia="zh-CN"/>
              </w:rPr>
              <w:t>%、林草植被恢复率可达到</w:t>
            </w:r>
            <w:r>
              <w:rPr>
                <w:rFonts w:hint="eastAsia" w:cs="Times New Roman"/>
                <w:color w:val="auto"/>
                <w:sz w:val="24"/>
                <w:szCs w:val="24"/>
                <w:highlight w:val="none"/>
                <w:lang w:val="en-US" w:eastAsia="zh-CN"/>
              </w:rPr>
              <w:t>99.00</w:t>
            </w:r>
            <w:r>
              <w:rPr>
                <w:rFonts w:hint="default" w:ascii="Times New Roman" w:hAnsi="Times New Roman" w:eastAsia="宋体" w:cs="Times New Roman"/>
                <w:color w:val="auto"/>
                <w:sz w:val="24"/>
                <w:szCs w:val="24"/>
                <w:highlight w:val="none"/>
                <w:lang w:val="en-US" w:eastAsia="zh-CN"/>
              </w:rPr>
              <w:t>%、林草覆盖率可达到</w:t>
            </w:r>
            <w:r>
              <w:rPr>
                <w:rFonts w:hint="eastAsia" w:cs="Times New Roman"/>
                <w:color w:val="auto"/>
                <w:sz w:val="24"/>
                <w:szCs w:val="24"/>
                <w:highlight w:val="none"/>
                <w:lang w:val="en-US" w:eastAsia="zh-CN"/>
              </w:rPr>
              <w:t>61.63</w:t>
            </w:r>
            <w:r>
              <w:rPr>
                <w:rFonts w:hint="default" w:ascii="Times New Roman" w:hAnsi="Times New Roman" w:eastAsia="宋体" w:cs="Times New Roman"/>
                <w:color w:val="auto"/>
                <w:sz w:val="24"/>
                <w:szCs w:val="24"/>
                <w:highlight w:val="none"/>
                <w:lang w:val="en-US" w:eastAsia="zh-CN"/>
              </w:rPr>
              <w:t>%。</w:t>
            </w:r>
          </w:p>
          <w:p w14:paraId="3EFA8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因此，项目的建设符合《牛栏江流域（寻甸段）水环境保护规划 （2011~2030）》环境保护策略要求。 </w:t>
            </w:r>
          </w:p>
          <w:p w14:paraId="5D38344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b/>
                <w:bCs/>
                <w:color w:val="auto"/>
                <w:kern w:val="0"/>
                <w:sz w:val="24"/>
                <w:highlight w:val="none"/>
                <w:lang w:val="en-US" w:eastAsia="zh-CN"/>
              </w:rPr>
            </w:pPr>
            <w:r>
              <w:rPr>
                <w:rFonts w:hint="eastAsia"/>
                <w:b/>
                <w:bCs/>
                <w:color w:val="auto"/>
                <w:kern w:val="0"/>
                <w:sz w:val="24"/>
                <w:highlight w:val="none"/>
                <w:lang w:val="en-US" w:eastAsia="zh-CN"/>
              </w:rPr>
              <w:t>12</w:t>
            </w:r>
            <w:r>
              <w:rPr>
                <w:rFonts w:hint="eastAsia"/>
                <w:b/>
                <w:bCs/>
                <w:color w:val="auto"/>
                <w:kern w:val="0"/>
                <w:sz w:val="24"/>
                <w:highlight w:val="none"/>
              </w:rPr>
              <w:t>、</w:t>
            </w:r>
            <w:r>
              <w:rPr>
                <w:rFonts w:hint="eastAsia"/>
                <w:b/>
                <w:bCs/>
                <w:color w:val="auto"/>
                <w:kern w:val="0"/>
                <w:sz w:val="24"/>
                <w:highlight w:val="none"/>
                <w:lang w:val="en-US" w:eastAsia="zh-CN"/>
              </w:rPr>
              <w:t>与《自然资源部办公厅 国家林业和草原局办公室 国家能源局综合司关于支持光伏发电产业发展规范用地管理有关工作的通知》（自然资办发〔2023〕12号）的符合性分析</w:t>
            </w:r>
          </w:p>
          <w:p w14:paraId="085BEFE2">
            <w:pPr>
              <w:pStyle w:val="27"/>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sz w:val="24"/>
                <w:highlight w:val="none"/>
                <w:shd w:val="clear" w:color="auto" w:fill="auto"/>
              </w:rPr>
            </w:pP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为贯彻落实《国务院关于印发扎实稳住经济一揽子政策措施的通知》（国发〔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号）要求，进一步支持绿色能源发展，加快大型光伏基地建设，规范项目用地管理，自然资源部办公厅、国家林业和草原局办公室、国家能源局综合司联合发布《自然资源部办公厅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号），项目与其的符合性分析如下：</w:t>
            </w:r>
          </w:p>
          <w:p w14:paraId="2F073271">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highlight w:val="none"/>
                <w:lang w:val="en-US" w:eastAsia="zh-CN"/>
              </w:rPr>
            </w:pPr>
            <w:r>
              <w:rPr>
                <w:rFonts w:hint="eastAsia"/>
                <w:b/>
                <w:bCs/>
                <w:color w:val="auto"/>
                <w:highlight w:val="none"/>
                <w:lang w:val="en-US" w:eastAsia="zh-CN"/>
              </w:rPr>
              <w:t>表1-11  项目与自然资办发〔2023〕12号符合性分析</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3017"/>
              <w:gridCol w:w="2828"/>
              <w:gridCol w:w="782"/>
            </w:tblGrid>
            <w:tr w14:paraId="0221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pct"/>
                  <w:gridSpan w:val="2"/>
                  <w:vAlign w:val="center"/>
                </w:tcPr>
                <w:p w14:paraId="264B281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管控要求</w:t>
                  </w:r>
                </w:p>
              </w:tc>
              <w:tc>
                <w:tcPr>
                  <w:tcW w:w="1942" w:type="pct"/>
                  <w:vAlign w:val="center"/>
                </w:tcPr>
                <w:p w14:paraId="3E843AA9">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项目实际</w:t>
                  </w:r>
                </w:p>
              </w:tc>
              <w:tc>
                <w:tcPr>
                  <w:tcW w:w="537" w:type="pct"/>
                  <w:vAlign w:val="center"/>
                </w:tcPr>
                <w:p w14:paraId="092E192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符合性</w:t>
                  </w:r>
                </w:p>
              </w:tc>
            </w:tr>
            <w:tr w14:paraId="5559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Align w:val="center"/>
                </w:tcPr>
                <w:p w14:paraId="03C16BD0">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引导项目合理布局</w:t>
                  </w:r>
                </w:p>
              </w:tc>
              <w:tc>
                <w:tcPr>
                  <w:tcW w:w="2072" w:type="pct"/>
                  <w:vAlign w:val="center"/>
                </w:tcPr>
                <w:p w14:paraId="5283D213">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color w:val="auto"/>
                      <w:kern w:val="0"/>
                      <w:sz w:val="21"/>
                      <w:szCs w:val="21"/>
                      <w:highlight w:val="none"/>
                    </w:rPr>
                    <w:t>鼓励利用未利用地和存量建设用地发展光伏发电产业。在严格保护生态前提下，鼓励在沙漠、戈壁、荒漠等区域选址建设大型光伏基地；对于油田、气田以及难以复垦或修复的采煤沉陷区，推进其中的非耕地区域规划建设光伏基地。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tc>
              <w:tc>
                <w:tcPr>
                  <w:tcW w:w="1942" w:type="pct"/>
                  <w:vAlign w:val="center"/>
                </w:tcPr>
                <w:p w14:paraId="7D1FEC9C">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根据各部门的查询意见及叠图分析，项目选址已避让耕地、生态保护红线、文物保护单位、特殊自然景观价值和文化标识区域、天然</w:t>
                  </w:r>
                  <w:r>
                    <w:rPr>
                      <w:rFonts w:hint="eastAsia" w:cs="Times New Roman"/>
                      <w:color w:val="auto"/>
                      <w:kern w:val="0"/>
                      <w:sz w:val="21"/>
                      <w:szCs w:val="21"/>
                      <w:highlight w:val="none"/>
                      <w:lang w:val="en-US" w:eastAsia="zh-CN"/>
                    </w:rPr>
                    <w:t>保护</w:t>
                  </w:r>
                  <w:r>
                    <w:rPr>
                      <w:rFonts w:hint="default" w:ascii="Times New Roman" w:hAnsi="Times New Roman" w:cs="Times New Roman"/>
                      <w:color w:val="auto"/>
                      <w:kern w:val="0"/>
                      <w:sz w:val="21"/>
                      <w:szCs w:val="21"/>
                      <w:highlight w:val="none"/>
                      <w:lang w:val="en-US" w:eastAsia="zh-CN"/>
                    </w:rPr>
                    <w:t>林地</w:t>
                  </w:r>
                  <w:r>
                    <w:rPr>
                      <w:rFonts w:hint="eastAsia" w:cs="Times New Roman"/>
                      <w:color w:val="auto"/>
                      <w:kern w:val="0"/>
                      <w:sz w:val="21"/>
                      <w:szCs w:val="21"/>
                      <w:highlight w:val="none"/>
                      <w:lang w:val="en-US" w:eastAsia="zh-CN"/>
                    </w:rPr>
                    <w:t>，不占用</w:t>
                  </w:r>
                  <w:r>
                    <w:rPr>
                      <w:rFonts w:hint="default" w:ascii="Times New Roman" w:hAnsi="Times New Roman" w:cs="Times New Roman"/>
                      <w:color w:val="auto"/>
                      <w:kern w:val="0"/>
                      <w:sz w:val="21"/>
                      <w:szCs w:val="21"/>
                      <w:highlight w:val="none"/>
                      <w:lang w:val="en-US" w:eastAsia="zh-CN"/>
                    </w:rPr>
                    <w:t>国家沙化土地封禁保护区、自然保护地、永久基本农田、基本草原、Ⅰ级保护林地。</w:t>
                  </w:r>
                </w:p>
              </w:tc>
              <w:tc>
                <w:tcPr>
                  <w:tcW w:w="537" w:type="pct"/>
                  <w:vAlign w:val="center"/>
                </w:tcPr>
                <w:p w14:paraId="5F53747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0DA4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vAlign w:val="center"/>
                </w:tcPr>
                <w:p w14:paraId="0154F3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光伏发电项目用地实行分类管理</w:t>
                  </w:r>
                </w:p>
              </w:tc>
              <w:tc>
                <w:tcPr>
                  <w:tcW w:w="2072" w:type="pct"/>
                  <w:vAlign w:val="center"/>
                </w:tcPr>
                <w:p w14:paraId="1F2EFA5E">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（一）光伏方阵用地不得占用耕地，占用其他农用地的，应根据实际</w:t>
                  </w:r>
                  <w:r>
                    <w:rPr>
                      <w:rFonts w:hint="eastAsia" w:cs="Times New Roman"/>
                      <w:color w:val="auto"/>
                      <w:kern w:val="0"/>
                      <w:sz w:val="21"/>
                      <w:szCs w:val="21"/>
                      <w:highlight w:val="none"/>
                      <w:lang w:eastAsia="zh-CN"/>
                    </w:rPr>
                    <w:t>合</w:t>
                  </w:r>
                  <w:r>
                    <w:rPr>
                      <w:rFonts w:hint="default" w:ascii="Times New Roman" w:hAnsi="Times New Roman" w:cs="Times New Roman"/>
                      <w:color w:val="auto"/>
                      <w:kern w:val="0"/>
                      <w:sz w:val="21"/>
                      <w:szCs w:val="21"/>
                      <w:highlight w:val="none"/>
                    </w:rPr>
                    <w:t>理控制，节约集约用地，</w:t>
                  </w:r>
                  <w:r>
                    <w:rPr>
                      <w:rFonts w:hint="eastAsia" w:cs="Times New Roman"/>
                      <w:color w:val="auto"/>
                      <w:kern w:val="0"/>
                      <w:sz w:val="21"/>
                      <w:szCs w:val="21"/>
                      <w:highlight w:val="none"/>
                      <w:lang w:eastAsia="zh-CN"/>
                    </w:rPr>
                    <w:t>尽力</w:t>
                  </w:r>
                  <w:r>
                    <w:rPr>
                      <w:rFonts w:hint="default" w:ascii="Times New Roman" w:hAnsi="Times New Roman" w:cs="Times New Roman"/>
                      <w:color w:val="auto"/>
                      <w:kern w:val="0"/>
                      <w:sz w:val="21"/>
                      <w:szCs w:val="21"/>
                      <w:highlight w:val="none"/>
                    </w:rPr>
                    <w:t>避免对生态和农业生产造成影响。光伏方阵用地涉及使用林地的，须采用</w:t>
                  </w:r>
                  <w:r>
                    <w:rPr>
                      <w:rFonts w:hint="eastAsia" w:cs="Times New Roman"/>
                      <w:color w:val="auto"/>
                      <w:kern w:val="0"/>
                      <w:sz w:val="21"/>
                      <w:szCs w:val="21"/>
                      <w:highlight w:val="none"/>
                      <w:lang w:eastAsia="zh-CN"/>
                    </w:rPr>
                    <w:t>林光互补</w:t>
                  </w:r>
                  <w:r>
                    <w:rPr>
                      <w:rFonts w:hint="default" w:ascii="Times New Roman" w:hAnsi="Times New Roman" w:cs="Times New Roman"/>
                      <w:color w:val="auto"/>
                      <w:kern w:val="0"/>
                      <w:sz w:val="21"/>
                      <w:szCs w:val="21"/>
                      <w:highlight w:val="none"/>
                    </w:rPr>
                    <w:t>模式，可使用年降水量400毫米以下区域的灌木林地以及其他区域覆盖度低于50%的灌木林地，不得采伐林木、割灌及破坏原有植被，不得将乔木林地、竹林地等采伐改造为灌木林地后架设光伏板；光伏支架最低点应高于灌木高度1米以上，每列光伏板南北方向应合理设置净间距，具体由各地结合实地确定，并采取有效水土保持措施，确保灌木覆盖度等生长状态不低于</w:t>
                  </w:r>
                  <w:r>
                    <w:rPr>
                      <w:rFonts w:hint="eastAsia" w:cs="Times New Roman"/>
                      <w:color w:val="auto"/>
                      <w:kern w:val="0"/>
                      <w:sz w:val="21"/>
                      <w:szCs w:val="21"/>
                      <w:highlight w:val="none"/>
                      <w:lang w:eastAsia="zh-CN"/>
                    </w:rPr>
                    <w:t>林光互补</w:t>
                  </w:r>
                  <w:r>
                    <w:rPr>
                      <w:rFonts w:hint="default" w:ascii="Times New Roman" w:hAnsi="Times New Roman" w:cs="Times New Roman"/>
                      <w:color w:val="auto"/>
                      <w:kern w:val="0"/>
                      <w:sz w:val="21"/>
                      <w:szCs w:val="21"/>
                      <w:highlight w:val="none"/>
                    </w:rPr>
                    <w:t>前水平。光伏方阵按规定使用灌木林地的，施工期间应办理临时使用林地手续，运营期间相关方签订协议，项目服务期满后应当恢复林地原状。</w:t>
                  </w:r>
                </w:p>
                <w:p w14:paraId="77586D5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光伏方阵用地不得改变地表形态，以第三次全国国土调查及后续开展的年度国土变更调查成果为底版，依法依规进行管理。实行用地备案，不需按非农建设用地审批。</w:t>
                  </w:r>
                </w:p>
              </w:tc>
              <w:tc>
                <w:tcPr>
                  <w:tcW w:w="1942" w:type="pct"/>
                  <w:vAlign w:val="center"/>
                </w:tcPr>
                <w:p w14:paraId="5CEC2A0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占地类型主要为</w:t>
                  </w:r>
                  <w:r>
                    <w:rPr>
                      <w:rFonts w:hint="eastAsia" w:ascii="宋体" w:hAnsi="宋体" w:cs="宋体"/>
                      <w:color w:val="auto"/>
                      <w:kern w:val="0"/>
                      <w:sz w:val="21"/>
                      <w:szCs w:val="21"/>
                      <w:highlight w:val="none"/>
                      <w:lang w:val="en-US" w:eastAsia="zh-CN" w:bidi="ar"/>
                    </w:rPr>
                    <w:t>其他</w:t>
                  </w:r>
                  <w:r>
                    <w:rPr>
                      <w:rFonts w:hint="default"/>
                      <w:color w:val="auto"/>
                      <w:highlight w:val="none"/>
                    </w:rPr>
                    <w:t>草地</w:t>
                  </w:r>
                  <w:r>
                    <w:rPr>
                      <w:rFonts w:hint="eastAsia"/>
                      <w:color w:val="auto"/>
                      <w:highlight w:val="none"/>
                      <w:lang w:eastAsia="zh-CN"/>
                    </w:rPr>
                    <w:t>（</w:t>
                  </w:r>
                  <w:r>
                    <w:rPr>
                      <w:rFonts w:hint="eastAsia"/>
                      <w:color w:val="auto"/>
                      <w:highlight w:val="none"/>
                      <w:lang w:val="en-US" w:eastAsia="zh-CN"/>
                    </w:rPr>
                    <w:t>荒草地</w:t>
                  </w:r>
                  <w:r>
                    <w:rPr>
                      <w:rFonts w:hint="eastAsia"/>
                      <w:color w:val="auto"/>
                      <w:highlight w:val="none"/>
                      <w:lang w:eastAsia="zh-CN"/>
                    </w:rPr>
                    <w:t>）</w:t>
                  </w:r>
                  <w:r>
                    <w:rPr>
                      <w:rFonts w:hint="default"/>
                      <w:color w:val="auto"/>
                      <w:highlight w:val="none"/>
                    </w:rPr>
                    <w:t>、林地</w:t>
                  </w:r>
                  <w:r>
                    <w:rPr>
                      <w:rFonts w:hint="eastAsia"/>
                      <w:color w:val="auto"/>
                      <w:highlight w:val="none"/>
                      <w:lang w:eastAsia="zh-CN"/>
                    </w:rPr>
                    <w:t>（</w:t>
                  </w:r>
                  <w:r>
                    <w:rPr>
                      <w:rFonts w:hint="eastAsia"/>
                      <w:color w:val="auto"/>
                      <w:highlight w:val="none"/>
                      <w:lang w:val="en-US" w:eastAsia="zh-CN"/>
                    </w:rPr>
                    <w:t>灌木林地、其他林地</w:t>
                  </w:r>
                  <w:r>
                    <w:rPr>
                      <w:rFonts w:hint="eastAsia"/>
                      <w:color w:val="auto"/>
                      <w:highlight w:val="none"/>
                      <w:lang w:eastAsia="zh-CN"/>
                    </w:rPr>
                    <w:t>）</w:t>
                  </w:r>
                  <w:r>
                    <w:rPr>
                      <w:rFonts w:hint="eastAsia"/>
                      <w:color w:val="auto"/>
                      <w:highlight w:val="none"/>
                      <w:lang w:val="en-US" w:eastAsia="zh-CN"/>
                    </w:rPr>
                    <w:t>和</w:t>
                  </w:r>
                  <w:r>
                    <w:rPr>
                      <w:rFonts w:hint="default"/>
                      <w:color w:val="auto"/>
                      <w:highlight w:val="none"/>
                    </w:rPr>
                    <w:t>交通运输用地</w:t>
                  </w:r>
                  <w:r>
                    <w:rPr>
                      <w:rFonts w:hint="eastAsia"/>
                      <w:color w:val="auto"/>
                      <w:highlight w:val="none"/>
                      <w:lang w:eastAsia="zh-CN"/>
                    </w:rPr>
                    <w:t>、裸土地。</w:t>
                  </w:r>
                </w:p>
                <w:p w14:paraId="2A42AC4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spacing w:val="0"/>
                      <w:kern w:val="0"/>
                      <w:sz w:val="21"/>
                      <w:szCs w:val="21"/>
                      <w:highlight w:val="none"/>
                      <w:lang w:val="en-US" w:eastAsia="zh-CN" w:bidi="ar"/>
                    </w:rPr>
                    <w:t>2.</w:t>
                  </w:r>
                  <w:r>
                    <w:rPr>
                      <w:rFonts w:hint="eastAsia" w:cs="Times New Roman"/>
                      <w:color w:val="auto"/>
                      <w:spacing w:val="0"/>
                      <w:kern w:val="0"/>
                      <w:sz w:val="21"/>
                      <w:szCs w:val="21"/>
                      <w:highlight w:val="none"/>
                      <w:lang w:val="en-US" w:eastAsia="zh-CN" w:bidi="ar"/>
                    </w:rPr>
                    <w:t>根据《国投寻甸梳山光伏发电项目总体设计报告》</w:t>
                  </w:r>
                  <w:r>
                    <w:rPr>
                      <w:rFonts w:hint="eastAsia" w:ascii="宋体" w:hAnsi="宋体" w:eastAsia="宋体" w:cs="宋体"/>
                      <w:color w:val="auto"/>
                      <w:kern w:val="0"/>
                      <w:sz w:val="21"/>
                      <w:szCs w:val="21"/>
                      <w:lang w:val="en-US" w:eastAsia="zh-CN" w:bidi="ar"/>
                    </w:rPr>
                    <w:t>。</w:t>
                  </w:r>
                </w:p>
                <w:p w14:paraId="3D784B54">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bidi="ar"/>
                    </w:rPr>
                    <w:t>根</w:t>
                  </w:r>
                  <w:r>
                    <w:rPr>
                      <w:rFonts w:hint="default" w:ascii="Times New Roman" w:hAnsi="Times New Roman" w:eastAsia="宋体" w:cs="Times New Roman"/>
                      <w:color w:val="auto"/>
                      <w:kern w:val="0"/>
                      <w:sz w:val="21"/>
                      <w:szCs w:val="21"/>
                      <w:lang w:val="en-US" w:eastAsia="zh-CN" w:bidi="ar"/>
                    </w:rPr>
                    <w:t>据项目使用林地可行性报告，本工程建设涉及占用林地情况为灌木林地、其他林地，保护等级Ⅱ~Ⅳ级，盖度小于50%</w:t>
                  </w:r>
                  <w:r>
                    <w:rPr>
                      <w:rFonts w:hint="eastAsia" w:cs="Times New Roman"/>
                      <w:color w:val="auto"/>
                      <w:spacing w:val="0"/>
                      <w:kern w:val="0"/>
                      <w:sz w:val="21"/>
                      <w:szCs w:val="21"/>
                      <w:lang w:val="en-US" w:eastAsia="zh-CN" w:bidi="ar"/>
                    </w:rPr>
                    <w:t>，不占用竹林地，</w:t>
                  </w:r>
                  <w:r>
                    <w:rPr>
                      <w:rFonts w:hint="eastAsia" w:ascii="Times New Roman" w:hAnsi="Times New Roman" w:cs="Times New Roman"/>
                      <w:color w:val="auto"/>
                      <w:kern w:val="0"/>
                      <w:sz w:val="21"/>
                      <w:szCs w:val="21"/>
                      <w:highlight w:val="none"/>
                      <w:lang w:val="en-US" w:eastAsia="zh-CN"/>
                    </w:rPr>
                    <w:t>施工不会采伐林木、割灌及破坏原有植被，不会将乔木林地、竹林地等采伐改造为灌木林地后架设光伏板，与要求不冲突。</w:t>
                  </w:r>
                </w:p>
                <w:p w14:paraId="0CE32BF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4</w:t>
                  </w:r>
                  <w:r>
                    <w:rPr>
                      <w:rFonts w:hint="default" w:ascii="Times New Roman" w:hAnsi="Times New Roman"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项目</w:t>
                  </w:r>
                  <w:r>
                    <w:rPr>
                      <w:rFonts w:hint="eastAsia"/>
                      <w:color w:val="auto"/>
                      <w:spacing w:val="0"/>
                      <w:sz w:val="21"/>
                      <w:szCs w:val="21"/>
                      <w:highlight w:val="none"/>
                      <w:shd w:val="clear" w:color="auto" w:fill="auto"/>
                    </w:rPr>
                    <w:t>光伏组件按最低离地2.5m、桩基间列间距大于4m、行间距大于6.5m</w:t>
                  </w:r>
                  <w:r>
                    <w:rPr>
                      <w:rFonts w:hint="eastAsia"/>
                      <w:color w:val="auto"/>
                      <w:spacing w:val="0"/>
                      <w:sz w:val="21"/>
                      <w:szCs w:val="21"/>
                      <w:highlight w:val="none"/>
                      <w:shd w:val="clear" w:color="auto" w:fill="auto"/>
                      <w:lang w:eastAsia="zh-CN"/>
                    </w:rPr>
                    <w:t>，</w:t>
                  </w:r>
                  <w:r>
                    <w:rPr>
                      <w:rFonts w:hint="eastAsia"/>
                      <w:color w:val="auto"/>
                      <w:spacing w:val="0"/>
                      <w:sz w:val="21"/>
                      <w:szCs w:val="21"/>
                      <w:highlight w:val="none"/>
                      <w:shd w:val="clear" w:color="auto" w:fill="auto"/>
                      <w:lang w:val="en-US" w:eastAsia="zh-CN"/>
                    </w:rPr>
                    <w:t>且</w:t>
                  </w:r>
                  <w:r>
                    <w:rPr>
                      <w:rFonts w:hint="default"/>
                      <w:color w:val="auto"/>
                      <w:spacing w:val="0"/>
                      <w:sz w:val="21"/>
                      <w:szCs w:val="21"/>
                      <w:highlight w:val="none"/>
                      <w:shd w:val="clear" w:color="auto" w:fill="auto"/>
                    </w:rPr>
                    <w:t>光伏支架最低点应高于灌木高度1米以上，每列光伏板南北方向应合理设置净间距，具体由各地结合实地确定，并采取有效水土保持措施，确保灌木覆盖度等生长状态不低于</w:t>
                  </w:r>
                  <w:r>
                    <w:rPr>
                      <w:rFonts w:hint="eastAsia"/>
                      <w:color w:val="auto"/>
                      <w:spacing w:val="0"/>
                      <w:sz w:val="21"/>
                      <w:szCs w:val="21"/>
                      <w:highlight w:val="none"/>
                      <w:shd w:val="clear" w:color="auto" w:fill="auto"/>
                      <w:lang w:eastAsia="zh-CN"/>
                    </w:rPr>
                    <w:t>林光互补</w:t>
                  </w:r>
                  <w:r>
                    <w:rPr>
                      <w:rFonts w:hint="default"/>
                      <w:color w:val="auto"/>
                      <w:spacing w:val="0"/>
                      <w:sz w:val="21"/>
                      <w:szCs w:val="21"/>
                      <w:highlight w:val="none"/>
                      <w:shd w:val="clear" w:color="auto" w:fill="auto"/>
                    </w:rPr>
                    <w:t>前水平</w:t>
                  </w:r>
                  <w:r>
                    <w:rPr>
                      <w:rFonts w:hint="eastAsia"/>
                      <w:color w:val="auto"/>
                      <w:spacing w:val="0"/>
                      <w:sz w:val="21"/>
                      <w:szCs w:val="21"/>
                      <w:highlight w:val="none"/>
                      <w:shd w:val="clear" w:color="auto" w:fill="auto"/>
                      <w:lang w:eastAsia="zh-CN"/>
                    </w:rPr>
                    <w:t>。</w:t>
                  </w:r>
                </w:p>
                <w:p w14:paraId="077149D0">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.本项目</w:t>
                  </w:r>
                  <w:r>
                    <w:rPr>
                      <w:rFonts w:hint="eastAsia" w:ascii="Times New Roman" w:hAnsi="Times New Roman" w:cs="Times New Roman"/>
                      <w:color w:val="auto"/>
                      <w:kern w:val="0"/>
                      <w:sz w:val="21"/>
                      <w:szCs w:val="21"/>
                      <w:highlight w:val="none"/>
                      <w:lang w:val="en-US" w:eastAsia="zh-CN"/>
                    </w:rPr>
                    <w:t>正在</w:t>
                  </w:r>
                  <w:r>
                    <w:rPr>
                      <w:rFonts w:hint="default" w:ascii="Times New Roman" w:hAnsi="Times New Roman" w:cs="Times New Roman"/>
                      <w:color w:val="auto"/>
                      <w:kern w:val="0"/>
                      <w:sz w:val="21"/>
                      <w:szCs w:val="21"/>
                      <w:highlight w:val="none"/>
                      <w:lang w:val="en-US" w:eastAsia="zh-CN"/>
                    </w:rPr>
                    <w:t>编制水土保持方案报告书，</w:t>
                  </w:r>
                  <w:r>
                    <w:rPr>
                      <w:rFonts w:hint="default" w:ascii="Times New Roman" w:hAnsi="Times New Roman" w:cs="Times New Roman"/>
                      <w:color w:val="auto"/>
                      <w:kern w:val="0"/>
                      <w:sz w:val="21"/>
                      <w:szCs w:val="21"/>
                      <w:highlight w:val="none"/>
                    </w:rPr>
                    <w:t>并采取有效水土保持措施，确保灌木覆盖度等生长状态不低于</w:t>
                  </w:r>
                  <w:r>
                    <w:rPr>
                      <w:rFonts w:hint="eastAsia" w:cs="Times New Roman"/>
                      <w:color w:val="auto"/>
                      <w:kern w:val="0"/>
                      <w:sz w:val="21"/>
                      <w:szCs w:val="21"/>
                      <w:highlight w:val="none"/>
                      <w:lang w:eastAsia="zh-CN"/>
                    </w:rPr>
                    <w:t>林光互补</w:t>
                  </w:r>
                  <w:r>
                    <w:rPr>
                      <w:rFonts w:hint="default" w:ascii="Times New Roman" w:hAnsi="Times New Roman" w:cs="Times New Roman"/>
                      <w:color w:val="auto"/>
                      <w:kern w:val="0"/>
                      <w:sz w:val="21"/>
                      <w:szCs w:val="21"/>
                      <w:highlight w:val="none"/>
                    </w:rPr>
                    <w:t>前水平</w:t>
                  </w:r>
                  <w:r>
                    <w:rPr>
                      <w:rFonts w:hint="eastAsia" w:ascii="Times New Roman" w:hAnsi="Times New Roman" w:cs="Times New Roman"/>
                      <w:color w:val="auto"/>
                      <w:kern w:val="0"/>
                      <w:sz w:val="21"/>
                      <w:szCs w:val="21"/>
                      <w:highlight w:val="none"/>
                      <w:lang w:eastAsia="zh-CN"/>
                    </w:rPr>
                    <w:t>。</w:t>
                  </w:r>
                </w:p>
                <w:p w14:paraId="7483EDEB">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lang w:val="en-US" w:eastAsia="zh-CN"/>
                    </w:rPr>
                    <w:t>.</w:t>
                  </w:r>
                  <w:r>
                    <w:rPr>
                      <w:rFonts w:hint="eastAsia"/>
                      <w:bCs/>
                      <w:color w:val="auto"/>
                      <w:kern w:val="0"/>
                      <w:sz w:val="21"/>
                      <w:szCs w:val="21"/>
                      <w:highlight w:val="none"/>
                    </w:rPr>
                    <w:t>现阶段为项目施工阶段，</w:t>
                  </w:r>
                  <w:r>
                    <w:rPr>
                      <w:rFonts w:hint="eastAsia"/>
                      <w:bCs/>
                      <w:color w:val="auto"/>
                      <w:kern w:val="0"/>
                      <w:sz w:val="21"/>
                      <w:szCs w:val="21"/>
                      <w:highlight w:val="none"/>
                      <w:lang w:val="en-US" w:eastAsia="zh-CN"/>
                    </w:rPr>
                    <w:t>建设单位已</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严格根据相关用地法律、法规要求按照程序办理用地使用手续</w:t>
                  </w:r>
                  <w:r>
                    <w:rPr>
                      <w:rFonts w:hint="eastAsia" w:eastAsia="宋体"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运营期间相关方签订协议，项目服务期满后应当恢复林地原状。</w:t>
                  </w:r>
                </w:p>
                <w:p w14:paraId="42C4F79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eastAsia" w:cs="Times New Roman"/>
                      <w:color w:val="auto"/>
                      <w:kern w:val="0"/>
                      <w:sz w:val="21"/>
                      <w:szCs w:val="21"/>
                      <w:highlight w:val="none"/>
                      <w:lang w:val="en-US" w:eastAsia="zh-CN"/>
                    </w:rPr>
                    <w:t>7.</w:t>
                  </w:r>
                  <w:r>
                    <w:rPr>
                      <w:rFonts w:hint="eastAsia"/>
                      <w:bCs/>
                      <w:color w:val="auto"/>
                      <w:spacing w:val="0"/>
                      <w:kern w:val="0"/>
                      <w:szCs w:val="21"/>
                      <w:highlight w:val="none"/>
                      <w:shd w:val="clear" w:color="auto" w:fill="auto"/>
                    </w:rPr>
                    <w:t>项</w:t>
                  </w:r>
                  <w:r>
                    <w:rPr>
                      <w:rFonts w:hint="default"/>
                      <w:bCs/>
                      <w:color w:val="auto"/>
                      <w:spacing w:val="0"/>
                      <w:kern w:val="0"/>
                      <w:szCs w:val="21"/>
                      <w:highlight w:val="none"/>
                      <w:shd w:val="clear" w:color="auto" w:fill="auto"/>
                    </w:rPr>
                    <w:t>目运营过程中将在光伏板下保护原</w:t>
                  </w:r>
                  <w:r>
                    <w:rPr>
                      <w:rFonts w:hint="eastAsia"/>
                      <w:bCs/>
                      <w:color w:val="auto"/>
                      <w:spacing w:val="0"/>
                      <w:kern w:val="0"/>
                      <w:szCs w:val="21"/>
                      <w:highlight w:val="none"/>
                      <w:shd w:val="clear" w:color="auto" w:fill="auto"/>
                    </w:rPr>
                    <w:t>有</w:t>
                  </w:r>
                  <w:r>
                    <w:rPr>
                      <w:rFonts w:hint="default"/>
                      <w:bCs/>
                      <w:color w:val="auto"/>
                      <w:spacing w:val="0"/>
                      <w:kern w:val="0"/>
                      <w:szCs w:val="21"/>
                      <w:highlight w:val="none"/>
                      <w:shd w:val="clear" w:color="auto" w:fill="auto"/>
                    </w:rPr>
                    <w:t>用地</w:t>
                  </w:r>
                  <w:r>
                    <w:rPr>
                      <w:rFonts w:hint="eastAsia"/>
                      <w:bCs/>
                      <w:color w:val="auto"/>
                      <w:spacing w:val="0"/>
                      <w:kern w:val="0"/>
                      <w:szCs w:val="21"/>
                      <w:highlight w:val="none"/>
                      <w:shd w:val="clear" w:color="auto" w:fill="auto"/>
                      <w:lang w:val="en-US" w:eastAsia="zh-CN"/>
                    </w:rPr>
                    <w:t>类型</w:t>
                  </w:r>
                  <w:r>
                    <w:rPr>
                      <w:rFonts w:hint="eastAsia"/>
                      <w:bCs/>
                      <w:color w:val="auto"/>
                      <w:spacing w:val="0"/>
                      <w:kern w:val="0"/>
                      <w:szCs w:val="21"/>
                      <w:highlight w:val="none"/>
                      <w:shd w:val="clear" w:color="auto" w:fill="auto"/>
                    </w:rPr>
                    <w:t>，保证</w:t>
                  </w:r>
                  <w:r>
                    <w:rPr>
                      <w:rFonts w:hint="default"/>
                      <w:color w:val="auto"/>
                      <w:spacing w:val="0"/>
                      <w:szCs w:val="21"/>
                      <w:highlight w:val="none"/>
                      <w:shd w:val="clear" w:color="auto" w:fill="auto"/>
                    </w:rPr>
                    <w:t>地表不裸露、</w:t>
                  </w:r>
                  <w:r>
                    <w:rPr>
                      <w:rFonts w:hint="eastAsia"/>
                      <w:color w:val="auto"/>
                      <w:spacing w:val="0"/>
                      <w:szCs w:val="21"/>
                      <w:highlight w:val="none"/>
                      <w:shd w:val="clear" w:color="auto" w:fill="auto"/>
                    </w:rPr>
                    <w:t>地面不</w:t>
                  </w:r>
                  <w:r>
                    <w:rPr>
                      <w:rFonts w:hint="default"/>
                      <w:color w:val="auto"/>
                      <w:spacing w:val="0"/>
                      <w:szCs w:val="21"/>
                      <w:highlight w:val="none"/>
                      <w:shd w:val="clear" w:color="auto" w:fill="auto"/>
                    </w:rPr>
                    <w:t>硬化或作其他用途。</w:t>
                  </w:r>
                </w:p>
              </w:tc>
              <w:tc>
                <w:tcPr>
                  <w:tcW w:w="537" w:type="pct"/>
                  <w:vAlign w:val="center"/>
                </w:tcPr>
                <w:p w14:paraId="1A431E06">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22E0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7" w:type="pct"/>
                  <w:vMerge w:val="continue"/>
                  <w:vAlign w:val="center"/>
                </w:tcPr>
                <w:p w14:paraId="1928C8B5">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p>
              </w:tc>
              <w:tc>
                <w:tcPr>
                  <w:tcW w:w="2072" w:type="pct"/>
                  <w:vAlign w:val="center"/>
                </w:tcPr>
                <w:p w14:paraId="0F21DC6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其他道路按建设用地管理。</w:t>
                  </w:r>
                </w:p>
              </w:tc>
              <w:tc>
                <w:tcPr>
                  <w:tcW w:w="1942" w:type="pct"/>
                  <w:vAlign w:val="center"/>
                </w:tcPr>
                <w:p w14:paraId="41A0A3C1">
                  <w:pPr>
                    <w:keepNext w:val="0"/>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vertAlign w:val="baseline"/>
                      <w:lang w:val="en-US" w:eastAsia="zh-CN"/>
                    </w:rPr>
                    <w:t>项目</w:t>
                  </w:r>
                  <w:r>
                    <w:rPr>
                      <w:rFonts w:hint="default" w:ascii="Times New Roman" w:hAnsi="Times New Roman" w:cs="Times New Roman"/>
                      <w:color w:val="auto"/>
                      <w:kern w:val="0"/>
                      <w:sz w:val="21"/>
                      <w:szCs w:val="21"/>
                    </w:rPr>
                    <w:t>直接配套光伏方阵的道路</w:t>
                  </w:r>
                  <w:r>
                    <w:rPr>
                      <w:rFonts w:hint="default" w:ascii="Times New Roman" w:hAnsi="Times New Roman" w:cs="Times New Roman"/>
                      <w:color w:val="auto"/>
                      <w:lang w:val="en-US" w:eastAsia="zh-CN"/>
                    </w:rPr>
                    <w:t>用地</w:t>
                  </w:r>
                  <w:r>
                    <w:rPr>
                      <w:rFonts w:hint="eastAsia" w:cs="Times New Roman"/>
                      <w:color w:val="auto"/>
                      <w:lang w:val="en-US" w:eastAsia="zh-CN"/>
                    </w:rPr>
                    <w:t>按照防火通道单独立项，</w:t>
                  </w:r>
                  <w:r>
                    <w:rPr>
                      <w:rFonts w:hint="default" w:ascii="Times New Roman" w:hAnsi="Times New Roman" w:cs="Times New Roman"/>
                      <w:color w:val="auto"/>
                      <w:lang w:val="en-US" w:eastAsia="zh-CN"/>
                    </w:rPr>
                    <w:t>采用农村道路的要求进行管理</w:t>
                  </w:r>
                  <w:r>
                    <w:rPr>
                      <w:rFonts w:hint="eastAsia" w:ascii="Times New Roman" w:hAnsi="Times New Roman" w:cs="Times New Roman"/>
                      <w:color w:val="auto"/>
                      <w:lang w:val="en-US" w:eastAsia="zh-CN"/>
                    </w:rPr>
                    <w:t>，</w:t>
                  </w:r>
                  <w:r>
                    <w:rPr>
                      <w:rFonts w:hint="eastAsia" w:cs="Times New Roman"/>
                      <w:color w:val="auto"/>
                      <w:lang w:val="en-US" w:eastAsia="zh-CN"/>
                    </w:rPr>
                    <w:t>不在本次评价范围内，其</w:t>
                  </w:r>
                  <w:r>
                    <w:rPr>
                      <w:rFonts w:hint="default" w:ascii="Times New Roman" w:hAnsi="Times New Roman" w:cs="Times New Roman"/>
                      <w:color w:val="auto"/>
                      <w:kern w:val="0"/>
                      <w:sz w:val="21"/>
                      <w:szCs w:val="21"/>
                    </w:rPr>
                    <w:t>他道路按建设用地管理</w:t>
                  </w:r>
                  <w:r>
                    <w:rPr>
                      <w:rFonts w:hint="eastAsia" w:cs="Times New Roman"/>
                      <w:color w:val="auto"/>
                      <w:kern w:val="0"/>
                      <w:sz w:val="21"/>
                      <w:szCs w:val="21"/>
                      <w:lang w:eastAsia="zh-CN"/>
                    </w:rPr>
                    <w:t>。</w:t>
                  </w:r>
                </w:p>
              </w:tc>
              <w:tc>
                <w:tcPr>
                  <w:tcW w:w="537" w:type="pct"/>
                  <w:vAlign w:val="center"/>
                </w:tcPr>
                <w:p w14:paraId="4AD3814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符合</w:t>
                  </w:r>
                </w:p>
              </w:tc>
            </w:tr>
            <w:tr w14:paraId="6151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vMerge w:val="restart"/>
                  <w:vAlign w:val="center"/>
                </w:tcPr>
                <w:p w14:paraId="3D7F3653">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加快办理项目用地手续</w:t>
                  </w:r>
                </w:p>
              </w:tc>
              <w:tc>
                <w:tcPr>
                  <w:tcW w:w="2072" w:type="pct"/>
                  <w:vAlign w:val="center"/>
                </w:tcPr>
                <w:p w14:paraId="0B1A012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建立用地用林用草联审机制。各地自然资源、林草主管部门要建立项目用地用林用草审查协调联动机制，对于符合国土空间规划和用途管制要求、纳入国土空间规划“一张图”的国家大型光伏基地建设范围项目，在项目立项与论证时，要对项目用地用林用草提出意见与要求，严格执行《光伏发电站工程项目用地控制指标》和光伏电站使用林地有关规定，保障项目用地用林用草合理需求。</w:t>
                  </w:r>
                </w:p>
              </w:tc>
              <w:tc>
                <w:tcPr>
                  <w:tcW w:w="1942" w:type="pct"/>
                  <w:vAlign w:val="center"/>
                </w:tcPr>
                <w:p w14:paraId="7AB896A5">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本项目已取得寻甸县</w:t>
                  </w:r>
                  <w:r>
                    <w:rPr>
                      <w:rFonts w:hint="eastAsia" w:ascii="Times New Roman" w:hAnsi="Times New Roman" w:cs="Times New Roman"/>
                      <w:color w:val="auto"/>
                      <w:kern w:val="0"/>
                      <w:sz w:val="21"/>
                      <w:szCs w:val="21"/>
                      <w:highlight w:val="none"/>
                      <w:lang w:val="en-US" w:eastAsia="zh-CN"/>
                    </w:rPr>
                    <w:t>自然资源局、</w:t>
                  </w:r>
                  <w:r>
                    <w:rPr>
                      <w:rFonts w:hint="eastAsia" w:cs="Times New Roman"/>
                      <w:color w:val="auto"/>
                      <w:kern w:val="0"/>
                      <w:sz w:val="21"/>
                      <w:szCs w:val="21"/>
                      <w:highlight w:val="none"/>
                      <w:lang w:val="en-US" w:eastAsia="zh-CN"/>
                    </w:rPr>
                    <w:t>寻甸县</w:t>
                  </w:r>
                  <w:r>
                    <w:rPr>
                      <w:rFonts w:hint="eastAsia" w:ascii="Times New Roman" w:hAnsi="Times New Roman" w:cs="Times New Roman"/>
                      <w:color w:val="auto"/>
                      <w:kern w:val="0"/>
                      <w:sz w:val="21"/>
                      <w:szCs w:val="21"/>
                      <w:highlight w:val="none"/>
                      <w:lang w:val="en-US" w:eastAsia="zh-CN"/>
                    </w:rPr>
                    <w:t>林业和草原局等部门选址意见，项目</w:t>
                  </w:r>
                  <w:r>
                    <w:rPr>
                      <w:rFonts w:hint="eastAsia" w:cs="Times New Roman"/>
                      <w:color w:val="auto"/>
                      <w:kern w:val="0"/>
                      <w:sz w:val="21"/>
                      <w:szCs w:val="21"/>
                      <w:highlight w:val="none"/>
                      <w:lang w:val="en-US" w:eastAsia="zh-CN"/>
                    </w:rPr>
                    <w:t>将</w:t>
                  </w:r>
                  <w:r>
                    <w:rPr>
                      <w:rFonts w:hint="default" w:ascii="Times New Roman" w:hAnsi="Times New Roman" w:cs="Times New Roman"/>
                      <w:color w:val="auto"/>
                      <w:kern w:val="0"/>
                      <w:sz w:val="21"/>
                      <w:szCs w:val="21"/>
                      <w:highlight w:val="none"/>
                    </w:rPr>
                    <w:t>严格执行《光伏发电站工程项目用地控制指标》和光伏电站使用林地有关规定，保障项目用地用林用草合理需求。</w:t>
                  </w:r>
                </w:p>
              </w:tc>
              <w:tc>
                <w:tcPr>
                  <w:tcW w:w="537" w:type="pct"/>
                  <w:vAlign w:val="center"/>
                </w:tcPr>
                <w:p w14:paraId="66003D50">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194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447" w:type="pct"/>
                  <w:vMerge w:val="continue"/>
                  <w:vAlign w:val="center"/>
                </w:tcPr>
                <w:p w14:paraId="47696997">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p>
              </w:tc>
              <w:tc>
                <w:tcPr>
                  <w:tcW w:w="2072" w:type="pct"/>
                  <w:vAlign w:val="center"/>
                </w:tcPr>
                <w:p w14:paraId="09F70C94">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及时办理征地或租赁等用地手续。光伏发电项目用地涉及使用建设用地的，可依照土地征收规定办理土地征收手续。光伏方阵用地允许以租赁等方式取得，用地单位与农村集体经济组织或国有土地权利主体、当地乡镇政府签订用地与补偿协议，报当地县级自然资源和林草主管部门备案。</w:t>
                  </w:r>
                </w:p>
              </w:tc>
              <w:tc>
                <w:tcPr>
                  <w:tcW w:w="1942" w:type="pct"/>
                  <w:vAlign w:val="center"/>
                </w:tcPr>
                <w:p w14:paraId="0BFE8393">
                  <w:pPr>
                    <w:keepNext/>
                    <w:keepLines/>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正依法办理</w:t>
                  </w:r>
                  <w:r>
                    <w:rPr>
                      <w:rFonts w:hint="eastAsia" w:ascii="Times New Roman" w:hAnsi="Times New Roman" w:cs="Times New Roman"/>
                      <w:color w:val="auto"/>
                      <w:kern w:val="0"/>
                      <w:sz w:val="21"/>
                      <w:szCs w:val="21"/>
                      <w:highlight w:val="none"/>
                      <w:lang w:val="en-US" w:eastAsia="zh-CN" w:bidi="ar"/>
                    </w:rPr>
                    <w:t>土地征收手续，依据国家和当地征地政策及相关规定执行。</w:t>
                  </w:r>
                  <w:r>
                    <w:rPr>
                      <w:rFonts w:hint="default" w:ascii="Times New Roman" w:hAnsi="Times New Roman" w:cs="Times New Roman"/>
                      <w:color w:val="auto"/>
                      <w:kern w:val="0"/>
                      <w:sz w:val="21"/>
                      <w:szCs w:val="21"/>
                      <w:highlight w:val="none"/>
                      <w:lang w:val="en-US" w:eastAsia="zh-CN" w:bidi="ar"/>
                    </w:rPr>
                    <w:t>项目</w:t>
                  </w:r>
                  <w:r>
                    <w:rPr>
                      <w:rFonts w:hint="eastAsia" w:ascii="Times New Roman" w:hAnsi="Times New Roman" w:cs="Times New Roman"/>
                      <w:color w:val="auto"/>
                      <w:kern w:val="0"/>
                      <w:sz w:val="21"/>
                      <w:szCs w:val="21"/>
                      <w:highlight w:val="none"/>
                      <w:lang w:val="en-US" w:eastAsia="zh-CN" w:bidi="ar"/>
                    </w:rPr>
                    <w:t>光伏方阵</w:t>
                  </w:r>
                  <w:r>
                    <w:rPr>
                      <w:rFonts w:hint="default" w:ascii="Times New Roman" w:hAnsi="Times New Roman" w:cs="Times New Roman"/>
                      <w:color w:val="auto"/>
                      <w:kern w:val="0"/>
                      <w:sz w:val="21"/>
                      <w:szCs w:val="21"/>
                      <w:highlight w:val="none"/>
                      <w:lang w:val="en-US" w:eastAsia="zh-CN" w:bidi="ar"/>
                    </w:rPr>
                    <w:t>用地以租赁方式取得，</w:t>
                  </w:r>
                  <w:r>
                    <w:rPr>
                      <w:rFonts w:hint="eastAsia" w:ascii="Times New Roman" w:hAnsi="Times New Roman" w:cs="Times New Roman"/>
                      <w:color w:val="auto"/>
                      <w:kern w:val="0"/>
                      <w:sz w:val="21"/>
                      <w:szCs w:val="21"/>
                      <w:highlight w:val="none"/>
                      <w:lang w:val="en-US" w:eastAsia="zh-CN"/>
                    </w:rPr>
                    <w:t>建设</w:t>
                  </w:r>
                  <w:r>
                    <w:rPr>
                      <w:rFonts w:hint="default" w:ascii="Times New Roman" w:hAnsi="Times New Roman" w:cs="Times New Roman"/>
                      <w:color w:val="auto"/>
                      <w:kern w:val="0"/>
                      <w:sz w:val="21"/>
                      <w:szCs w:val="21"/>
                      <w:highlight w:val="none"/>
                    </w:rPr>
                    <w:t>单位</w:t>
                  </w:r>
                  <w:r>
                    <w:rPr>
                      <w:rFonts w:hint="eastAsia" w:ascii="Times New Roman" w:hAnsi="Times New Roman" w:cs="Times New Roman"/>
                      <w:color w:val="auto"/>
                      <w:kern w:val="0"/>
                      <w:sz w:val="21"/>
                      <w:szCs w:val="21"/>
                      <w:highlight w:val="none"/>
                      <w:lang w:val="en-US" w:eastAsia="zh-CN"/>
                    </w:rPr>
                    <w:t>已</w:t>
                  </w:r>
                  <w:r>
                    <w:rPr>
                      <w:rFonts w:hint="default" w:ascii="Times New Roman" w:hAnsi="Times New Roman" w:cs="Times New Roman"/>
                      <w:color w:val="auto"/>
                      <w:kern w:val="0"/>
                      <w:sz w:val="21"/>
                      <w:szCs w:val="21"/>
                      <w:highlight w:val="none"/>
                    </w:rPr>
                    <w:t>与</w:t>
                  </w:r>
                  <w:r>
                    <w:rPr>
                      <w:rFonts w:hint="eastAsia" w:ascii="Times New Roman" w:hAnsi="Times New Roman" w:cs="Times New Roman"/>
                      <w:color w:val="auto"/>
                      <w:kern w:val="0"/>
                      <w:sz w:val="21"/>
                      <w:szCs w:val="21"/>
                      <w:highlight w:val="none"/>
                      <w:lang w:val="en-US" w:eastAsia="zh-CN"/>
                    </w:rPr>
                    <w:t>相关组织部门</w:t>
                  </w:r>
                  <w:r>
                    <w:rPr>
                      <w:rFonts w:hint="default" w:ascii="Times New Roman" w:hAnsi="Times New Roman" w:cs="Times New Roman"/>
                      <w:color w:val="auto"/>
                      <w:kern w:val="0"/>
                      <w:sz w:val="21"/>
                      <w:szCs w:val="21"/>
                      <w:highlight w:val="none"/>
                    </w:rPr>
                    <w:t>签订用地补偿协议，报当地县级自然资源和林草主管部门备案。</w:t>
                  </w:r>
                </w:p>
              </w:tc>
              <w:tc>
                <w:tcPr>
                  <w:tcW w:w="537" w:type="pct"/>
                  <w:vAlign w:val="center"/>
                </w:tcPr>
                <w:p w14:paraId="7EB83D5C">
                  <w:pPr>
                    <w:keepNext/>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符合</w:t>
                  </w:r>
                </w:p>
              </w:tc>
            </w:tr>
          </w:tbl>
          <w:p w14:paraId="601303C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cs="宋体"/>
                <w:b/>
                <w:bCs/>
                <w:color w:val="auto"/>
                <w:kern w:val="0"/>
                <w:sz w:val="24"/>
                <w:highlight w:val="none"/>
                <w:shd w:val="clear" w:color="auto" w:fill="auto"/>
                <w:lang w:bidi="ar"/>
              </w:rPr>
            </w:pPr>
            <w:r>
              <w:rPr>
                <w:rFonts w:hint="eastAsia"/>
                <w:b/>
                <w:bCs/>
                <w:color w:val="auto"/>
                <w:kern w:val="0"/>
                <w:sz w:val="24"/>
                <w:highlight w:val="none"/>
                <w:shd w:val="clear" w:color="auto" w:fill="auto"/>
                <w:lang w:val="en-US" w:eastAsia="zh-CN"/>
              </w:rPr>
              <w:t>13</w:t>
            </w:r>
            <w:r>
              <w:rPr>
                <w:rFonts w:hint="eastAsia"/>
                <w:b/>
                <w:bCs/>
                <w:color w:val="auto"/>
                <w:kern w:val="0"/>
                <w:sz w:val="24"/>
                <w:highlight w:val="none"/>
                <w:shd w:val="clear" w:color="auto" w:fill="auto"/>
              </w:rPr>
              <w:t>、与《</w:t>
            </w:r>
            <w:r>
              <w:rPr>
                <w:rFonts w:hint="eastAsia" w:ascii="宋体" w:hAnsi="宋体" w:cs="宋体"/>
                <w:b/>
                <w:bCs/>
                <w:color w:val="auto"/>
                <w:kern w:val="0"/>
                <w:sz w:val="24"/>
                <w:highlight w:val="none"/>
                <w:shd w:val="clear" w:color="auto" w:fill="auto"/>
                <w:lang w:bidi="ar"/>
              </w:rPr>
              <w:t xml:space="preserve">云南省自然资源厅 </w:t>
            </w:r>
            <w:r>
              <w:rPr>
                <w:rFonts w:hint="eastAsia"/>
                <w:b/>
                <w:bCs/>
                <w:color w:val="auto"/>
                <w:kern w:val="0"/>
                <w:sz w:val="24"/>
                <w:highlight w:val="none"/>
                <w:shd w:val="clear" w:color="auto" w:fill="auto"/>
              </w:rPr>
              <w:t>云南省能源局关于进一步支持光伏扶贫和规范光伏发电产业用地的通知》（</w:t>
            </w:r>
            <w:r>
              <w:rPr>
                <w:rFonts w:hint="eastAsia" w:ascii="宋体" w:hAnsi="宋体" w:cs="宋体"/>
                <w:b/>
                <w:bCs/>
                <w:color w:val="auto"/>
                <w:kern w:val="0"/>
                <w:sz w:val="24"/>
                <w:highlight w:val="none"/>
                <w:shd w:val="clear" w:color="auto" w:fill="auto"/>
                <w:lang w:bidi="ar"/>
              </w:rPr>
              <w:t>云自然资〔</w:t>
            </w:r>
            <w:r>
              <w:rPr>
                <w:rFonts w:hint="default"/>
                <w:b/>
                <w:bCs/>
                <w:color w:val="auto"/>
                <w:kern w:val="0"/>
                <w:sz w:val="24"/>
                <w:highlight w:val="none"/>
                <w:shd w:val="clear" w:color="auto" w:fill="auto"/>
                <w:lang w:bidi="ar"/>
              </w:rPr>
              <w:t>2019</w:t>
            </w:r>
            <w:r>
              <w:rPr>
                <w:rFonts w:hint="eastAsia" w:ascii="宋体" w:hAnsi="宋体" w:cs="宋体"/>
                <w:b/>
                <w:bCs/>
                <w:color w:val="auto"/>
                <w:kern w:val="0"/>
                <w:sz w:val="24"/>
                <w:highlight w:val="none"/>
                <w:shd w:val="clear" w:color="auto" w:fill="auto"/>
                <w:lang w:bidi="ar"/>
              </w:rPr>
              <w:t>〕</w:t>
            </w:r>
            <w:r>
              <w:rPr>
                <w:rFonts w:hint="default"/>
                <w:b/>
                <w:bCs/>
                <w:color w:val="auto"/>
                <w:kern w:val="0"/>
                <w:sz w:val="24"/>
                <w:highlight w:val="none"/>
                <w:shd w:val="clear" w:color="auto" w:fill="auto"/>
                <w:lang w:bidi="ar"/>
              </w:rPr>
              <w:t>196</w:t>
            </w:r>
            <w:r>
              <w:rPr>
                <w:rFonts w:hint="eastAsia" w:ascii="宋体" w:hAnsi="宋体" w:cs="宋体"/>
                <w:b/>
                <w:bCs/>
                <w:color w:val="auto"/>
                <w:kern w:val="0"/>
                <w:sz w:val="24"/>
                <w:highlight w:val="none"/>
                <w:shd w:val="clear" w:color="auto" w:fill="auto"/>
                <w:lang w:bidi="ar"/>
              </w:rPr>
              <w:t>号</w:t>
            </w:r>
            <w:r>
              <w:rPr>
                <w:rFonts w:hint="eastAsia"/>
                <w:b/>
                <w:bCs/>
                <w:color w:val="auto"/>
                <w:kern w:val="0"/>
                <w:sz w:val="24"/>
                <w:highlight w:val="none"/>
                <w:shd w:val="clear" w:color="auto" w:fill="auto"/>
              </w:rPr>
              <w:t>）的符合性</w:t>
            </w:r>
          </w:p>
          <w:p w14:paraId="36E7379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z w:val="21"/>
                <w:szCs w:val="21"/>
                <w:highlight w:val="none"/>
                <w:shd w:val="clear" w:color="auto" w:fill="auto"/>
              </w:rPr>
            </w:pPr>
            <w:r>
              <w:rPr>
                <w:rFonts w:hint="eastAsia" w:ascii="宋体" w:hAnsi="宋体" w:cs="宋体"/>
                <w:b/>
                <w:bCs/>
                <w:color w:val="auto"/>
                <w:kern w:val="0"/>
                <w:sz w:val="21"/>
                <w:szCs w:val="21"/>
                <w:highlight w:val="none"/>
                <w:shd w:val="clear" w:color="auto" w:fill="auto"/>
                <w:lang w:bidi="ar"/>
              </w:rPr>
              <w:t>表</w:t>
            </w:r>
            <w:r>
              <w:rPr>
                <w:rFonts w:hint="default"/>
                <w:b/>
                <w:bCs/>
                <w:color w:val="auto"/>
                <w:kern w:val="0"/>
                <w:sz w:val="21"/>
                <w:szCs w:val="21"/>
                <w:highlight w:val="none"/>
                <w:shd w:val="clear" w:color="auto" w:fill="auto"/>
                <w:lang w:bidi="ar"/>
              </w:rPr>
              <w:t>1-</w:t>
            </w:r>
            <w:r>
              <w:rPr>
                <w:rFonts w:hint="eastAsia"/>
                <w:b/>
                <w:bCs/>
                <w:color w:val="auto"/>
                <w:kern w:val="0"/>
                <w:sz w:val="21"/>
                <w:szCs w:val="21"/>
                <w:highlight w:val="none"/>
                <w:shd w:val="clear" w:color="auto" w:fill="auto"/>
                <w:lang w:val="en-US" w:eastAsia="zh-CN" w:bidi="ar"/>
              </w:rPr>
              <w:t>12</w:t>
            </w:r>
            <w:r>
              <w:rPr>
                <w:rFonts w:hint="default"/>
                <w:b/>
                <w:bCs/>
                <w:color w:val="auto"/>
                <w:kern w:val="0"/>
                <w:sz w:val="21"/>
                <w:szCs w:val="21"/>
                <w:highlight w:val="none"/>
                <w:shd w:val="clear" w:color="auto" w:fill="auto"/>
                <w:lang w:bidi="ar"/>
              </w:rPr>
              <w:t xml:space="preserve"> </w:t>
            </w:r>
            <w:r>
              <w:rPr>
                <w:rFonts w:hint="eastAsia"/>
                <w:b/>
                <w:bCs/>
                <w:color w:val="auto"/>
                <w:kern w:val="0"/>
                <w:sz w:val="21"/>
                <w:szCs w:val="21"/>
                <w:highlight w:val="none"/>
                <w:shd w:val="clear" w:color="auto" w:fill="auto"/>
                <w:lang w:val="en-US" w:eastAsia="zh-CN" w:bidi="ar"/>
              </w:rPr>
              <w:t xml:space="preserve"> </w:t>
            </w:r>
            <w:r>
              <w:rPr>
                <w:rFonts w:hint="eastAsia" w:ascii="宋体" w:hAnsi="宋体" w:cs="宋体"/>
                <w:b/>
                <w:bCs/>
                <w:color w:val="auto"/>
                <w:kern w:val="0"/>
                <w:sz w:val="21"/>
                <w:szCs w:val="21"/>
                <w:highlight w:val="none"/>
                <w:shd w:val="clear" w:color="auto" w:fill="auto"/>
                <w:lang w:bidi="ar"/>
              </w:rPr>
              <w:t>与云自然资〔</w:t>
            </w:r>
            <w:r>
              <w:rPr>
                <w:rFonts w:hint="default"/>
                <w:b/>
                <w:bCs/>
                <w:color w:val="auto"/>
                <w:kern w:val="0"/>
                <w:sz w:val="21"/>
                <w:szCs w:val="21"/>
                <w:highlight w:val="none"/>
                <w:shd w:val="clear" w:color="auto" w:fill="auto"/>
                <w:lang w:bidi="ar"/>
              </w:rPr>
              <w:t>2019</w:t>
            </w:r>
            <w:r>
              <w:rPr>
                <w:rFonts w:hint="eastAsia" w:ascii="宋体" w:hAnsi="宋体" w:cs="宋体"/>
                <w:b/>
                <w:bCs/>
                <w:color w:val="auto"/>
                <w:kern w:val="0"/>
                <w:sz w:val="21"/>
                <w:szCs w:val="21"/>
                <w:highlight w:val="none"/>
                <w:shd w:val="clear" w:color="auto" w:fill="auto"/>
                <w:lang w:bidi="ar"/>
              </w:rPr>
              <w:t>〕</w:t>
            </w:r>
            <w:r>
              <w:rPr>
                <w:rFonts w:hint="default"/>
                <w:b/>
                <w:bCs/>
                <w:color w:val="auto"/>
                <w:kern w:val="0"/>
                <w:sz w:val="21"/>
                <w:szCs w:val="21"/>
                <w:highlight w:val="none"/>
                <w:shd w:val="clear" w:color="auto" w:fill="auto"/>
                <w:lang w:bidi="ar"/>
              </w:rPr>
              <w:t>196</w:t>
            </w:r>
            <w:r>
              <w:rPr>
                <w:rFonts w:hint="eastAsia" w:ascii="宋体" w:hAnsi="宋体" w:cs="宋体"/>
                <w:b/>
                <w:bCs/>
                <w:color w:val="auto"/>
                <w:kern w:val="0"/>
                <w:sz w:val="21"/>
                <w:szCs w:val="21"/>
                <w:highlight w:val="none"/>
                <w:shd w:val="clear" w:color="auto" w:fill="auto"/>
                <w:lang w:bidi="ar"/>
              </w:rPr>
              <w:t>号文件符合性分析</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176"/>
              <w:gridCol w:w="2588"/>
              <w:gridCol w:w="859"/>
            </w:tblGrid>
            <w:tr w14:paraId="01BD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22BCEA07">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序号</w:t>
                  </w:r>
                </w:p>
              </w:tc>
              <w:tc>
                <w:tcPr>
                  <w:tcW w:w="2182" w:type="pct"/>
                  <w:vAlign w:val="center"/>
                </w:tcPr>
                <w:p w14:paraId="6A8369E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管控要求</w:t>
                  </w:r>
                </w:p>
              </w:tc>
              <w:tc>
                <w:tcPr>
                  <w:tcW w:w="1778" w:type="pct"/>
                  <w:vAlign w:val="center"/>
                </w:tcPr>
                <w:p w14:paraId="7618240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lang w:bidi="ar"/>
                    </w:rPr>
                    <w:t>项目实际</w:t>
                  </w:r>
                </w:p>
              </w:tc>
              <w:tc>
                <w:tcPr>
                  <w:tcW w:w="590" w:type="pct"/>
                  <w:vAlign w:val="center"/>
                </w:tcPr>
                <w:p w14:paraId="203F5BD0">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Cs w:val="21"/>
                      <w:highlight w:val="none"/>
                      <w:shd w:val="clear" w:color="auto" w:fill="auto"/>
                    </w:rPr>
                  </w:pPr>
                  <w:r>
                    <w:rPr>
                      <w:rFonts w:hint="eastAsia"/>
                      <w:b/>
                      <w:bCs/>
                      <w:color w:val="auto"/>
                      <w:kern w:val="0"/>
                      <w:szCs w:val="21"/>
                      <w:highlight w:val="none"/>
                      <w:shd w:val="clear" w:color="auto" w:fill="auto"/>
                    </w:rPr>
                    <w:t>符合性</w:t>
                  </w:r>
                </w:p>
              </w:tc>
            </w:tr>
            <w:tr w14:paraId="49D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3C0A5D2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1</w:t>
                  </w:r>
                </w:p>
              </w:tc>
              <w:tc>
                <w:tcPr>
                  <w:tcW w:w="2182" w:type="pct"/>
                  <w:vAlign w:val="center"/>
                </w:tcPr>
                <w:p w14:paraId="7A321642">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shd w:val="clear" w:color="auto" w:fill="auto"/>
                      <w:lang w:bidi="ar"/>
                    </w:rPr>
                    <w:t>对国土资规〔</w:t>
                  </w:r>
                  <w:r>
                    <w:rPr>
                      <w:rFonts w:hint="default"/>
                      <w:color w:val="auto"/>
                      <w:kern w:val="0"/>
                      <w:szCs w:val="21"/>
                      <w:highlight w:val="none"/>
                      <w:shd w:val="clear" w:color="auto" w:fill="auto"/>
                      <w:lang w:bidi="ar"/>
                    </w:rPr>
                    <w:t>2017</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8</w:t>
                  </w:r>
                  <w:r>
                    <w:rPr>
                      <w:rFonts w:hint="eastAsia" w:ascii="宋体" w:hAnsi="宋体" w:cs="宋体"/>
                      <w:color w:val="auto"/>
                      <w:kern w:val="0"/>
                      <w:szCs w:val="21"/>
                      <w:highlight w:val="none"/>
                      <w:shd w:val="clear" w:color="auto" w:fill="auto"/>
                      <w:lang w:bidi="ar"/>
                    </w:rPr>
                    <w:t>号文件确定利用农用地复合建设的光伏发电项目（以下简称光伏复合项目）以外的其他光伏发电项目用地，应严格执行国土资规〔</w:t>
                  </w:r>
                  <w:r>
                    <w:rPr>
                      <w:rFonts w:hint="default"/>
                      <w:color w:val="auto"/>
                      <w:kern w:val="0"/>
                      <w:szCs w:val="21"/>
                      <w:highlight w:val="none"/>
                      <w:shd w:val="clear" w:color="auto" w:fill="auto"/>
                      <w:lang w:bidi="ar"/>
                    </w:rPr>
                    <w:t>2015</w:t>
                  </w:r>
                  <w:r>
                    <w:rPr>
                      <w:rFonts w:hint="eastAsia" w:ascii="宋体" w:hAnsi="宋体" w:cs="宋体"/>
                      <w:color w:val="auto"/>
                      <w:kern w:val="0"/>
                      <w:szCs w:val="21"/>
                      <w:highlight w:val="none"/>
                      <w:shd w:val="clear" w:color="auto" w:fill="auto"/>
                      <w:lang w:bidi="ar"/>
                    </w:rPr>
                    <w:t>〕</w:t>
                  </w:r>
                  <w:r>
                    <w:rPr>
                      <w:rFonts w:hint="default"/>
                      <w:color w:val="auto"/>
                      <w:kern w:val="0"/>
                      <w:szCs w:val="21"/>
                      <w:highlight w:val="none"/>
                      <w:shd w:val="clear" w:color="auto" w:fill="auto"/>
                      <w:lang w:bidi="ar"/>
                    </w:rPr>
                    <w:t>5</w:t>
                  </w:r>
                  <w:r>
                    <w:rPr>
                      <w:rFonts w:hint="eastAsia" w:ascii="宋体" w:hAnsi="宋体" w:cs="宋体"/>
                      <w:color w:val="auto"/>
                      <w:kern w:val="0"/>
                      <w:szCs w:val="21"/>
                      <w:highlight w:val="none"/>
                      <w:shd w:val="clear" w:color="auto" w:fill="auto"/>
                      <w:lang w:bidi="ar"/>
                    </w:rPr>
                    <w:t>号文件规定，使用未利用地的，对不占压土地、不改变地表形态的光伏方阵用地部分可按原地类认定，不改变土地用途，用地允许以租赁等方式取得，双方签订好补偿协议，报当地县（市、区）自然资源主管部门备案；其他用地部分，应依法办理建设用地审批手续；对建设占用农用地的，所有用地部分均应按建设用地管理。</w:t>
                  </w:r>
                </w:p>
              </w:tc>
              <w:tc>
                <w:tcPr>
                  <w:tcW w:w="1778" w:type="pct"/>
                  <w:vAlign w:val="center"/>
                </w:tcPr>
                <w:p w14:paraId="5EF8D0C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lang w:eastAsia="zh-CN"/>
                    </w:rPr>
                    <w:t>项目通过租赁和流转方式使用土地，</w:t>
                  </w:r>
                  <w:r>
                    <w:rPr>
                      <w:rFonts w:hint="eastAsia"/>
                      <w:color w:val="auto"/>
                      <w:kern w:val="0"/>
                      <w:szCs w:val="21"/>
                      <w:highlight w:val="none"/>
                      <w:shd w:val="clear" w:color="auto" w:fill="auto"/>
                      <w:lang w:val="en-US" w:eastAsia="zh-CN"/>
                    </w:rPr>
                    <w:t>将与</w:t>
                  </w:r>
                  <w:r>
                    <w:rPr>
                      <w:rFonts w:hint="eastAsia"/>
                      <w:color w:val="auto"/>
                      <w:spacing w:val="0"/>
                      <w:szCs w:val="21"/>
                      <w:highlight w:val="none"/>
                      <w:shd w:val="clear" w:color="auto" w:fill="auto"/>
                      <w:lang w:bidi="he-IL"/>
                    </w:rPr>
                    <w:t>林权权利人签订</w:t>
                  </w:r>
                  <w:r>
                    <w:rPr>
                      <w:rFonts w:hint="eastAsia"/>
                      <w:color w:val="auto"/>
                      <w:spacing w:val="0"/>
                      <w:szCs w:val="21"/>
                      <w:highlight w:val="none"/>
                      <w:shd w:val="clear" w:color="auto" w:fill="auto"/>
                      <w:lang w:val="en-US" w:eastAsia="zh-CN" w:bidi="he-IL"/>
                    </w:rPr>
                    <w:t>协议，目前正在办理中</w:t>
                  </w:r>
                  <w:r>
                    <w:rPr>
                      <w:rFonts w:hint="eastAsia"/>
                      <w:color w:val="auto"/>
                      <w:kern w:val="0"/>
                      <w:szCs w:val="21"/>
                      <w:highlight w:val="none"/>
                      <w:shd w:val="clear" w:color="auto" w:fill="auto"/>
                      <w:lang w:val="en-US" w:eastAsia="zh-CN"/>
                    </w:rPr>
                    <w:t>。</w:t>
                  </w: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、林地、交通运输用地和</w:t>
                  </w:r>
                  <w:r>
                    <w:rPr>
                      <w:rFonts w:hint="eastAsia" w:cs="Times New Roman"/>
                      <w:color w:val="auto"/>
                      <w:sz w:val="21"/>
                      <w:szCs w:val="21"/>
                      <w:highlight w:val="none"/>
                      <w:lang w:val="en-US" w:eastAsia="zh-CN"/>
                    </w:rPr>
                    <w:t>裸土地</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shd w:val="clear" w:color="auto" w:fill="auto"/>
                      <w:lang w:bidi="ar"/>
                    </w:rPr>
                    <w:t>对不占压土地、不改变地表形态的光伏方阵用地部分可按原地类认定，不改变土地用途</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26B488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7032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4CE13E5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2</w:t>
                  </w:r>
                </w:p>
              </w:tc>
              <w:tc>
                <w:tcPr>
                  <w:tcW w:w="2182" w:type="pct"/>
                  <w:vAlign w:val="center"/>
                </w:tcPr>
                <w:p w14:paraId="1D4D934C">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光伏复合项目，架设在一般耕地或其他农用地上的光伏方阵用地，满足光伏组件最低沿高于地面</w:t>
                  </w:r>
                  <w:r>
                    <w:rPr>
                      <w:rFonts w:hint="default"/>
                      <w:color w:val="auto"/>
                      <w:kern w:val="0"/>
                      <w:szCs w:val="21"/>
                      <w:highlight w:val="none"/>
                      <w:shd w:val="clear" w:color="auto" w:fill="auto"/>
                    </w:rPr>
                    <w:t>2.5m</w:t>
                  </w:r>
                  <w:r>
                    <w:rPr>
                      <w:rFonts w:hint="eastAsia"/>
                      <w:color w:val="auto"/>
                      <w:kern w:val="0"/>
                      <w:szCs w:val="21"/>
                      <w:highlight w:val="none"/>
                      <w:shd w:val="clear" w:color="auto" w:fill="auto"/>
                    </w:rPr>
                    <w:t>、高于最高水位</w:t>
                  </w:r>
                  <w:r>
                    <w:rPr>
                      <w:rFonts w:hint="default"/>
                      <w:color w:val="auto"/>
                      <w:kern w:val="0"/>
                      <w:szCs w:val="21"/>
                      <w:highlight w:val="none"/>
                      <w:shd w:val="clear" w:color="auto" w:fill="auto"/>
                    </w:rPr>
                    <w:t>0.6m</w:t>
                  </w:r>
                  <w:r>
                    <w:rPr>
                      <w:rFonts w:hint="eastAsia"/>
                      <w:color w:val="auto"/>
                      <w:kern w:val="0"/>
                      <w:szCs w:val="21"/>
                      <w:highlight w:val="none"/>
                      <w:shd w:val="clear" w:color="auto" w:fill="auto"/>
                    </w:rPr>
                    <w:t>，桩基间列间距大于</w:t>
                  </w:r>
                  <w:r>
                    <w:rPr>
                      <w:rFonts w:hint="default"/>
                      <w:color w:val="auto"/>
                      <w:kern w:val="0"/>
                      <w:szCs w:val="21"/>
                      <w:highlight w:val="none"/>
                      <w:shd w:val="clear" w:color="auto" w:fill="auto"/>
                    </w:rPr>
                    <w:t>4m</w:t>
                  </w:r>
                  <w:r>
                    <w:rPr>
                      <w:rFonts w:hint="eastAsia"/>
                      <w:color w:val="auto"/>
                      <w:kern w:val="0"/>
                      <w:szCs w:val="21"/>
                      <w:highlight w:val="none"/>
                      <w:shd w:val="clear" w:color="auto" w:fill="auto"/>
                    </w:rPr>
                    <w:t>、行间距大于</w:t>
                  </w:r>
                  <w:r>
                    <w:rPr>
                      <w:rFonts w:hint="default"/>
                      <w:color w:val="auto"/>
                      <w:kern w:val="0"/>
                      <w:szCs w:val="21"/>
                      <w:highlight w:val="none"/>
                      <w:shd w:val="clear" w:color="auto" w:fill="auto"/>
                    </w:rPr>
                    <w:t>6.5m</w:t>
                  </w:r>
                  <w:r>
                    <w:rPr>
                      <w:rFonts w:hint="eastAsia"/>
                      <w:color w:val="auto"/>
                      <w:kern w:val="0"/>
                      <w:szCs w:val="21"/>
                      <w:highlight w:val="none"/>
                      <w:shd w:val="clear" w:color="auto" w:fill="auto"/>
                    </w:rPr>
                    <w:t>的架设要求，不破坏林业或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p>
              </w:tc>
              <w:tc>
                <w:tcPr>
                  <w:tcW w:w="1778" w:type="pct"/>
                  <w:vAlign w:val="center"/>
                </w:tcPr>
                <w:p w14:paraId="611FF45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kern w:val="0"/>
                      <w:szCs w:val="21"/>
                      <w:highlight w:val="none"/>
                      <w:shd w:val="clear" w:color="auto" w:fill="auto"/>
                    </w:rPr>
                  </w:pPr>
                  <w:r>
                    <w:rPr>
                      <w:rFonts w:hint="eastAsia" w:ascii="宋体" w:hAnsi="宋体" w:cs="宋体"/>
                      <w:color w:val="auto"/>
                      <w:kern w:val="0"/>
                      <w:szCs w:val="21"/>
                      <w:highlight w:val="none"/>
                      <w:lang w:bidi="ar"/>
                    </w:rPr>
                    <w:t>项目用地现状为</w:t>
                  </w:r>
                  <w:r>
                    <w:rPr>
                      <w:rFonts w:hint="eastAsia" w:ascii="宋体" w:hAnsi="宋体" w:cs="宋体"/>
                      <w:color w:val="auto"/>
                      <w:kern w:val="0"/>
                      <w:szCs w:val="21"/>
                      <w:highlight w:val="none"/>
                      <w:lang w:eastAsia="zh-CN" w:bidi="ar"/>
                    </w:rPr>
                    <w:t>其他</w:t>
                  </w:r>
                  <w:r>
                    <w:rPr>
                      <w:rFonts w:hint="eastAsia" w:ascii="Times New Roman" w:hAnsi="Times New Roman" w:eastAsia="宋体" w:cs="Times New Roman"/>
                      <w:color w:val="auto"/>
                      <w:sz w:val="21"/>
                      <w:szCs w:val="21"/>
                      <w:highlight w:val="none"/>
                      <w:lang w:val="en-US" w:eastAsia="zh-CN"/>
                    </w:rPr>
                    <w:t>草地</w:t>
                  </w:r>
                  <w:r>
                    <w:rPr>
                      <w:rFonts w:hint="eastAsia" w:eastAsia="宋体" w:cs="Times New Roman"/>
                      <w:color w:val="auto"/>
                      <w:sz w:val="21"/>
                      <w:szCs w:val="21"/>
                      <w:highlight w:val="none"/>
                      <w:lang w:val="en-US" w:eastAsia="zh-CN"/>
                    </w:rPr>
                    <w:t>、林地、交通运输用地和</w:t>
                  </w:r>
                  <w:r>
                    <w:rPr>
                      <w:rFonts w:hint="eastAsia" w:cs="Times New Roman"/>
                      <w:color w:val="auto"/>
                      <w:sz w:val="21"/>
                      <w:szCs w:val="21"/>
                      <w:highlight w:val="none"/>
                      <w:lang w:val="en-US" w:eastAsia="zh-CN"/>
                    </w:rPr>
                    <w:t>裸土地</w:t>
                  </w:r>
                  <w:r>
                    <w:rPr>
                      <w:rFonts w:hint="eastAsia" w:ascii="宋体" w:hAnsi="宋体" w:cs="宋体"/>
                      <w:color w:val="auto"/>
                      <w:kern w:val="0"/>
                      <w:szCs w:val="21"/>
                      <w:highlight w:val="none"/>
                      <w:lang w:bidi="ar"/>
                    </w:rPr>
                    <w:t>，</w:t>
                  </w:r>
                  <w:r>
                    <w:rPr>
                      <w:rFonts w:hint="eastAsia" w:cs="Times New Roman"/>
                      <w:color w:val="auto"/>
                      <w:kern w:val="0"/>
                      <w:sz w:val="21"/>
                      <w:szCs w:val="21"/>
                      <w:lang w:eastAsia="zh-CN" w:bidi="ar"/>
                    </w:rPr>
                    <w:t>根据</w:t>
                  </w:r>
                  <w:r>
                    <w:rPr>
                      <w:rFonts w:hint="default" w:ascii="Times New Roman" w:hAnsi="Times New Roman" w:eastAsia="宋体" w:cs="Times New Roman"/>
                      <w:color w:val="auto"/>
                      <w:kern w:val="0"/>
                      <w:sz w:val="21"/>
                      <w:szCs w:val="21"/>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lang w:val="en-US" w:eastAsia="zh-CN" w:bidi="ar"/>
                    </w:rPr>
                    <w:t>，需实施林光互补，</w:t>
                  </w:r>
                  <w:r>
                    <w:rPr>
                      <w:rFonts w:hint="eastAsia" w:cs="Times New Roman"/>
                      <w:color w:val="auto"/>
                      <w:kern w:val="0"/>
                      <w:sz w:val="21"/>
                      <w:szCs w:val="21"/>
                      <w:lang w:eastAsia="zh-CN"/>
                    </w:rPr>
                    <w:t>光</w:t>
                  </w:r>
                  <w:r>
                    <w:rPr>
                      <w:rFonts w:hint="default" w:ascii="Times New Roman" w:hAnsi="Times New Roman" w:cs="Times New Roman"/>
                      <w:color w:val="auto"/>
                      <w:kern w:val="0"/>
                      <w:sz w:val="21"/>
                      <w:szCs w:val="21"/>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lang w:bidi="ar"/>
                    </w:rPr>
                    <w:t>进行建设；</w:t>
                  </w:r>
                  <w:r>
                    <w:rPr>
                      <w:rFonts w:hint="eastAsia" w:ascii="宋体" w:hAnsi="宋体" w:cs="宋体"/>
                      <w:color w:val="auto"/>
                      <w:kern w:val="0"/>
                      <w:szCs w:val="21"/>
                      <w:lang w:bidi="ar"/>
                    </w:rPr>
                    <w:t>项目光伏区仅</w:t>
                  </w:r>
                  <w:r>
                    <w:rPr>
                      <w:rFonts w:hint="default" w:ascii="Times New Roman" w:hAnsi="Times New Roman" w:eastAsia="宋体" w:cs="Times New Roman"/>
                      <w:color w:val="auto"/>
                      <w:sz w:val="21"/>
                      <w:szCs w:val="21"/>
                      <w:highlight w:val="none"/>
                      <w:shd w:val="clear" w:color="auto" w:fill="FFFFFF"/>
                    </w:rPr>
                    <w:t>对</w:t>
                  </w:r>
                  <w:r>
                    <w:rPr>
                      <w:rFonts w:hint="eastAsia" w:cs="Times New Roman"/>
                      <w:color w:val="auto"/>
                      <w:sz w:val="21"/>
                      <w:szCs w:val="21"/>
                      <w:highlight w:val="none"/>
                      <w:shd w:val="clear" w:color="auto" w:fill="FFFFFF"/>
                      <w:lang w:eastAsia="zh-CN"/>
                    </w:rPr>
                    <w:t>光伏支架基坑</w:t>
                  </w:r>
                  <w:r>
                    <w:rPr>
                      <w:rFonts w:hint="eastAsia" w:ascii="宋体" w:hAnsi="宋体" w:cs="宋体"/>
                      <w:color w:val="auto"/>
                      <w:kern w:val="0"/>
                      <w:szCs w:val="21"/>
                      <w:lang w:bidi="ar"/>
                    </w:rPr>
                    <w:t>进行硬化，阵列架设完成后及时完成组件下方</w:t>
                  </w:r>
                  <w:r>
                    <w:rPr>
                      <w:rFonts w:hint="eastAsia" w:ascii="宋体" w:hAnsi="宋体" w:cs="宋体"/>
                      <w:color w:val="auto"/>
                      <w:kern w:val="0"/>
                      <w:szCs w:val="21"/>
                      <w:lang w:val="en-US" w:eastAsia="zh-CN" w:bidi="ar"/>
                    </w:rPr>
                    <w:t>林草植被的恢复</w:t>
                  </w:r>
                  <w:r>
                    <w:rPr>
                      <w:rFonts w:hint="eastAsia" w:ascii="宋体" w:hAnsi="宋体" w:cs="宋体"/>
                      <w:color w:val="auto"/>
                      <w:kern w:val="0"/>
                      <w:szCs w:val="21"/>
                      <w:lang w:bidi="ar"/>
                    </w:rPr>
                    <w:t>，严禁抛荒、撂荒；</w:t>
                  </w:r>
                  <w:r>
                    <w:rPr>
                      <w:rFonts w:hint="eastAsia"/>
                      <w:color w:val="auto"/>
                      <w:kern w:val="0"/>
                      <w:szCs w:val="21"/>
                    </w:rPr>
                    <w:t>采用直埋电缆方式敷设的集电线路用地，实行与项目光伏方阵用地同样的管理方式</w:t>
                  </w:r>
                  <w:r>
                    <w:rPr>
                      <w:rFonts w:hint="eastAsia"/>
                      <w:color w:val="auto"/>
                      <w:kern w:val="0"/>
                      <w:szCs w:val="21"/>
                      <w:lang w:eastAsia="zh-CN"/>
                    </w:rPr>
                    <w:t>；</w:t>
                  </w:r>
                  <w:r>
                    <w:rPr>
                      <w:rFonts w:hint="eastAsia"/>
                      <w:color w:val="auto"/>
                      <w:kern w:val="0"/>
                      <w:szCs w:val="21"/>
                    </w:rPr>
                    <w:t>场内道路按农村道路用地管理</w:t>
                  </w:r>
                  <w:r>
                    <w:rPr>
                      <w:rFonts w:hint="eastAsia" w:ascii="宋体" w:hAnsi="宋体" w:cs="宋体"/>
                      <w:color w:val="auto"/>
                      <w:kern w:val="0"/>
                      <w:szCs w:val="21"/>
                      <w:lang w:bidi="ar"/>
                    </w:rPr>
                    <w:t>；</w:t>
                  </w:r>
                  <w:r>
                    <w:rPr>
                      <w:rFonts w:hint="default" w:ascii="Times New Roman" w:hAnsi="Times New Roman" w:cs="Times New Roman"/>
                      <w:color w:val="auto"/>
                      <w:kern w:val="0"/>
                      <w:szCs w:val="21"/>
                      <w:lang w:val="en-US" w:eastAsia="zh-CN" w:bidi="ar"/>
                    </w:rPr>
                    <w:t>35kV架空</w:t>
                  </w:r>
                  <w:r>
                    <w:rPr>
                      <w:rFonts w:hint="default" w:ascii="Times New Roman" w:hAnsi="Times New Roman" w:cs="Times New Roman"/>
                      <w:color w:val="auto"/>
                      <w:kern w:val="0"/>
                      <w:szCs w:val="21"/>
                      <w:lang w:bidi="ar"/>
                    </w:rPr>
                    <w:t>集电线路</w:t>
                  </w:r>
                  <w:r>
                    <w:rPr>
                      <w:rFonts w:hint="default" w:ascii="Times New Roman" w:hAnsi="Times New Roman" w:cs="Times New Roman"/>
                      <w:color w:val="auto"/>
                      <w:kern w:val="0"/>
                      <w:szCs w:val="21"/>
                      <w:lang w:val="en-US" w:eastAsia="zh-CN" w:bidi="ar"/>
                    </w:rPr>
                    <w:t>不包含在本次评价范围内。</w:t>
                  </w:r>
                </w:p>
              </w:tc>
              <w:tc>
                <w:tcPr>
                  <w:tcW w:w="590" w:type="pct"/>
                  <w:vAlign w:val="center"/>
                </w:tcPr>
                <w:p w14:paraId="66B82054">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r w14:paraId="451A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vAlign w:val="center"/>
                </w:tcPr>
                <w:p w14:paraId="162F9695">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eastAsia" w:eastAsia="宋体"/>
                      <w:color w:val="auto"/>
                      <w:kern w:val="0"/>
                      <w:szCs w:val="21"/>
                      <w:highlight w:val="none"/>
                      <w:shd w:val="clear" w:color="auto" w:fill="auto"/>
                      <w:lang w:val="en-US" w:eastAsia="zh-CN"/>
                    </w:rPr>
                  </w:pPr>
                  <w:r>
                    <w:rPr>
                      <w:rFonts w:hint="eastAsia"/>
                      <w:color w:val="auto"/>
                      <w:kern w:val="0"/>
                      <w:szCs w:val="21"/>
                      <w:highlight w:val="none"/>
                      <w:shd w:val="clear" w:color="auto" w:fill="auto"/>
                      <w:lang w:val="en-US" w:eastAsia="zh-CN"/>
                    </w:rPr>
                    <w:t>3</w:t>
                  </w:r>
                </w:p>
              </w:tc>
              <w:tc>
                <w:tcPr>
                  <w:tcW w:w="2182" w:type="pct"/>
                  <w:vAlign w:val="center"/>
                </w:tcPr>
                <w:p w14:paraId="5F00B26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szCs w:val="21"/>
                      <w:highlight w:val="none"/>
                      <w:shd w:val="clear" w:color="auto" w:fill="auto"/>
                    </w:rPr>
                  </w:pPr>
                  <w:r>
                    <w:rPr>
                      <w:rFonts w:hint="default"/>
                      <w:color w:val="auto"/>
                      <w:szCs w:val="21"/>
                      <w:highlight w:val="none"/>
                      <w:shd w:val="clear" w:color="auto" w:fill="auto"/>
                    </w:rPr>
                    <w:t>光伏发电项目用地中按农用地、未利用地管理的，除桩基用地外，场内道路等功能分区用地不得硬化地面、破坏耕作层，否则，应当依法办理建设用地审批手续，未办理审批手续的，按违法用地依法查处。对于布设后未能并网发电的光伏方阵，由项目所在地能源主管部门清理。光伏方阵用地按农用地、未利用地管理的项目退出时，未按规定恢复原状的，由项目所在地能源主管部门责令整改到位。</w:t>
                  </w:r>
                </w:p>
              </w:tc>
              <w:tc>
                <w:tcPr>
                  <w:tcW w:w="1778" w:type="pct"/>
                  <w:vAlign w:val="center"/>
                </w:tcPr>
                <w:p w14:paraId="64A246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color w:val="auto"/>
                      <w:szCs w:val="21"/>
                      <w:highlight w:val="none"/>
                      <w:shd w:val="clear" w:color="auto" w:fill="auto"/>
                      <w:lang w:eastAsia="zh-CN"/>
                    </w:rPr>
                  </w:pPr>
                  <w:r>
                    <w:rPr>
                      <w:rFonts w:hint="eastAsia"/>
                      <w:color w:val="auto"/>
                      <w:szCs w:val="21"/>
                      <w:highlight w:val="none"/>
                      <w:shd w:val="clear" w:color="auto" w:fill="auto"/>
                    </w:rPr>
                    <w:t>本项目光伏电池组件阵列区仅对桩基用地进行硬化，场内道路</w:t>
                  </w:r>
                  <w:r>
                    <w:rPr>
                      <w:rFonts w:hint="eastAsia"/>
                      <w:color w:val="auto"/>
                      <w:szCs w:val="21"/>
                      <w:highlight w:val="none"/>
                      <w:shd w:val="clear" w:color="auto" w:fill="auto"/>
                      <w:lang w:val="en-US" w:eastAsia="zh-CN"/>
                    </w:rPr>
                    <w:t>按防火通道单独立项，不在本次评价范围内</w:t>
                  </w:r>
                  <w:r>
                    <w:rPr>
                      <w:rFonts w:hint="eastAsia"/>
                      <w:color w:val="auto"/>
                      <w:szCs w:val="21"/>
                      <w:highlight w:val="none"/>
                      <w:shd w:val="clear" w:color="auto" w:fill="auto"/>
                      <w:lang w:eastAsia="zh-CN"/>
                    </w:rPr>
                    <w:t>。</w:t>
                  </w:r>
                </w:p>
                <w:p w14:paraId="683527D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auto"/>
                      <w:szCs w:val="21"/>
                      <w:highlight w:val="none"/>
                      <w:shd w:val="clear" w:color="auto" w:fill="auto"/>
                    </w:rPr>
                  </w:pPr>
                  <w:r>
                    <w:rPr>
                      <w:rFonts w:hint="eastAsia"/>
                      <w:color w:val="auto"/>
                      <w:szCs w:val="21"/>
                      <w:highlight w:val="none"/>
                      <w:shd w:val="clear" w:color="auto" w:fill="auto"/>
                    </w:rPr>
                    <w:t>在项目服务结束期满后，将光伏阵列设备进行拆除，</w:t>
                  </w:r>
                  <w:r>
                    <w:rPr>
                      <w:rFonts w:hint="eastAsia" w:ascii="宋体" w:hAnsi="宋体" w:cs="宋体"/>
                      <w:color w:val="auto"/>
                      <w:kern w:val="0"/>
                      <w:szCs w:val="21"/>
                      <w:highlight w:val="none"/>
                      <w:lang w:bidi="ar"/>
                    </w:rPr>
                    <w:t>项目用地进行</w:t>
                  </w:r>
                  <w:r>
                    <w:rPr>
                      <w:rFonts w:hint="eastAsia" w:ascii="宋体" w:hAnsi="宋体" w:cs="宋体"/>
                      <w:color w:val="auto"/>
                      <w:kern w:val="0"/>
                      <w:szCs w:val="21"/>
                      <w:highlight w:val="none"/>
                      <w:lang w:val="en-US" w:eastAsia="zh-CN" w:bidi="ar"/>
                    </w:rPr>
                    <w:t>植被恢复</w:t>
                  </w:r>
                  <w:r>
                    <w:rPr>
                      <w:rFonts w:hint="eastAsia" w:ascii="宋体" w:hAnsi="宋体" w:cs="宋体"/>
                      <w:color w:val="auto"/>
                      <w:kern w:val="0"/>
                      <w:szCs w:val="21"/>
                      <w:highlight w:val="none"/>
                      <w:lang w:bidi="ar"/>
                    </w:rPr>
                    <w:t>。</w:t>
                  </w:r>
                  <w:r>
                    <w:rPr>
                      <w:rFonts w:hint="eastAsia" w:ascii="宋体" w:hAnsi="宋体" w:cs="宋体"/>
                      <w:color w:val="auto"/>
                      <w:kern w:val="0"/>
                      <w:szCs w:val="21"/>
                      <w:lang w:bidi="ar"/>
                    </w:rPr>
                    <w:t>本项目</w:t>
                  </w:r>
                  <w:r>
                    <w:rPr>
                      <w:rFonts w:hint="eastAsia" w:ascii="宋体" w:hAnsi="宋体" w:cs="宋体"/>
                      <w:color w:val="auto"/>
                      <w:kern w:val="0"/>
                      <w:szCs w:val="21"/>
                      <w:lang w:val="en-US" w:eastAsia="zh-CN" w:bidi="ar"/>
                    </w:rPr>
                    <w:t>建成后占用林地的部分实施林光互补工程，项目</w:t>
                  </w:r>
                  <w:r>
                    <w:rPr>
                      <w:rFonts w:hint="eastAsia" w:ascii="宋体" w:hAnsi="宋体" w:cs="宋体"/>
                      <w:color w:val="auto"/>
                      <w:kern w:val="0"/>
                      <w:szCs w:val="21"/>
                      <w:lang w:bidi="ar"/>
                    </w:rPr>
                    <w:t>建设不会改变项目用地性质。</w:t>
                  </w:r>
                </w:p>
              </w:tc>
              <w:tc>
                <w:tcPr>
                  <w:tcW w:w="590" w:type="pct"/>
                  <w:vAlign w:val="center"/>
                </w:tcPr>
                <w:p w14:paraId="053B3BDB">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rPr>
                      <w:rFonts w:hint="default"/>
                      <w:color w:val="auto"/>
                      <w:kern w:val="0"/>
                      <w:szCs w:val="21"/>
                      <w:highlight w:val="none"/>
                      <w:shd w:val="clear" w:color="auto" w:fill="auto"/>
                    </w:rPr>
                  </w:pPr>
                  <w:r>
                    <w:rPr>
                      <w:rFonts w:hint="eastAsia"/>
                      <w:color w:val="auto"/>
                      <w:kern w:val="0"/>
                      <w:szCs w:val="21"/>
                      <w:highlight w:val="none"/>
                      <w:shd w:val="clear" w:color="auto" w:fill="auto"/>
                    </w:rPr>
                    <w:t>符合</w:t>
                  </w:r>
                </w:p>
              </w:tc>
            </w:tr>
          </w:tbl>
          <w:p w14:paraId="12B68513">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经上表分析可知，本项目符合《云南省自然资源厅云南省能源局关于进一步支持光伏扶贫和规范光伏发电产业用地的通知》（云自然资〔</w:t>
            </w:r>
            <w:r>
              <w:rPr>
                <w:rFonts w:hint="default"/>
                <w:color w:val="auto"/>
                <w:kern w:val="0"/>
                <w:sz w:val="24"/>
                <w:highlight w:val="none"/>
                <w:shd w:val="clear" w:color="auto" w:fill="auto"/>
              </w:rPr>
              <w:t>2019</w:t>
            </w:r>
            <w:r>
              <w:rPr>
                <w:rFonts w:hint="eastAsia"/>
                <w:color w:val="auto"/>
                <w:kern w:val="0"/>
                <w:sz w:val="24"/>
                <w:highlight w:val="none"/>
                <w:shd w:val="clear" w:color="auto" w:fill="auto"/>
              </w:rPr>
              <w:t>〕</w:t>
            </w:r>
            <w:r>
              <w:rPr>
                <w:rFonts w:hint="default"/>
                <w:color w:val="auto"/>
                <w:kern w:val="0"/>
                <w:sz w:val="24"/>
                <w:highlight w:val="none"/>
                <w:shd w:val="clear" w:color="auto" w:fill="auto"/>
              </w:rPr>
              <w:t>196</w:t>
            </w:r>
            <w:r>
              <w:rPr>
                <w:rFonts w:hint="eastAsia"/>
                <w:color w:val="auto"/>
                <w:kern w:val="0"/>
                <w:sz w:val="24"/>
                <w:highlight w:val="none"/>
                <w:shd w:val="clear" w:color="auto" w:fill="auto"/>
              </w:rPr>
              <w:t>号）的相关要求。</w:t>
            </w:r>
          </w:p>
          <w:p w14:paraId="430CAD4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val="en-US" w:eastAsia="zh-CN"/>
              </w:rPr>
              <w:t>1</w:t>
            </w:r>
            <w:r>
              <w:rPr>
                <w:rFonts w:hint="eastAsia"/>
                <w:b/>
                <w:color w:val="auto"/>
                <w:sz w:val="24"/>
                <w:highlight w:val="none"/>
                <w:lang w:val="en-US" w:eastAsia="zh-CN"/>
              </w:rPr>
              <w:t>4</w:t>
            </w:r>
            <w:r>
              <w:rPr>
                <w:rFonts w:hint="default" w:ascii="Times New Roman" w:hAnsi="Times New Roman" w:eastAsia="宋体"/>
                <w:b/>
                <w:color w:val="auto"/>
                <w:sz w:val="24"/>
                <w:highlight w:val="none"/>
              </w:rPr>
              <w:t>、与</w:t>
            </w:r>
            <w:r>
              <w:rPr>
                <w:rFonts w:hint="eastAsia" w:ascii="Times New Roman" w:hAnsi="Times New Roman" w:eastAsia="宋体"/>
                <w:b/>
                <w:color w:val="auto"/>
                <w:sz w:val="24"/>
                <w:highlight w:val="none"/>
              </w:rPr>
              <w:t>《云南省能源局关于推进太阳能光伏开发利用的指导意见》（云能源水电</w:t>
            </w:r>
            <w:r>
              <w:rPr>
                <w:rFonts w:hint="eastAsia" w:ascii="Times New Roman" w:hAnsi="Times New Roman" w:eastAsia="宋体"/>
                <w:b/>
                <w:color w:val="auto"/>
                <w:sz w:val="24"/>
                <w:highlight w:val="none"/>
                <w:lang w:eastAsia="zh-CN"/>
              </w:rPr>
              <w:t>〔</w:t>
            </w:r>
            <w:r>
              <w:rPr>
                <w:rFonts w:hint="eastAsia" w:ascii="Times New Roman" w:hAnsi="Times New Roman" w:eastAsia="宋体"/>
                <w:b/>
                <w:color w:val="auto"/>
                <w:sz w:val="24"/>
                <w:highlight w:val="none"/>
              </w:rPr>
              <w:t>2016</w:t>
            </w:r>
            <w:r>
              <w:rPr>
                <w:rFonts w:hint="eastAsia" w:ascii="Times New Roman" w:hAnsi="Times New Roman" w:eastAsia="宋体"/>
                <w:b/>
                <w:color w:val="auto"/>
                <w:sz w:val="24"/>
                <w:highlight w:val="none"/>
                <w:lang w:eastAsia="zh-CN"/>
              </w:rPr>
              <w:t>〕</w:t>
            </w:r>
            <w:r>
              <w:rPr>
                <w:rFonts w:hint="eastAsia" w:ascii="Times New Roman" w:hAnsi="Times New Roman" w:eastAsia="宋体"/>
                <w:b/>
                <w:color w:val="auto"/>
                <w:sz w:val="24"/>
                <w:highlight w:val="none"/>
              </w:rPr>
              <w:t>15号）的符合性分析</w:t>
            </w:r>
          </w:p>
          <w:p w14:paraId="185B8CB1">
            <w:pPr>
              <w:pStyle w:val="1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shd w:val="clear" w:color="auto" w:fill="auto"/>
                <w:lang w:val="en-US" w:eastAsia="zh-CN" w:bidi="ar-SA"/>
              </w:rPr>
            </w:pPr>
            <w:r>
              <w:rPr>
                <w:rFonts w:hint="default" w:ascii="Times New Roman" w:hAnsi="Times New Roman" w:eastAsia="宋体" w:cs="Times New Roman"/>
                <w:color w:val="auto"/>
                <w:kern w:val="0"/>
                <w:sz w:val="24"/>
                <w:szCs w:val="24"/>
                <w:highlight w:val="none"/>
                <w:shd w:val="clear" w:color="auto" w:fill="auto"/>
                <w:lang w:val="en-US" w:eastAsia="zh-CN" w:bidi="ar-SA"/>
              </w:rPr>
              <w:t>2016年2月23日云南省</w:t>
            </w:r>
            <w:r>
              <w:rPr>
                <w:rFonts w:hint="eastAsia" w:ascii="Times New Roman" w:hAnsi="Times New Roman" w:eastAsia="宋体" w:cs="Times New Roman"/>
                <w:color w:val="auto"/>
                <w:kern w:val="0"/>
                <w:sz w:val="24"/>
                <w:szCs w:val="24"/>
                <w:highlight w:val="none"/>
                <w:shd w:val="clear" w:color="auto" w:fill="auto"/>
                <w:lang w:val="en-US" w:eastAsia="zh-CN" w:bidi="ar-SA"/>
              </w:rPr>
              <w:t>能源局下发了关于推进太阳能光伏开发利用的指导意见，《意见》指出，云南不再发展纯地面光伏电站，未来发展重点主要在光伏农（林、牧、渔）业、光伏提水、光伏制冷（脱水、保鲜）、光伏制热（烘干、食品加工）、户用光伏扶贫，以及城市、工业园区的屋顶分布式光伏领域。《意见》强调，云南光伏电站建设要坚决避让环境敏感区域。这些地方包括生物多样性富集区域、拥有特殊生态环境及特有物种区域、鸟类通道、自然保护区、湿地、风景名胜区、民俗保护区等。《意见》提出要利用能源企业的资金和技术优势，在农业、科技等部门的指导下大力发展高原特色农（林）业、养殖业，为当地经济社会发展、农民脱贫致富探索一条创新、绿色发展道路。</w:t>
            </w:r>
          </w:p>
          <w:p w14:paraId="22B32511">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2" w:firstLineChars="200"/>
              <w:jc w:val="left"/>
              <w:textAlignment w:val="auto"/>
              <w:rPr>
                <w:rFonts w:hint="eastAsia"/>
                <w:color w:val="auto"/>
                <w:kern w:val="0"/>
                <w:sz w:val="24"/>
                <w:highlight w:val="none"/>
              </w:rPr>
            </w:pPr>
            <w:r>
              <w:rPr>
                <w:rFonts w:hint="eastAsia"/>
                <w:b/>
                <w:bCs/>
                <w:color w:val="auto"/>
                <w:kern w:val="0"/>
                <w:sz w:val="24"/>
                <w:highlight w:val="none"/>
              </w:rPr>
              <w:t>符合性分析：</w:t>
            </w:r>
            <w:r>
              <w:rPr>
                <w:rFonts w:hint="eastAsia"/>
                <w:color w:val="auto"/>
                <w:kern w:val="0"/>
                <w:sz w:val="24"/>
                <w:highlight w:val="none"/>
              </w:rPr>
              <w:t>根据云南省林草局、云南省能源局以《关于进一步规范光伏复合项目使用林草地有关事项的通知》（云林规〔2021〕5号）对云南省内光伏发电项目依法依规使用林地的详细规定，本项目在满足正常运营的同时，须保证电池组件阵列下方不得改变林草地用途，不得裸露地表、硬化或作其他用途。</w:t>
            </w:r>
            <w:r>
              <w:rPr>
                <w:rFonts w:hint="default"/>
                <w:color w:val="auto"/>
                <w:kern w:val="0"/>
                <w:sz w:val="24"/>
                <w:highlight w:val="none"/>
              </w:rPr>
              <w:t>项目</w:t>
            </w:r>
            <w:r>
              <w:rPr>
                <w:rFonts w:hint="eastAsia"/>
                <w:color w:val="auto"/>
                <w:kern w:val="0"/>
                <w:sz w:val="24"/>
                <w:highlight w:val="none"/>
              </w:rPr>
              <w:t>选址选线均</w:t>
            </w:r>
            <w:r>
              <w:rPr>
                <w:rFonts w:hint="eastAsia"/>
                <w:color w:val="auto"/>
                <w:kern w:val="0"/>
                <w:sz w:val="24"/>
                <w:highlight w:val="none"/>
                <w:shd w:val="clear" w:color="auto" w:fill="auto"/>
              </w:rPr>
              <w:t>已避让</w:t>
            </w:r>
            <w:r>
              <w:rPr>
                <w:rFonts w:hint="default" w:ascii="Arial" w:hAnsi="Arial" w:eastAsia="Arial" w:cs="Arial"/>
                <w:color w:val="auto"/>
                <w:sz w:val="24"/>
                <w:highlight w:val="none"/>
                <w:shd w:val="clear" w:color="auto" w:fill="auto"/>
              </w:rPr>
              <w:t>生物多样性富集区域、拥有特殊生态环境及特有物种区域、鸟类通道、自然保护区、湿地、风景名胜区、民俗保护区</w:t>
            </w:r>
            <w:r>
              <w:rPr>
                <w:rFonts w:hint="eastAsia" w:cs="Times New Roman"/>
                <w:color w:val="auto"/>
                <w:kern w:val="0"/>
                <w:sz w:val="24"/>
                <w:highlight w:val="none"/>
                <w:lang w:val="en-US" w:eastAsia="zh-CN"/>
              </w:rPr>
              <w:t>和饮用水水源保护区</w:t>
            </w:r>
            <w:r>
              <w:rPr>
                <w:rFonts w:hint="default" w:ascii="Arial" w:hAnsi="Arial" w:eastAsia="Arial" w:cs="Arial"/>
                <w:color w:val="auto"/>
                <w:sz w:val="24"/>
                <w:highlight w:val="none"/>
                <w:shd w:val="clear" w:color="auto" w:fill="auto"/>
              </w:rPr>
              <w:t>等</w:t>
            </w:r>
            <w:r>
              <w:rPr>
                <w:rFonts w:hint="eastAsia"/>
                <w:color w:val="auto"/>
                <w:kern w:val="0"/>
                <w:sz w:val="24"/>
                <w:highlight w:val="none"/>
                <w:shd w:val="clear" w:color="auto" w:fill="auto"/>
              </w:rPr>
              <w:t>环境敏感区</w:t>
            </w:r>
            <w:r>
              <w:rPr>
                <w:rFonts w:hint="eastAsia"/>
                <w:color w:val="auto"/>
                <w:kern w:val="0"/>
                <w:sz w:val="24"/>
                <w:highlight w:val="none"/>
              </w:rPr>
              <w:t>。</w:t>
            </w:r>
            <w:r>
              <w:rPr>
                <w:rFonts w:hint="eastAsia" w:ascii="宋体" w:hAnsi="宋体" w:eastAsia="宋体" w:cs="宋体"/>
                <w:color w:val="auto"/>
                <w:spacing w:val="3"/>
                <w:sz w:val="24"/>
                <w:szCs w:val="24"/>
                <w:lang w:val="en-US" w:eastAsia="zh-CN"/>
              </w:rPr>
              <w:t>根据</w:t>
            </w:r>
            <w:r>
              <w:rPr>
                <w:rFonts w:hint="default" w:ascii="宋体" w:hAnsi="宋体" w:eastAsia="宋体" w:cs="宋体"/>
                <w:color w:val="auto"/>
                <w:spacing w:val="3"/>
                <w:sz w:val="24"/>
                <w:szCs w:val="24"/>
                <w:lang w:eastAsia="zh-CN"/>
              </w:rPr>
              <w:t>云南省林业和草原局于</w:t>
            </w:r>
            <w:r>
              <w:rPr>
                <w:rFonts w:hint="default" w:ascii="宋体" w:hAnsi="宋体" w:eastAsia="宋体" w:cs="宋体"/>
                <w:color w:val="auto"/>
                <w:spacing w:val="-50"/>
                <w:sz w:val="24"/>
                <w:szCs w:val="24"/>
                <w:lang w:eastAsia="zh-CN"/>
              </w:rPr>
              <w:t xml:space="preserve"> </w:t>
            </w:r>
            <w:r>
              <w:rPr>
                <w:rFonts w:hint="default" w:ascii="Times New Roman" w:hAnsi="Times New Roman" w:eastAsia="Times New Roman" w:cs="Times New Roman"/>
                <w:color w:val="auto"/>
                <w:spacing w:val="3"/>
                <w:sz w:val="24"/>
                <w:szCs w:val="24"/>
                <w:lang w:eastAsia="zh-CN"/>
              </w:rPr>
              <w:t>202</w:t>
            </w:r>
            <w:r>
              <w:rPr>
                <w:rFonts w:hint="default" w:ascii="Times New Roman" w:hAnsi="Times New Roman" w:eastAsia="Times New Roman" w:cs="Times New Roman"/>
                <w:color w:val="auto"/>
                <w:spacing w:val="2"/>
                <w:sz w:val="24"/>
                <w:szCs w:val="24"/>
                <w:lang w:eastAsia="zh-CN"/>
              </w:rPr>
              <w:t>3</w:t>
            </w:r>
            <w:r>
              <w:rPr>
                <w:rFonts w:hint="default" w:ascii="宋体" w:hAnsi="宋体" w:eastAsia="宋体" w:cs="宋体"/>
                <w:color w:val="auto"/>
                <w:spacing w:val="2"/>
                <w:sz w:val="24"/>
                <w:szCs w:val="24"/>
                <w:lang w:eastAsia="zh-CN"/>
              </w:rPr>
              <w:t>年</w:t>
            </w:r>
            <w:r>
              <w:rPr>
                <w:rFonts w:hint="default" w:ascii="Times New Roman" w:hAnsi="Times New Roman" w:eastAsia="Times New Roman" w:cs="Times New Roman"/>
                <w:color w:val="auto"/>
                <w:spacing w:val="2"/>
                <w:sz w:val="24"/>
                <w:szCs w:val="24"/>
                <w:lang w:eastAsia="zh-CN"/>
              </w:rPr>
              <w:t>12</w:t>
            </w:r>
            <w:r>
              <w:rPr>
                <w:rFonts w:hint="default" w:ascii="宋体" w:hAnsi="宋体" w:eastAsia="宋体" w:cs="宋体"/>
                <w:color w:val="auto"/>
                <w:spacing w:val="2"/>
                <w:sz w:val="24"/>
                <w:szCs w:val="24"/>
                <w:lang w:eastAsia="zh-CN"/>
              </w:rPr>
              <w:t>月</w:t>
            </w:r>
            <w:r>
              <w:rPr>
                <w:rFonts w:hint="default" w:ascii="Times New Roman" w:hAnsi="Times New Roman" w:eastAsia="Times New Roman" w:cs="Times New Roman"/>
                <w:color w:val="auto"/>
                <w:spacing w:val="3"/>
                <w:sz w:val="24"/>
                <w:szCs w:val="24"/>
                <w:lang w:eastAsia="zh-CN"/>
              </w:rPr>
              <w:t>19</w:t>
            </w:r>
            <w:r>
              <w:rPr>
                <w:rFonts w:hint="default" w:ascii="宋体" w:hAnsi="宋体" w:eastAsia="宋体" w:cs="宋体"/>
                <w:color w:val="auto"/>
                <w:spacing w:val="3"/>
                <w:sz w:val="24"/>
                <w:szCs w:val="24"/>
                <w:lang w:eastAsia="zh-CN"/>
              </w:rPr>
              <w:t>日公布</w:t>
            </w:r>
            <w:r>
              <w:rPr>
                <w:rFonts w:hint="eastAsia" w:ascii="宋体" w:hAnsi="宋体" w:eastAsia="宋体" w:cs="宋体"/>
                <w:color w:val="auto"/>
                <w:spacing w:val="3"/>
                <w:sz w:val="24"/>
                <w:szCs w:val="24"/>
                <w:lang w:eastAsia="zh-CN"/>
              </w:rPr>
              <w:t>的</w:t>
            </w:r>
            <w:r>
              <w:rPr>
                <w:rFonts w:hint="default" w:ascii="宋体" w:hAnsi="宋体" w:eastAsia="宋体" w:cs="宋体"/>
                <w:color w:val="auto"/>
                <w:spacing w:val="3"/>
                <w:sz w:val="24"/>
                <w:szCs w:val="24"/>
                <w:lang w:eastAsia="zh-CN"/>
              </w:rPr>
              <w:t>云南省候鸟迁徙通道重点区域范围（第一批）。在划定的</w:t>
            </w:r>
            <w:r>
              <w:rPr>
                <w:rFonts w:hint="default" w:ascii="Times New Roman" w:hAnsi="Times New Roman" w:eastAsia="Times New Roman" w:cs="Times New Roman"/>
                <w:color w:val="auto"/>
                <w:spacing w:val="3"/>
                <w:sz w:val="24"/>
                <w:szCs w:val="24"/>
                <w:lang w:eastAsia="zh-CN"/>
              </w:rPr>
              <w:t>10</w:t>
            </w:r>
            <w:r>
              <w:rPr>
                <w:rFonts w:hint="default" w:ascii="宋体" w:hAnsi="宋体" w:eastAsia="宋体" w:cs="宋体"/>
                <w:color w:val="auto"/>
                <w:spacing w:val="3"/>
                <w:sz w:val="24"/>
                <w:szCs w:val="24"/>
                <w:lang w:eastAsia="zh-CN"/>
              </w:rPr>
              <w:t>个重点区域</w:t>
            </w:r>
            <w:r>
              <w:rPr>
                <w:rFonts w:hint="default" w:ascii="宋体" w:hAnsi="宋体" w:eastAsia="宋体" w:cs="宋体"/>
                <w:color w:val="auto"/>
                <w:spacing w:val="-1"/>
                <w:sz w:val="24"/>
                <w:szCs w:val="24"/>
                <w:lang w:eastAsia="zh-CN"/>
              </w:rPr>
              <w:t>中，距离项目最近的为</w:t>
            </w:r>
            <w:r>
              <w:rPr>
                <w:rFonts w:hint="eastAsia" w:ascii="宋体" w:hAnsi="宋体" w:eastAsia="宋体" w:cs="宋体"/>
                <w:color w:val="auto"/>
                <w:spacing w:val="1"/>
                <w:sz w:val="24"/>
                <w:szCs w:val="24"/>
                <w:highlight w:val="none"/>
                <w:lang w:eastAsia="zh-CN"/>
              </w:rPr>
              <w:t>开远市大黑山</w:t>
            </w:r>
            <w:r>
              <w:rPr>
                <w:rFonts w:hint="eastAsia" w:ascii="宋体" w:hAnsi="宋体" w:eastAsia="宋体" w:cs="宋体"/>
                <w:color w:val="auto"/>
                <w:spacing w:val="1"/>
                <w:sz w:val="24"/>
                <w:szCs w:val="24"/>
                <w:lang w:eastAsia="zh-CN"/>
              </w:rPr>
              <w:t>，距最近的占地直线距</w:t>
            </w:r>
            <w:r>
              <w:rPr>
                <w:rFonts w:hint="default" w:ascii="Times New Roman" w:hAnsi="Times New Roman" w:eastAsia="宋体" w:cs="Times New Roman"/>
                <w:color w:val="auto"/>
                <w:spacing w:val="1"/>
                <w:sz w:val="24"/>
                <w:szCs w:val="24"/>
                <w:highlight w:val="none"/>
                <w:lang w:eastAsia="zh-CN"/>
              </w:rPr>
              <w:t>离</w:t>
            </w:r>
            <w:r>
              <w:rPr>
                <w:rFonts w:hint="default" w:ascii="Times New Roman" w:hAnsi="Times New Roman" w:eastAsia="宋体" w:cs="Times New Roman"/>
                <w:color w:val="auto"/>
                <w:spacing w:val="1"/>
                <w:sz w:val="24"/>
                <w:szCs w:val="24"/>
                <w:highlight w:val="none"/>
                <w:lang w:val="en-US" w:eastAsia="zh-CN"/>
              </w:rPr>
              <w:t>232</w:t>
            </w:r>
            <w:r>
              <w:rPr>
                <w:rFonts w:hint="default" w:ascii="Times New Roman" w:hAnsi="Times New Roman" w:eastAsia="宋体" w:cs="Times New Roman"/>
                <w:color w:val="auto"/>
                <w:spacing w:val="1"/>
                <w:sz w:val="24"/>
                <w:szCs w:val="24"/>
                <w:highlight w:val="none"/>
                <w:lang w:eastAsia="zh-CN"/>
              </w:rPr>
              <w:t>km，其他候鸟迁徙通道距离占地直线距离均在</w:t>
            </w:r>
            <w:r>
              <w:rPr>
                <w:rFonts w:hint="default" w:ascii="Times New Roman" w:hAnsi="Times New Roman" w:eastAsia="宋体" w:cs="Times New Roman"/>
                <w:color w:val="auto"/>
                <w:spacing w:val="1"/>
                <w:sz w:val="24"/>
                <w:szCs w:val="24"/>
                <w:highlight w:val="none"/>
                <w:lang w:val="en-US" w:eastAsia="zh-CN"/>
              </w:rPr>
              <w:t>232</w:t>
            </w:r>
            <w:r>
              <w:rPr>
                <w:rFonts w:hint="default" w:ascii="Times New Roman" w:hAnsi="Times New Roman" w:eastAsia="宋体" w:cs="Times New Roman"/>
                <w:color w:val="auto"/>
                <w:spacing w:val="1"/>
                <w:sz w:val="24"/>
                <w:szCs w:val="24"/>
                <w:highlight w:val="none"/>
                <w:lang w:eastAsia="zh-CN"/>
              </w:rPr>
              <w:t>km以上。</w:t>
            </w:r>
          </w:p>
          <w:p w14:paraId="3C1D5B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cs="Times New Roman"/>
                <w:b w:val="0"/>
                <w:bCs w:val="0"/>
                <w:color w:val="auto"/>
                <w:kern w:val="0"/>
                <w:sz w:val="24"/>
                <w:szCs w:val="24"/>
                <w:highlight w:val="none"/>
                <w:shd w:val="clear" w:color="auto" w:fill="auto"/>
                <w:lang w:val="en-US" w:eastAsia="zh-CN"/>
              </w:rPr>
              <w:t>项目所在地占地类型为</w:t>
            </w:r>
            <w:r>
              <w:rPr>
                <w:rFonts w:hint="eastAsia" w:cs="Times New Roman"/>
                <w:b w:val="0"/>
                <w:bCs w:val="0"/>
                <w:color w:val="auto"/>
                <w:kern w:val="0"/>
                <w:sz w:val="24"/>
                <w:szCs w:val="24"/>
                <w:highlight w:val="none"/>
                <w:shd w:val="clear" w:color="auto" w:fill="auto"/>
                <w:lang w:val="en-US" w:eastAsia="zh-CN"/>
              </w:rPr>
              <w:t>其他</w:t>
            </w:r>
            <w:r>
              <w:rPr>
                <w:rFonts w:hint="eastAsia" w:ascii="Times New Roman" w:hAnsi="Times New Roman" w:cs="Times New Roman"/>
                <w:b w:val="0"/>
                <w:bCs w:val="0"/>
                <w:color w:val="auto"/>
                <w:kern w:val="0"/>
                <w:sz w:val="24"/>
                <w:szCs w:val="24"/>
                <w:highlight w:val="none"/>
                <w:shd w:val="clear" w:color="auto" w:fill="auto"/>
                <w:lang w:val="en-US" w:eastAsia="zh-CN"/>
              </w:rPr>
              <w:t>草地、</w:t>
            </w:r>
            <w:r>
              <w:rPr>
                <w:rFonts w:hint="default" w:ascii="Times New Roman" w:hAnsi="Times New Roman" w:eastAsia="宋体" w:cs="Times New Roman"/>
                <w:i w:val="0"/>
                <w:iCs w:val="0"/>
                <w:color w:val="auto"/>
                <w:kern w:val="0"/>
                <w:sz w:val="24"/>
                <w:szCs w:val="24"/>
                <w:highlight w:val="none"/>
                <w:u w:val="none"/>
                <w:lang w:val="en-US" w:eastAsia="zh-CN" w:bidi="ar"/>
              </w:rPr>
              <w:t>林地</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i w:val="0"/>
                <w:iCs w:val="0"/>
                <w:color w:val="auto"/>
                <w:kern w:val="0"/>
                <w:sz w:val="24"/>
                <w:szCs w:val="24"/>
                <w:highlight w:val="none"/>
                <w:u w:val="none"/>
                <w:lang w:val="en-US" w:eastAsia="zh-CN" w:bidi="ar"/>
              </w:rPr>
              <w:t>交通运输用地</w:t>
            </w:r>
            <w:r>
              <w:rPr>
                <w:rFonts w:hint="eastAsia" w:cs="Times New Roman"/>
                <w:i w:val="0"/>
                <w:iCs w:val="0"/>
                <w:color w:val="auto"/>
                <w:kern w:val="0"/>
                <w:sz w:val="24"/>
                <w:szCs w:val="24"/>
                <w:highlight w:val="none"/>
                <w:u w:val="none"/>
                <w:lang w:val="en-US" w:eastAsia="zh-CN" w:bidi="ar"/>
              </w:rPr>
              <w:t>和裸土地</w:t>
            </w:r>
            <w:r>
              <w:rPr>
                <w:rFonts w:hint="eastAsia" w:cs="Times New Roman"/>
                <w:b w:val="0"/>
                <w:bCs w:val="0"/>
                <w:color w:val="auto"/>
                <w:kern w:val="0"/>
                <w:sz w:val="24"/>
                <w:szCs w:val="24"/>
                <w:highlight w:val="none"/>
                <w:shd w:val="clear" w:color="auto" w:fill="auto"/>
                <w:lang w:val="en-US" w:eastAsia="zh-CN"/>
              </w:rPr>
              <w:t>，</w:t>
            </w:r>
            <w:r>
              <w:rPr>
                <w:rFonts w:hint="eastAsia"/>
                <w:color w:val="auto"/>
                <w:kern w:val="0"/>
                <w:sz w:val="24"/>
                <w:szCs w:val="24"/>
                <w:highlight w:val="none"/>
                <w:shd w:val="clear" w:color="auto" w:fill="auto"/>
              </w:rPr>
              <w:t>本项目在进行光伏发电的同时，</w:t>
            </w:r>
            <w:r>
              <w:rPr>
                <w:rFonts w:hint="eastAsia"/>
                <w:color w:val="auto"/>
                <w:kern w:val="0"/>
                <w:sz w:val="24"/>
                <w:szCs w:val="24"/>
                <w:highlight w:val="none"/>
                <w:shd w:val="clear" w:color="auto" w:fill="auto"/>
                <w:lang w:val="en-US" w:eastAsia="zh-CN"/>
              </w:rPr>
              <w:t>光伏场区进行林业种植</w:t>
            </w:r>
            <w:r>
              <w:rPr>
                <w:rFonts w:hint="eastAsia"/>
                <w:color w:val="auto"/>
                <w:kern w:val="0"/>
                <w:sz w:val="24"/>
                <w:szCs w:val="24"/>
                <w:highlight w:val="none"/>
                <w:shd w:val="clear" w:color="auto" w:fill="auto"/>
              </w:rPr>
              <w:t>，对土地合理利用，对于架设在</w:t>
            </w:r>
            <w:r>
              <w:rPr>
                <w:rFonts w:hint="eastAsia"/>
                <w:color w:val="auto"/>
                <w:kern w:val="0"/>
                <w:sz w:val="24"/>
                <w:szCs w:val="24"/>
                <w:highlight w:val="none"/>
                <w:shd w:val="clear" w:color="auto" w:fill="auto"/>
                <w:lang w:val="en-US" w:eastAsia="zh-CN"/>
              </w:rPr>
              <w:t>植被</w:t>
            </w:r>
            <w:r>
              <w:rPr>
                <w:rFonts w:hint="eastAsia"/>
                <w:color w:val="auto"/>
                <w:kern w:val="0"/>
                <w:sz w:val="24"/>
                <w:szCs w:val="24"/>
                <w:highlight w:val="none"/>
                <w:shd w:val="clear" w:color="auto" w:fill="auto"/>
              </w:rPr>
              <w:t>上的</w:t>
            </w:r>
            <w:r>
              <w:rPr>
                <w:rFonts w:hint="eastAsia"/>
                <w:color w:val="auto"/>
                <w:kern w:val="0"/>
                <w:sz w:val="24"/>
                <w:szCs w:val="24"/>
                <w:highlight w:val="none"/>
                <w:shd w:val="clear" w:color="auto" w:fill="auto"/>
                <w:lang w:val="en-US" w:eastAsia="zh-CN"/>
              </w:rPr>
              <w:t>光伏</w:t>
            </w:r>
            <w:r>
              <w:rPr>
                <w:rFonts w:hint="eastAsia"/>
                <w:color w:val="auto"/>
                <w:kern w:val="0"/>
                <w:sz w:val="24"/>
                <w:szCs w:val="24"/>
                <w:highlight w:val="none"/>
                <w:shd w:val="clear" w:color="auto" w:fill="auto"/>
              </w:rPr>
              <w:t>阵列，要求严格按</w:t>
            </w:r>
            <w:r>
              <w:rPr>
                <w:rFonts w:hint="default" w:ascii="Times New Roman" w:hAnsi="Times New Roman" w:eastAsia="宋体" w:cs="Times New Roman"/>
                <w:color w:val="auto"/>
                <w:kern w:val="0"/>
                <w:sz w:val="24"/>
                <w:szCs w:val="24"/>
                <w:highlight w:val="none"/>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4"/>
                <w:szCs w:val="24"/>
                <w:highlight w:val="none"/>
                <w:lang w:eastAsia="zh-CN"/>
              </w:rPr>
              <w:t>光</w:t>
            </w:r>
            <w:r>
              <w:rPr>
                <w:rFonts w:hint="default" w:ascii="Times New Roman" w:hAnsi="Times New Roman" w:cs="Times New Roman"/>
                <w:color w:val="auto"/>
                <w:kern w:val="0"/>
                <w:sz w:val="24"/>
                <w:szCs w:val="24"/>
                <w:highlight w:val="none"/>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4"/>
                <w:szCs w:val="24"/>
                <w:highlight w:val="none"/>
                <w:lang w:bidi="ar"/>
              </w:rPr>
              <w:t>进行建设</w:t>
            </w:r>
            <w:r>
              <w:rPr>
                <w:rFonts w:hint="eastAsia" w:ascii="Times New Roman" w:hAnsi="Times New Roman" w:eastAsia="宋体" w:cs="Times New Roman"/>
                <w:color w:val="auto"/>
                <w:kern w:val="0"/>
                <w:sz w:val="24"/>
                <w:szCs w:val="24"/>
                <w:highlight w:val="none"/>
                <w:lang w:eastAsia="zh-CN" w:bidi="ar"/>
              </w:rPr>
              <w:t>，</w:t>
            </w:r>
            <w:r>
              <w:rPr>
                <w:rFonts w:hint="eastAsia"/>
                <w:color w:val="auto"/>
                <w:kern w:val="0"/>
                <w:sz w:val="24"/>
                <w:highlight w:val="none"/>
                <w:lang w:eastAsia="zh-CN"/>
              </w:rPr>
              <w:t>建设完成后对组件下方进行</w:t>
            </w:r>
            <w:r>
              <w:rPr>
                <w:rFonts w:hint="eastAsia"/>
                <w:color w:val="auto"/>
                <w:sz w:val="24"/>
                <w:highlight w:val="none"/>
              </w:rPr>
              <w:t>覆土</w:t>
            </w:r>
            <w:r>
              <w:rPr>
                <w:rFonts w:hint="eastAsia"/>
                <w:color w:val="auto"/>
                <w:sz w:val="24"/>
                <w:highlight w:val="none"/>
                <w:lang w:eastAsia="zh-CN"/>
              </w:rPr>
              <w:t>，并种植林草植被，</w:t>
            </w:r>
            <w:r>
              <w:rPr>
                <w:rFonts w:hint="eastAsia"/>
                <w:color w:val="auto"/>
                <w:kern w:val="0"/>
                <w:sz w:val="24"/>
                <w:highlight w:val="none"/>
                <w:lang w:eastAsia="zh-CN"/>
              </w:rPr>
              <w:t>恢复光伏阵列区植被，促进生态环境的发展</w:t>
            </w:r>
            <w:r>
              <w:rPr>
                <w:rFonts w:hint="eastAsia"/>
                <w:color w:val="auto"/>
                <w:kern w:val="0"/>
                <w:sz w:val="24"/>
                <w:highlight w:val="none"/>
                <w:shd w:val="clear" w:color="auto" w:fill="auto"/>
              </w:rPr>
              <w:t>。</w:t>
            </w:r>
            <w:r>
              <w:rPr>
                <w:rFonts w:hint="eastAsia"/>
                <w:color w:val="auto"/>
                <w:kern w:val="0"/>
                <w:sz w:val="24"/>
                <w:highlight w:val="none"/>
              </w:rPr>
              <w:t>因此，项目与《</w:t>
            </w:r>
            <w:r>
              <w:rPr>
                <w:rFonts w:hint="default"/>
                <w:color w:val="auto"/>
                <w:kern w:val="0"/>
                <w:sz w:val="24"/>
                <w:highlight w:val="none"/>
              </w:rPr>
              <w:t>云南省能源局关于推进太阳能光伏开发利用的指导意见</w:t>
            </w:r>
            <w:r>
              <w:rPr>
                <w:rFonts w:hint="eastAsia"/>
                <w:color w:val="auto"/>
                <w:kern w:val="0"/>
                <w:sz w:val="24"/>
                <w:highlight w:val="none"/>
              </w:rPr>
              <w:t>》（云能源水电〔</w:t>
            </w:r>
            <w:r>
              <w:rPr>
                <w:rFonts w:hint="default"/>
                <w:color w:val="auto"/>
                <w:kern w:val="0"/>
                <w:sz w:val="24"/>
                <w:highlight w:val="none"/>
              </w:rPr>
              <w:t>201</w:t>
            </w:r>
            <w:r>
              <w:rPr>
                <w:rFonts w:hint="eastAsia"/>
                <w:color w:val="auto"/>
                <w:kern w:val="0"/>
                <w:sz w:val="24"/>
                <w:highlight w:val="none"/>
              </w:rPr>
              <w:t>6〕15号）相符。</w:t>
            </w:r>
          </w:p>
          <w:p w14:paraId="4AA1988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left"/>
              <w:textAlignment w:val="auto"/>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val="en-US" w:eastAsia="zh-CN"/>
              </w:rPr>
              <w:t>1</w:t>
            </w:r>
            <w:r>
              <w:rPr>
                <w:rFonts w:hint="eastAsia"/>
                <w:b/>
                <w:color w:val="auto"/>
                <w:sz w:val="24"/>
                <w:highlight w:val="none"/>
                <w:lang w:val="en-US" w:eastAsia="zh-CN"/>
              </w:rPr>
              <w:t>5</w:t>
            </w:r>
            <w:r>
              <w:rPr>
                <w:rFonts w:hint="eastAsia" w:ascii="Times New Roman" w:hAnsi="Times New Roman" w:eastAsia="宋体"/>
                <w:b/>
                <w:color w:val="auto"/>
                <w:sz w:val="24"/>
                <w:highlight w:val="none"/>
              </w:rPr>
              <w:t>、与</w:t>
            </w:r>
            <w:r>
              <w:rPr>
                <w:rFonts w:hint="eastAsia" w:ascii="Times New Roman" w:hAnsi="Times New Roman" w:eastAsia="宋体"/>
                <w:b/>
                <w:color w:val="auto"/>
                <w:sz w:val="24"/>
                <w:highlight w:val="none"/>
                <w:lang w:eastAsia="zh-CN"/>
              </w:rPr>
              <w:t>《云南省人民政府印发关于加快光伏发电发展若干政策措施的通知》</w:t>
            </w:r>
            <w:r>
              <w:rPr>
                <w:rFonts w:hint="eastAsia" w:ascii="Times New Roman" w:hAnsi="Times New Roman" w:eastAsia="宋体"/>
                <w:b/>
                <w:color w:val="auto"/>
                <w:sz w:val="24"/>
                <w:highlight w:val="none"/>
              </w:rPr>
              <w:t>的相符性分析</w:t>
            </w:r>
          </w:p>
          <w:p w14:paraId="6BC51CF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b/>
                <w:color w:val="auto"/>
                <w:kern w:val="0"/>
                <w:sz w:val="21"/>
                <w:szCs w:val="21"/>
                <w:highlight w:val="none"/>
              </w:rPr>
            </w:pPr>
            <w:r>
              <w:rPr>
                <w:rFonts w:hint="default" w:ascii="Times New Roman" w:hAnsi="Times New Roman" w:eastAsia="宋体"/>
                <w:color w:val="auto"/>
                <w:kern w:val="0"/>
                <w:sz w:val="24"/>
                <w:highlight w:val="none"/>
              </w:rPr>
              <w:t>20</w:t>
            </w:r>
            <w:r>
              <w:rPr>
                <w:rFonts w:hint="eastAsia" w:ascii="Times New Roman" w:hAnsi="Times New Roman" w:eastAsia="宋体"/>
                <w:color w:val="auto"/>
                <w:kern w:val="0"/>
                <w:sz w:val="24"/>
                <w:highlight w:val="none"/>
                <w:lang w:val="en-US" w:eastAsia="zh-CN"/>
              </w:rPr>
              <w:t>22</w:t>
            </w:r>
            <w:r>
              <w:rPr>
                <w:rFonts w:hint="eastAsia" w:ascii="Times New Roman" w:hAnsi="Times New Roman" w:eastAsia="宋体"/>
                <w:color w:val="auto"/>
                <w:kern w:val="0"/>
                <w:sz w:val="24"/>
                <w:highlight w:val="none"/>
              </w:rPr>
              <w:t>年</w:t>
            </w:r>
            <w:r>
              <w:rPr>
                <w:rFonts w:hint="eastAsia" w:ascii="Times New Roman" w:hAnsi="Times New Roman" w:eastAsia="宋体"/>
                <w:color w:val="auto"/>
                <w:kern w:val="0"/>
                <w:sz w:val="24"/>
                <w:highlight w:val="none"/>
                <w:lang w:val="en-US" w:eastAsia="zh-CN"/>
              </w:rPr>
              <w:t>3</w:t>
            </w:r>
            <w:r>
              <w:rPr>
                <w:rFonts w:hint="eastAsia" w:ascii="Times New Roman" w:hAnsi="Times New Roman" w:eastAsia="宋体"/>
                <w:color w:val="auto"/>
                <w:kern w:val="0"/>
                <w:sz w:val="24"/>
                <w:highlight w:val="none"/>
              </w:rPr>
              <w:t>月</w:t>
            </w:r>
            <w:r>
              <w:rPr>
                <w:rFonts w:hint="eastAsia" w:ascii="Times New Roman" w:hAnsi="Times New Roman" w:eastAsia="宋体"/>
                <w:color w:val="auto"/>
                <w:kern w:val="0"/>
                <w:sz w:val="24"/>
                <w:highlight w:val="none"/>
                <w:lang w:val="en-US" w:eastAsia="zh-CN"/>
              </w:rPr>
              <w:t>24</w:t>
            </w:r>
            <w:r>
              <w:rPr>
                <w:rFonts w:hint="eastAsia" w:ascii="Times New Roman" w:hAnsi="Times New Roman" w:eastAsia="宋体"/>
                <w:color w:val="auto"/>
                <w:kern w:val="0"/>
                <w:sz w:val="24"/>
                <w:highlight w:val="none"/>
              </w:rPr>
              <w:t>日云南省人民政府</w:t>
            </w:r>
            <w:r>
              <w:rPr>
                <w:rFonts w:hint="eastAsia" w:ascii="Times New Roman" w:hAnsi="Times New Roman" w:eastAsia="宋体"/>
                <w:color w:val="auto"/>
                <w:kern w:val="0"/>
                <w:sz w:val="24"/>
                <w:highlight w:val="none"/>
                <w:lang w:eastAsia="zh-CN"/>
              </w:rPr>
              <w:t>以</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云南省人民政府印发关于加快光伏发电发展若干政策措施的通知</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（云政发〔2022〕16号），印发了</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关于加快光伏发电发展若干政策措施</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本项目与</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关于加快光伏发电发展若干政策措施</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中有关要求的符合性分析详见下表。</w:t>
            </w:r>
          </w:p>
          <w:p w14:paraId="214FA083">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宋体"/>
                <w:b/>
                <w:color w:val="auto"/>
                <w:kern w:val="0"/>
                <w:sz w:val="21"/>
                <w:szCs w:val="21"/>
                <w:highlight w:val="none"/>
              </w:rPr>
            </w:pPr>
            <w:r>
              <w:rPr>
                <w:rFonts w:hint="default" w:ascii="Times New Roman" w:hAnsi="Times New Roman" w:eastAsia="宋体"/>
                <w:b/>
                <w:color w:val="auto"/>
                <w:kern w:val="0"/>
                <w:sz w:val="21"/>
                <w:szCs w:val="21"/>
                <w:highlight w:val="none"/>
              </w:rPr>
              <w:t>表</w:t>
            </w:r>
            <w:r>
              <w:rPr>
                <w:rFonts w:hint="eastAsia" w:ascii="Times New Roman" w:hAnsi="Times New Roman" w:eastAsia="宋体"/>
                <w:b/>
                <w:color w:val="auto"/>
                <w:kern w:val="0"/>
                <w:sz w:val="21"/>
                <w:szCs w:val="21"/>
                <w:highlight w:val="none"/>
              </w:rPr>
              <w:t>1</w:t>
            </w:r>
            <w:r>
              <w:rPr>
                <w:rFonts w:hint="default" w:ascii="Times New Roman" w:hAnsi="Times New Roman" w:eastAsia="宋体"/>
                <w:b/>
                <w:color w:val="auto"/>
                <w:kern w:val="0"/>
                <w:sz w:val="21"/>
                <w:szCs w:val="21"/>
                <w:highlight w:val="none"/>
              </w:rPr>
              <w:t>-</w:t>
            </w:r>
            <w:r>
              <w:rPr>
                <w:rFonts w:hint="eastAsia" w:ascii="Times New Roman" w:hAnsi="Times New Roman" w:eastAsia="宋体"/>
                <w:b/>
                <w:color w:val="auto"/>
                <w:kern w:val="0"/>
                <w:sz w:val="21"/>
                <w:szCs w:val="21"/>
                <w:highlight w:val="none"/>
                <w:lang w:val="en-US" w:eastAsia="zh-CN"/>
              </w:rPr>
              <w:t>13</w:t>
            </w:r>
            <w:r>
              <w:rPr>
                <w:rFonts w:hint="default" w:ascii="Times New Roman" w:hAnsi="Times New Roman" w:eastAsia="宋体"/>
                <w:b/>
                <w:color w:val="auto"/>
                <w:kern w:val="0"/>
                <w:sz w:val="21"/>
                <w:szCs w:val="21"/>
                <w:highlight w:val="none"/>
              </w:rPr>
              <w:t xml:space="preserve">  </w:t>
            </w:r>
            <w:r>
              <w:rPr>
                <w:rFonts w:hint="eastAsia" w:ascii="Times New Roman" w:hAnsi="Times New Roman" w:eastAsia="宋体"/>
                <w:b/>
                <w:color w:val="auto"/>
                <w:kern w:val="0"/>
                <w:sz w:val="21"/>
                <w:szCs w:val="21"/>
                <w:highlight w:val="none"/>
                <w:lang w:eastAsia="zh-CN"/>
              </w:rPr>
              <w:t>项目</w:t>
            </w:r>
            <w:r>
              <w:rPr>
                <w:rFonts w:hint="default" w:ascii="Times New Roman" w:hAnsi="Times New Roman" w:eastAsia="宋体"/>
                <w:b/>
                <w:color w:val="auto"/>
                <w:kern w:val="0"/>
                <w:sz w:val="21"/>
                <w:szCs w:val="21"/>
                <w:highlight w:val="none"/>
              </w:rPr>
              <w:t>与</w:t>
            </w:r>
            <w:r>
              <w:rPr>
                <w:rFonts w:hint="eastAsia" w:ascii="Times New Roman" w:hAnsi="Times New Roman" w:eastAsia="宋体"/>
                <w:b/>
                <w:color w:val="auto"/>
                <w:kern w:val="0"/>
                <w:sz w:val="21"/>
                <w:szCs w:val="21"/>
                <w:highlight w:val="none"/>
              </w:rPr>
              <w:t>《</w:t>
            </w:r>
            <w:r>
              <w:rPr>
                <w:rFonts w:hint="eastAsia" w:ascii="Times New Roman" w:hAnsi="Times New Roman" w:eastAsia="宋体"/>
                <w:b/>
                <w:color w:val="auto"/>
                <w:kern w:val="0"/>
                <w:sz w:val="21"/>
                <w:szCs w:val="21"/>
                <w:highlight w:val="none"/>
                <w:lang w:eastAsia="zh-CN"/>
              </w:rPr>
              <w:t>关于加快光伏发电发展若干政策措施</w:t>
            </w:r>
            <w:r>
              <w:rPr>
                <w:rFonts w:hint="eastAsia" w:ascii="Times New Roman" w:hAnsi="Times New Roman" w:eastAsia="宋体"/>
                <w:b/>
                <w:color w:val="auto"/>
                <w:kern w:val="0"/>
                <w:sz w:val="21"/>
                <w:szCs w:val="21"/>
                <w:highlight w:val="none"/>
              </w:rPr>
              <w:t>》</w:t>
            </w:r>
            <w:r>
              <w:rPr>
                <w:rFonts w:hint="default" w:ascii="Times New Roman" w:hAnsi="Times New Roman" w:eastAsia="宋体"/>
                <w:b/>
                <w:color w:val="auto"/>
                <w:kern w:val="0"/>
                <w:sz w:val="21"/>
                <w:szCs w:val="21"/>
                <w:highlight w:val="none"/>
              </w:rPr>
              <w:t>的符合性分析</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236"/>
              <w:gridCol w:w="2595"/>
              <w:gridCol w:w="629"/>
            </w:tblGrid>
            <w:tr w14:paraId="122E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noWrap w:val="0"/>
                  <w:vAlign w:val="center"/>
                </w:tcPr>
                <w:p w14:paraId="6ABC4495">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lang w:eastAsia="zh-CN"/>
                    </w:rPr>
                  </w:pPr>
                  <w:r>
                    <w:rPr>
                      <w:rFonts w:hint="eastAsia" w:ascii="Times New Roman" w:hAnsi="Times New Roman" w:eastAsia="宋体"/>
                      <w:b/>
                      <w:color w:val="auto"/>
                      <w:szCs w:val="21"/>
                      <w:highlight w:val="none"/>
                      <w:lang w:eastAsia="zh-CN"/>
                    </w:rPr>
                    <w:t>条目</w:t>
                  </w:r>
                </w:p>
              </w:tc>
              <w:tc>
                <w:tcPr>
                  <w:tcW w:w="2223" w:type="pct"/>
                  <w:noWrap w:val="0"/>
                  <w:vAlign w:val="center"/>
                </w:tcPr>
                <w:p w14:paraId="025B191C">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内容要求</w:t>
                  </w:r>
                </w:p>
              </w:tc>
              <w:tc>
                <w:tcPr>
                  <w:tcW w:w="1783" w:type="pct"/>
                  <w:noWrap w:val="0"/>
                  <w:vAlign w:val="center"/>
                </w:tcPr>
                <w:p w14:paraId="3EEC0F3B">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项目情况</w:t>
                  </w:r>
                </w:p>
              </w:tc>
              <w:tc>
                <w:tcPr>
                  <w:tcW w:w="432" w:type="pct"/>
                  <w:noWrap w:val="0"/>
                  <w:vAlign w:val="center"/>
                </w:tcPr>
                <w:p w14:paraId="312C3839">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符合性</w:t>
                  </w:r>
                </w:p>
              </w:tc>
            </w:tr>
            <w:tr w14:paraId="3BB2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noWrap w:val="0"/>
                  <w:vAlign w:val="center"/>
                </w:tcPr>
                <w:p w14:paraId="0542D57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全面有序放开</w:t>
                  </w:r>
                </w:p>
              </w:tc>
              <w:tc>
                <w:tcPr>
                  <w:tcW w:w="2223" w:type="pct"/>
                  <w:noWrap w:val="0"/>
                  <w:vAlign w:val="center"/>
                </w:tcPr>
                <w:p w14:paraId="6F3B1DE4">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建立资源图和项目库。严守</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三线一单</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，组织各州、市开展光伏发电资源全面清查，统筹资源条件、电力供需、生态环境保护、要素保障等因素，形成资源分布</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一张图</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。发挥规划统筹和引领作用，将光伏发电项目及配套接网工程统一纳入国土空间规划，搭建省级统一管理的项目库，入库项目须充分衔接省级和州、市规划，未入库项目各州、市不得开发建设。</w:t>
                  </w:r>
                </w:p>
              </w:tc>
              <w:tc>
                <w:tcPr>
                  <w:tcW w:w="1783" w:type="pct"/>
                  <w:noWrap w:val="0"/>
                  <w:vAlign w:val="center"/>
                </w:tcPr>
                <w:p w14:paraId="79CF89D6">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olor w:val="auto"/>
                      <w:szCs w:val="21"/>
                      <w:highlight w:val="none"/>
                    </w:rPr>
                    <w:t>项目建设符合</w:t>
                  </w:r>
                  <w:r>
                    <w:rPr>
                      <w:rFonts w:hint="eastAsia"/>
                      <w:color w:val="auto"/>
                      <w:szCs w:val="21"/>
                      <w:highlight w:val="none"/>
                      <w:lang w:eastAsia="zh-CN"/>
                    </w:rPr>
                    <w:t>《昆明市生态环境分区管控动态更新方案（征求意见稿）》</w:t>
                  </w:r>
                  <w:r>
                    <w:rPr>
                      <w:rFonts w:hint="default" w:ascii="Times New Roman" w:hAnsi="Times New Roman" w:eastAsia="宋体"/>
                      <w:color w:val="auto"/>
                      <w:szCs w:val="21"/>
                      <w:highlight w:val="none"/>
                    </w:rPr>
                    <w:t>控制要求</w:t>
                  </w:r>
                  <w:r>
                    <w:rPr>
                      <w:rFonts w:hint="eastAsia" w:ascii="Times New Roman" w:hAnsi="Times New Roman" w:eastAsia="宋体"/>
                      <w:color w:val="auto"/>
                      <w:szCs w:val="21"/>
                      <w:highlight w:val="none"/>
                      <w:lang w:eastAsia="zh-CN"/>
                    </w:rPr>
                    <w:t>，具体分析详见上文；经对照“三区三线”划定成果，项目拟用地未占用永久基本农田、生态保护红线。</w:t>
                  </w:r>
                </w:p>
              </w:tc>
              <w:tc>
                <w:tcPr>
                  <w:tcW w:w="432" w:type="pct"/>
                  <w:noWrap w:val="0"/>
                  <w:vAlign w:val="center"/>
                </w:tcPr>
                <w:p w14:paraId="1B53BF51">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符合</w:t>
                  </w:r>
                </w:p>
              </w:tc>
            </w:tr>
            <w:tr w14:paraId="02CD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560" w:type="pct"/>
                  <w:vMerge w:val="restart"/>
                  <w:noWrap w:val="0"/>
                  <w:vAlign w:val="center"/>
                </w:tcPr>
                <w:p w14:paraId="3D69BC5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强化要素保障</w:t>
                  </w:r>
                </w:p>
              </w:tc>
              <w:tc>
                <w:tcPr>
                  <w:tcW w:w="2223" w:type="pct"/>
                  <w:noWrap w:val="0"/>
                  <w:vAlign w:val="center"/>
                </w:tcPr>
                <w:p w14:paraId="170D9890">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保障用地用林指标。严格落实耕地保护和节约集约用地的规定和要求，强化前期选址踏勘论证，光伏复合项目用地不得占用永久基本农田，尽量避让长期稳定利用耕地，特别是坝区集中连片优质耕地。</w:t>
                  </w:r>
                </w:p>
              </w:tc>
              <w:tc>
                <w:tcPr>
                  <w:tcW w:w="1783" w:type="pct"/>
                  <w:noWrap w:val="0"/>
                  <w:vAlign w:val="center"/>
                </w:tcPr>
                <w:p w14:paraId="36B95817">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 w:val="21"/>
                      <w:szCs w:val="21"/>
                      <w:highlight w:val="none"/>
                      <w:lang w:eastAsia="zh-CN"/>
                    </w:rPr>
                    <w:t>项目用地现状为</w:t>
                  </w:r>
                  <w:r>
                    <w:rPr>
                      <w:rFonts w:hint="eastAsia" w:ascii="Times New Roman" w:hAnsi="Times New Roman" w:eastAsia="宋体"/>
                      <w:color w:val="auto"/>
                      <w:sz w:val="21"/>
                      <w:szCs w:val="21"/>
                      <w:highlight w:val="none"/>
                      <w:lang w:val="en-US" w:eastAsia="zh-CN"/>
                    </w:rPr>
                    <w:t>其他草地、林地、交通运输用地和裸土地</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Cs w:val="21"/>
                      <w:highlight w:val="none"/>
                      <w:lang w:eastAsia="zh-CN"/>
                    </w:rPr>
                    <w:t>根据经对照“三区三线”划定成果（自然资源部下发数据），项目拟用地未占用永久基本农田，</w:t>
                  </w:r>
                  <w:r>
                    <w:rPr>
                      <w:rFonts w:hint="eastAsia" w:ascii="Times New Roman" w:hAnsi="Times New Roman" w:eastAsia="宋体"/>
                      <w:color w:val="auto"/>
                      <w:sz w:val="21"/>
                      <w:szCs w:val="21"/>
                      <w:highlight w:val="none"/>
                      <w:lang w:eastAsia="zh-CN"/>
                    </w:rPr>
                    <w:t>不</w:t>
                  </w:r>
                  <w:r>
                    <w:rPr>
                      <w:rFonts w:hint="eastAsia" w:ascii="Times New Roman" w:hAnsi="Times New Roman" w:eastAsia="宋体"/>
                      <w:color w:val="auto"/>
                      <w:szCs w:val="21"/>
                      <w:highlight w:val="none"/>
                      <w:lang w:eastAsia="zh-CN"/>
                    </w:rPr>
                    <w:t>占用</w:t>
                  </w:r>
                  <w:r>
                    <w:rPr>
                      <w:rFonts w:hint="default" w:ascii="Times New Roman" w:hAnsi="Times New Roman" w:eastAsia="宋体"/>
                      <w:color w:val="auto"/>
                      <w:szCs w:val="21"/>
                      <w:highlight w:val="none"/>
                    </w:rPr>
                    <w:t>长期稳定利用耕地</w:t>
                  </w:r>
                  <w:r>
                    <w:rPr>
                      <w:rFonts w:hint="eastAsia"/>
                      <w:color w:val="auto"/>
                      <w:szCs w:val="21"/>
                      <w:highlight w:val="none"/>
                      <w:lang w:eastAsia="zh-CN"/>
                    </w:rPr>
                    <w:t>和</w:t>
                  </w:r>
                  <w:r>
                    <w:rPr>
                      <w:rFonts w:hint="default" w:ascii="Times New Roman" w:hAnsi="Times New Roman" w:eastAsia="宋体"/>
                      <w:color w:val="auto"/>
                      <w:szCs w:val="21"/>
                      <w:highlight w:val="none"/>
                    </w:rPr>
                    <w:t>坝区集中连片优质耕地</w:t>
                  </w:r>
                  <w:r>
                    <w:rPr>
                      <w:rFonts w:hint="eastAsia" w:ascii="Times New Roman" w:hAnsi="Times New Roman" w:eastAsia="宋体"/>
                      <w:color w:val="auto"/>
                      <w:szCs w:val="21"/>
                      <w:highlight w:val="none"/>
                      <w:lang w:eastAsia="zh-CN"/>
                    </w:rPr>
                    <w:t>。</w:t>
                  </w:r>
                </w:p>
              </w:tc>
              <w:tc>
                <w:tcPr>
                  <w:tcW w:w="432" w:type="pct"/>
                  <w:noWrap w:val="0"/>
                  <w:vAlign w:val="center"/>
                </w:tcPr>
                <w:p w14:paraId="3F3B0EE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符合</w:t>
                  </w:r>
                </w:p>
              </w:tc>
            </w:tr>
            <w:tr w14:paraId="1C10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560" w:type="pct"/>
                  <w:vMerge w:val="continue"/>
                  <w:noWrap w:val="0"/>
                  <w:vAlign w:val="center"/>
                </w:tcPr>
                <w:p w14:paraId="3B48521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p>
              </w:tc>
              <w:tc>
                <w:tcPr>
                  <w:tcW w:w="2223" w:type="pct"/>
                  <w:noWrap w:val="0"/>
                  <w:vAlign w:val="center"/>
                </w:tcPr>
                <w:p w14:paraId="2D0272CE">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落实用地用林支持。对符合我省光伏复合项目建设要求和认定标准的项目，利用25度以上耕地（水田除外）或其他农用地布设的光伏方阵，在不破坏耕地耕作层及农用地生产条件和不改变原用地性质的条件下，允许以租赁等方式使用；采用直埋电缆方式敷设集电线路的用地，实行与光伏方阵用地同样的管理方式；场内道路用地可按照农村道路用地管理。</w:t>
                  </w:r>
                </w:p>
              </w:tc>
              <w:tc>
                <w:tcPr>
                  <w:tcW w:w="1783" w:type="pct"/>
                  <w:noWrap w:val="0"/>
                  <w:vAlign w:val="center"/>
                </w:tcPr>
                <w:p w14:paraId="4C51758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lang w:eastAsia="zh-CN"/>
                    </w:rPr>
                    <w:t>项目</w:t>
                  </w:r>
                  <w:r>
                    <w:rPr>
                      <w:rFonts w:hint="eastAsia" w:ascii="Times New Roman" w:hAnsi="Times New Roman" w:eastAsia="宋体"/>
                      <w:color w:val="auto"/>
                      <w:szCs w:val="21"/>
                      <w:highlight w:val="none"/>
                      <w:lang w:val="en-US" w:eastAsia="zh-CN"/>
                    </w:rPr>
                    <w:t>其他草地、林地、交通运输用地</w:t>
                  </w:r>
                  <w:r>
                    <w:rPr>
                      <w:rFonts w:hint="eastAsia" w:ascii="Times New Roman" w:hAnsi="Times New Roman" w:eastAsia="宋体"/>
                      <w:color w:val="auto"/>
                      <w:szCs w:val="21"/>
                      <w:highlight w:val="none"/>
                      <w:lang w:eastAsia="zh-CN"/>
                    </w:rPr>
                    <w:t>，不占用</w:t>
                  </w:r>
                  <w:r>
                    <w:rPr>
                      <w:rFonts w:hint="default" w:ascii="Times New Roman" w:hAnsi="Times New Roman" w:eastAsia="宋体"/>
                      <w:color w:val="auto"/>
                      <w:szCs w:val="21"/>
                      <w:highlight w:val="none"/>
                    </w:rPr>
                    <w:t>25度以上耕地（水田除外）或其他农用地</w:t>
                  </w:r>
                  <w:r>
                    <w:rPr>
                      <w:rFonts w:hint="eastAsia" w:ascii="Times New Roman" w:hAnsi="Times New Roman" w:eastAsia="宋体"/>
                      <w:color w:val="auto"/>
                      <w:szCs w:val="21"/>
                      <w:highlight w:val="none"/>
                      <w:lang w:eastAsia="zh-CN"/>
                    </w:rPr>
                    <w:t>。</w:t>
                  </w:r>
                  <w:r>
                    <w:rPr>
                      <w:rFonts w:hint="eastAsia"/>
                      <w:color w:val="auto"/>
                      <w:szCs w:val="21"/>
                      <w:lang w:val="en-US" w:eastAsia="zh-CN"/>
                    </w:rPr>
                    <w:t>项目集电线路和</w:t>
                  </w:r>
                  <w:r>
                    <w:rPr>
                      <w:rFonts w:hint="default" w:ascii="Times New Roman" w:hAnsi="Times New Roman" w:eastAsia="宋体"/>
                      <w:color w:val="auto"/>
                      <w:szCs w:val="21"/>
                    </w:rPr>
                    <w:t>场内道路</w:t>
                  </w:r>
                  <w:r>
                    <w:rPr>
                      <w:rFonts w:hint="eastAsia"/>
                      <w:color w:val="auto"/>
                      <w:szCs w:val="21"/>
                      <w:lang w:val="en-US" w:eastAsia="zh-CN"/>
                    </w:rPr>
                    <w:t>单独立项</w:t>
                  </w:r>
                  <w:r>
                    <w:rPr>
                      <w:rFonts w:hint="eastAsia"/>
                      <w:color w:val="auto"/>
                      <w:szCs w:val="21"/>
                      <w:lang w:eastAsia="zh-CN"/>
                    </w:rPr>
                    <w:t>，</w:t>
                  </w:r>
                  <w:r>
                    <w:rPr>
                      <w:rFonts w:hint="eastAsia"/>
                      <w:color w:val="auto"/>
                      <w:szCs w:val="21"/>
                      <w:lang w:val="en-US" w:eastAsia="zh-CN"/>
                    </w:rPr>
                    <w:t>均不在本次评价范围内</w:t>
                  </w:r>
                  <w:r>
                    <w:rPr>
                      <w:rFonts w:hint="default" w:ascii="Times New Roman" w:hAnsi="Times New Roman" w:eastAsia="宋体"/>
                      <w:color w:val="auto"/>
                      <w:szCs w:val="21"/>
                    </w:rPr>
                    <w:t>。</w:t>
                  </w:r>
                </w:p>
              </w:tc>
              <w:tc>
                <w:tcPr>
                  <w:tcW w:w="432" w:type="pct"/>
                  <w:noWrap w:val="0"/>
                  <w:vAlign w:val="center"/>
                </w:tcPr>
                <w:p w14:paraId="4505C69D">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符合</w:t>
                  </w:r>
                </w:p>
              </w:tc>
            </w:tr>
          </w:tbl>
          <w:p w14:paraId="6A3B01F7">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kern w:val="0"/>
                <w:sz w:val="24"/>
                <w:highlight w:val="none"/>
                <w:shd w:val="clear" w:color="auto" w:fill="auto"/>
                <w:lang w:val="en-US" w:eastAsia="zh-CN"/>
              </w:rPr>
            </w:pPr>
            <w:r>
              <w:rPr>
                <w:rFonts w:hint="eastAsia" w:ascii="Times New Roman" w:hAnsi="Times New Roman" w:eastAsia="宋体"/>
                <w:color w:val="auto"/>
                <w:kern w:val="0"/>
                <w:sz w:val="24"/>
                <w:highlight w:val="none"/>
                <w:lang w:eastAsia="zh-CN"/>
              </w:rPr>
              <w:t>由上表可知，本项目与</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关于加快光伏发电发展若干政策措施</w:t>
            </w:r>
            <w:r>
              <w:rPr>
                <w:rFonts w:hint="eastAsia" w:ascii="Times New Roman" w:hAnsi="Times New Roman" w:eastAsia="宋体"/>
                <w:color w:val="auto"/>
                <w:kern w:val="0"/>
                <w:sz w:val="24"/>
                <w:highlight w:val="none"/>
              </w:rPr>
              <w:t>》</w:t>
            </w:r>
            <w:r>
              <w:rPr>
                <w:rFonts w:hint="eastAsia" w:ascii="Times New Roman" w:hAnsi="Times New Roman" w:eastAsia="宋体"/>
                <w:color w:val="auto"/>
                <w:kern w:val="0"/>
                <w:sz w:val="24"/>
                <w:highlight w:val="none"/>
                <w:lang w:eastAsia="zh-CN"/>
              </w:rPr>
              <w:t>中有关要求相符</w:t>
            </w:r>
            <w:r>
              <w:rPr>
                <w:rFonts w:hint="eastAsia" w:ascii="Times New Roman" w:hAnsi="Times New Roman" w:eastAsia="宋体"/>
                <w:color w:val="auto"/>
                <w:kern w:val="0"/>
                <w:sz w:val="24"/>
                <w:highlight w:val="none"/>
              </w:rPr>
              <w:t>。</w:t>
            </w:r>
          </w:p>
          <w:p w14:paraId="7CA39DE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highlight w:val="none"/>
                <w:lang w:eastAsia="zh-CN"/>
              </w:rPr>
            </w:pPr>
            <w:r>
              <w:rPr>
                <w:rFonts w:hint="eastAsia" w:cs="Times New Roman"/>
                <w:b/>
                <w:bCs/>
                <w:color w:val="auto"/>
                <w:kern w:val="0"/>
                <w:sz w:val="24"/>
                <w:highlight w:val="none"/>
                <w:lang w:val="en-US" w:eastAsia="zh-CN"/>
              </w:rPr>
              <w:t>16</w:t>
            </w:r>
            <w:r>
              <w:rPr>
                <w:rFonts w:hint="default" w:ascii="Times New Roman" w:hAnsi="Times New Roman" w:cs="Times New Roman"/>
                <w:b/>
                <w:bCs/>
                <w:color w:val="auto"/>
                <w:kern w:val="0"/>
                <w:sz w:val="24"/>
                <w:highlight w:val="none"/>
              </w:rPr>
              <w:t>、</w:t>
            </w:r>
            <w:r>
              <w:rPr>
                <w:rFonts w:hint="default" w:ascii="Times New Roman" w:hAnsi="Times New Roman" w:eastAsia="宋体" w:cs="Times New Roman"/>
                <w:b/>
                <w:bCs/>
                <w:color w:val="auto"/>
                <w:sz w:val="24"/>
                <w:szCs w:val="24"/>
                <w:highlight w:val="none"/>
                <w:lang w:val="en-US" w:eastAsia="zh-CN"/>
              </w:rPr>
              <w:t>与云南省自然资源厅《云南省产业用地政策实施工作指引（2022年版）》（云自然资利用〔2022〕525号）</w:t>
            </w:r>
            <w:r>
              <w:rPr>
                <w:rFonts w:hint="default" w:ascii="Times New Roman" w:hAnsi="Times New Roman" w:eastAsia="宋体" w:cs="Times New Roman"/>
                <w:b/>
                <w:bCs/>
                <w:color w:val="auto"/>
                <w:sz w:val="24"/>
                <w:szCs w:val="24"/>
                <w:highlight w:val="none"/>
                <w:lang w:eastAsia="zh-CN"/>
              </w:rPr>
              <w:t>符合性分析</w:t>
            </w:r>
          </w:p>
          <w:p w14:paraId="73DFED6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kern w:val="0"/>
                <w:sz w:val="24"/>
                <w:highlight w:val="none"/>
                <w:lang w:eastAsia="zh-CN"/>
              </w:rPr>
              <w:t>根据《云南省产业用地政策实施工作指引（2022年版）》（云自然资利用〔2022〕525号）</w:t>
            </w:r>
            <w:r>
              <w:rPr>
                <w:rFonts w:hint="default" w:ascii="Times New Roman" w:hAnsi="Times New Roman" w:eastAsia="宋体" w:cs="Times New Roman"/>
                <w:color w:val="auto"/>
                <w:kern w:val="0"/>
                <w:sz w:val="24"/>
                <w:highlight w:val="none"/>
                <w:lang w:val="en-US" w:eastAsia="zh-CN"/>
              </w:rPr>
              <w:t>中有关光伏发电产业用地政策。</w:t>
            </w:r>
            <w:r>
              <w:rPr>
                <w:rFonts w:hint="default" w:ascii="Times New Roman" w:hAnsi="Times New Roman" w:cs="Times New Roman"/>
                <w:b w:val="0"/>
                <w:bCs w:val="0"/>
                <w:color w:val="auto"/>
                <w:kern w:val="0"/>
                <w:sz w:val="24"/>
                <w:szCs w:val="24"/>
                <w:highlight w:val="none"/>
                <w:lang w:eastAsia="zh-CN"/>
              </w:rPr>
              <w:t>本项目</w:t>
            </w:r>
            <w:r>
              <w:rPr>
                <w:rFonts w:hint="default" w:ascii="Times New Roman" w:hAnsi="Times New Roman" w:cs="Times New Roman"/>
                <w:b w:val="0"/>
                <w:bCs w:val="0"/>
                <w:color w:val="auto"/>
                <w:kern w:val="0"/>
                <w:sz w:val="24"/>
                <w:szCs w:val="24"/>
                <w:highlight w:val="none"/>
                <w:lang w:val="en-US" w:eastAsia="zh-CN"/>
              </w:rPr>
              <w:t>属于符合条件的利用农用地复合建设的光伏发电项目（以下简称光伏复合项目），项目</w:t>
            </w:r>
            <w:r>
              <w:rPr>
                <w:rFonts w:hint="default" w:ascii="Times New Roman" w:hAnsi="Times New Roman" w:cs="Times New Roman"/>
                <w:b w:val="0"/>
                <w:bCs w:val="0"/>
                <w:color w:val="auto"/>
                <w:kern w:val="0"/>
                <w:sz w:val="24"/>
                <w:szCs w:val="24"/>
                <w:highlight w:val="none"/>
                <w:lang w:eastAsia="zh-CN"/>
              </w:rPr>
              <w:t>与</w:t>
            </w:r>
            <w:r>
              <w:rPr>
                <w:rFonts w:hint="default" w:ascii="Times New Roman" w:hAnsi="Times New Roman" w:eastAsia="宋体" w:cs="Times New Roman"/>
                <w:color w:val="auto"/>
                <w:kern w:val="0"/>
                <w:sz w:val="24"/>
                <w:highlight w:val="none"/>
                <w:lang w:eastAsia="zh-CN"/>
              </w:rPr>
              <w:t>《云南省产业用地政策实施工作指引（2022年版）》</w:t>
            </w:r>
            <w:r>
              <w:rPr>
                <w:rFonts w:hint="default" w:ascii="Times New Roman" w:hAnsi="Times New Roman" w:cs="Times New Roman"/>
                <w:b w:val="0"/>
                <w:bCs w:val="0"/>
                <w:color w:val="auto"/>
                <w:kern w:val="0"/>
                <w:sz w:val="24"/>
                <w:szCs w:val="24"/>
                <w:highlight w:val="none"/>
                <w:lang w:eastAsia="zh-CN"/>
              </w:rPr>
              <w:t>符合性分析见表</w:t>
            </w:r>
            <w:r>
              <w:rPr>
                <w:rFonts w:hint="default" w:ascii="Times New Roman" w:hAnsi="Times New Roman" w:cs="Times New Roman"/>
                <w:b w:val="0"/>
                <w:bCs w:val="0"/>
                <w:color w:val="auto"/>
                <w:kern w:val="0"/>
                <w:sz w:val="24"/>
                <w:szCs w:val="24"/>
                <w:highlight w:val="none"/>
                <w:lang w:val="en-US" w:eastAsia="zh-CN"/>
              </w:rPr>
              <w:t>1-</w:t>
            </w:r>
            <w:r>
              <w:rPr>
                <w:rFonts w:hint="eastAsia" w:cs="Times New Roman"/>
                <w:b w:val="0"/>
                <w:bCs w:val="0"/>
                <w:color w:val="auto"/>
                <w:kern w:val="0"/>
                <w:sz w:val="24"/>
                <w:szCs w:val="24"/>
                <w:highlight w:val="none"/>
                <w:lang w:val="en-US" w:eastAsia="zh-CN"/>
              </w:rPr>
              <w:t>14</w:t>
            </w:r>
            <w:r>
              <w:rPr>
                <w:rFonts w:hint="default" w:ascii="Times New Roman" w:hAnsi="Times New Roman" w:cs="Times New Roman"/>
                <w:b w:val="0"/>
                <w:bCs w:val="0"/>
                <w:color w:val="auto"/>
                <w:kern w:val="0"/>
                <w:sz w:val="24"/>
                <w:szCs w:val="24"/>
                <w:highlight w:val="none"/>
                <w:lang w:val="en-US" w:eastAsia="zh-CN"/>
              </w:rPr>
              <w:t>。</w:t>
            </w:r>
          </w:p>
          <w:p w14:paraId="1C4910B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ascii="Times New Roman" w:hAnsi="Times New Roman" w:eastAsia="宋体" w:cs="Times New Roman"/>
                <w:b/>
                <w:bCs/>
                <w:color w:val="auto"/>
                <w:kern w:val="0"/>
                <w:sz w:val="21"/>
                <w:szCs w:val="21"/>
                <w:highlight w:val="none"/>
                <w:lang w:val="en-US" w:eastAsia="zh-CN" w:bidi="ar"/>
              </w:rPr>
              <w:t>1</w:t>
            </w:r>
            <w:r>
              <w:rPr>
                <w:rFonts w:hint="eastAsia" w:cs="Times New Roman"/>
                <w:b/>
                <w:bCs/>
                <w:color w:val="auto"/>
                <w:kern w:val="0"/>
                <w:sz w:val="21"/>
                <w:szCs w:val="21"/>
                <w:highlight w:val="none"/>
                <w:lang w:val="en-US" w:eastAsia="zh-CN" w:bidi="ar"/>
              </w:rPr>
              <w:t>4</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Times New Roman" w:hAnsi="Times New Roman" w:eastAsia="宋体" w:cs="Times New Roman"/>
                <w:b/>
                <w:bCs/>
                <w:color w:val="auto"/>
                <w:kern w:val="0"/>
                <w:sz w:val="21"/>
                <w:szCs w:val="21"/>
                <w:highlight w:val="none"/>
                <w:lang w:val="en-US" w:eastAsia="zh-CN" w:bidi="ar"/>
              </w:rPr>
              <w:t xml:space="preserve"> </w:t>
            </w:r>
            <w:r>
              <w:rPr>
                <w:rFonts w:hint="default" w:ascii="Times New Roman" w:hAnsi="Times New Roman" w:eastAsia="宋体" w:cs="Times New Roman"/>
                <w:b/>
                <w:bCs/>
                <w:color w:val="auto"/>
                <w:kern w:val="0"/>
                <w:sz w:val="21"/>
                <w:szCs w:val="21"/>
                <w:highlight w:val="none"/>
                <w:lang w:val="en-US" w:eastAsia="zh-CN" w:bidi="ar"/>
              </w:rPr>
              <w:t>项目与云自然资利用〔2022〕525号符合性分析</w:t>
            </w:r>
          </w:p>
          <w:tbl>
            <w:tblPr>
              <w:tblStyle w:val="4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0"/>
              <w:gridCol w:w="2901"/>
              <w:gridCol w:w="877"/>
            </w:tblGrid>
            <w:tr w14:paraId="345A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05A0A2F">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《工作指引》要求</w:t>
                  </w:r>
                </w:p>
              </w:tc>
              <w:tc>
                <w:tcPr>
                  <w:tcW w:w="1992" w:type="pct"/>
                  <w:noWrap w:val="0"/>
                  <w:vAlign w:val="center"/>
                </w:tcPr>
                <w:p w14:paraId="30A8BE33">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本项目情况</w:t>
                  </w:r>
                </w:p>
              </w:tc>
              <w:tc>
                <w:tcPr>
                  <w:tcW w:w="602" w:type="pct"/>
                  <w:noWrap w:val="0"/>
                  <w:vAlign w:val="center"/>
                </w:tcPr>
                <w:p w14:paraId="38C4783B">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符合性</w:t>
                  </w:r>
                </w:p>
              </w:tc>
            </w:tr>
            <w:tr w14:paraId="4AD4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3FFD98A7">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highlight w:val="none"/>
                    </w:rPr>
                    <w:t>架设在25度以上耕地（水田除外）或其他农用地上的光伏方阵用地，满足光伏组件最低沿高于地面2.5米、高于最高水位0.6米，桩基间列间距大于4米，行间距大于6.5米的架设要求，在不破坏耕地耕作层及农用地生产条件和不改变原用地性质的条件下，允许以租赁等方式使用</w:t>
                  </w:r>
                  <w:r>
                    <w:rPr>
                      <w:rFonts w:hint="eastAsia" w:cs="Times New Roman"/>
                      <w:color w:val="auto"/>
                      <w:highlight w:val="none"/>
                      <w:lang w:eastAsia="zh-CN"/>
                    </w:rPr>
                    <w:t>。</w:t>
                  </w:r>
                </w:p>
              </w:tc>
              <w:tc>
                <w:tcPr>
                  <w:tcW w:w="1992" w:type="pct"/>
                  <w:noWrap w:val="0"/>
                  <w:vAlign w:val="center"/>
                </w:tcPr>
                <w:p w14:paraId="6A5827BC">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本项目光伏方阵用地不</w:t>
                  </w:r>
                  <w:r>
                    <w:rPr>
                      <w:rFonts w:hint="eastAsia" w:cs="Times New Roman"/>
                      <w:color w:val="auto"/>
                      <w:sz w:val="21"/>
                      <w:szCs w:val="21"/>
                      <w:highlight w:val="none"/>
                      <w:vertAlign w:val="baseline"/>
                      <w:lang w:val="en-US" w:eastAsia="zh-CN"/>
                    </w:rPr>
                    <w:t>占用耕地和</w:t>
                  </w:r>
                  <w:r>
                    <w:rPr>
                      <w:rFonts w:hint="default" w:ascii="Times New Roman" w:hAnsi="Times New Roman" w:eastAsia="宋体" w:cs="Times New Roman"/>
                      <w:color w:val="auto"/>
                      <w:sz w:val="21"/>
                      <w:szCs w:val="21"/>
                      <w:highlight w:val="none"/>
                      <w:vertAlign w:val="baseline"/>
                      <w:lang w:val="en-US" w:eastAsia="zh-CN"/>
                    </w:rPr>
                    <w:t>水田；</w:t>
                  </w:r>
                  <w:r>
                    <w:rPr>
                      <w:rFonts w:hint="default" w:ascii="Times New Roman" w:hAnsi="Times New Roman" w:cs="Times New Roman"/>
                      <w:color w:val="auto"/>
                      <w:highlight w:val="none"/>
                    </w:rPr>
                    <w:t>不破坏耕地耕作层及农用地生产条件和不改变原用地性质</w:t>
                  </w:r>
                  <w:r>
                    <w:rPr>
                      <w:rFonts w:hint="eastAsia" w:ascii="Times New Roman" w:hAnsi="Times New Roman" w:cs="Times New Roman"/>
                      <w:color w:val="auto"/>
                      <w:highlight w:val="none"/>
                      <w:lang w:eastAsia="zh-CN"/>
                    </w:rPr>
                    <w:t>。</w:t>
                  </w:r>
                </w:p>
                <w:p w14:paraId="75EE132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bidi="ar"/>
                    </w:rPr>
                    <w:t>项目</w:t>
                  </w:r>
                  <w:r>
                    <w:rPr>
                      <w:rFonts w:hint="eastAsia" w:cs="Times New Roman"/>
                      <w:color w:val="auto"/>
                      <w:kern w:val="0"/>
                      <w:sz w:val="21"/>
                      <w:szCs w:val="21"/>
                      <w:highlight w:val="none"/>
                      <w:lang w:eastAsia="zh-CN" w:bidi="ar"/>
                    </w:rPr>
                    <w:t>根据</w:t>
                  </w:r>
                  <w:r>
                    <w:rPr>
                      <w:rFonts w:hint="default" w:ascii="Times New Roman" w:hAnsi="Times New Roman" w:eastAsia="宋体" w:cs="Times New Roman"/>
                      <w:color w:val="auto"/>
                      <w:kern w:val="0"/>
                      <w:sz w:val="21"/>
                      <w:szCs w:val="21"/>
                      <w:highlight w:val="none"/>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highlight w:val="none"/>
                      <w:lang w:eastAsia="zh-CN"/>
                    </w:rPr>
                    <w:t>光</w:t>
                  </w:r>
                  <w:r>
                    <w:rPr>
                      <w:rFonts w:hint="default" w:ascii="Times New Roman" w:hAnsi="Times New Roman" w:cs="Times New Roman"/>
                      <w:color w:val="auto"/>
                      <w:kern w:val="0"/>
                      <w:sz w:val="21"/>
                      <w:szCs w:val="21"/>
                      <w:highlight w:val="none"/>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highlight w:val="none"/>
                      <w:lang w:bidi="ar"/>
                    </w:rPr>
                    <w:t>进行建设</w:t>
                  </w:r>
                  <w:r>
                    <w:rPr>
                      <w:rFonts w:hint="eastAsia" w:ascii="Times New Roman" w:hAnsi="Times New Roman" w:eastAsia="宋体" w:cs="Times New Roman"/>
                      <w:color w:val="auto"/>
                      <w:kern w:val="0"/>
                      <w:sz w:val="21"/>
                      <w:szCs w:val="21"/>
                      <w:highlight w:val="none"/>
                      <w:lang w:eastAsia="zh-CN" w:bidi="ar"/>
                    </w:rPr>
                    <w:t>。</w:t>
                  </w:r>
                </w:p>
              </w:tc>
              <w:tc>
                <w:tcPr>
                  <w:tcW w:w="602" w:type="pct"/>
                  <w:noWrap w:val="0"/>
                  <w:vAlign w:val="center"/>
                </w:tcPr>
                <w:p w14:paraId="42F8890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519C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098581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highlight w:val="none"/>
                    </w:rPr>
                    <w:t>除桩基用地外，严禁硬化地面、破坏耕作层，严禁抛荒、</w:t>
                  </w:r>
                  <w:r>
                    <w:rPr>
                      <w:rFonts w:hint="eastAsia" w:ascii="Times New Roman" w:hAnsi="Times New Roman" w:cs="Times New Roman"/>
                      <w:color w:val="auto"/>
                      <w:highlight w:val="none"/>
                      <w:lang w:val="en-US" w:eastAsia="zh-CN"/>
                    </w:rPr>
                    <w:t>撂荒</w:t>
                  </w:r>
                  <w:r>
                    <w:rPr>
                      <w:rFonts w:hint="default" w:ascii="Times New Roman" w:hAnsi="Times New Roman" w:cs="Times New Roman"/>
                      <w:color w:val="auto"/>
                      <w:highlight w:val="none"/>
                    </w:rPr>
                    <w:t>。</w:t>
                  </w:r>
                </w:p>
              </w:tc>
              <w:tc>
                <w:tcPr>
                  <w:tcW w:w="1992" w:type="pct"/>
                  <w:noWrap w:val="0"/>
                  <w:vAlign w:val="center"/>
                </w:tcPr>
                <w:p w14:paraId="5F989FBC">
                  <w:pPr>
                    <w:keepNext w:val="0"/>
                    <w:keepLines/>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光伏方阵区域除桩基用地外，不涉及硬化地面，</w:t>
                  </w:r>
                  <w:r>
                    <w:rPr>
                      <w:rFonts w:hint="eastAsia" w:cs="Times New Roman"/>
                      <w:color w:val="auto"/>
                      <w:sz w:val="21"/>
                      <w:szCs w:val="21"/>
                      <w:highlight w:val="none"/>
                      <w:vertAlign w:val="baseline"/>
                      <w:lang w:val="en-US" w:eastAsia="zh-CN"/>
                    </w:rPr>
                    <w:t>项目不占用耕地，在施工结束将进行植被恢复，</w:t>
                  </w:r>
                  <w:r>
                    <w:rPr>
                      <w:rFonts w:hint="default" w:ascii="Times New Roman" w:hAnsi="Times New Roman" w:eastAsia="宋体" w:cs="Times New Roman"/>
                      <w:color w:val="auto"/>
                      <w:sz w:val="21"/>
                      <w:szCs w:val="21"/>
                      <w:highlight w:val="none"/>
                      <w:vertAlign w:val="baseline"/>
                      <w:lang w:val="en-US" w:eastAsia="zh-CN"/>
                    </w:rPr>
                    <w:t>不会对土地</w:t>
                  </w:r>
                  <w:r>
                    <w:rPr>
                      <w:rFonts w:hint="default" w:ascii="Times New Roman" w:hAnsi="Times New Roman" w:cs="Times New Roman"/>
                      <w:color w:val="auto"/>
                      <w:highlight w:val="none"/>
                    </w:rPr>
                    <w:t>抛荒、</w:t>
                  </w:r>
                  <w:r>
                    <w:rPr>
                      <w:rFonts w:hint="eastAsia" w:ascii="Times New Roman" w:hAnsi="Times New Roman" w:cs="Times New Roman"/>
                      <w:color w:val="auto"/>
                      <w:highlight w:val="none"/>
                      <w:lang w:val="en-US" w:eastAsia="zh-CN"/>
                    </w:rPr>
                    <w:t>撂荒</w:t>
                  </w:r>
                  <w:r>
                    <w:rPr>
                      <w:rFonts w:hint="eastAsia" w:ascii="Times New Roman" w:hAnsi="Times New Roman" w:cs="Times New Roman"/>
                      <w:color w:val="auto"/>
                      <w:highlight w:val="none"/>
                      <w:lang w:eastAsia="zh-CN"/>
                    </w:rPr>
                    <w:t>。</w:t>
                  </w:r>
                </w:p>
              </w:tc>
              <w:tc>
                <w:tcPr>
                  <w:tcW w:w="602" w:type="pct"/>
                  <w:noWrap w:val="0"/>
                  <w:vAlign w:val="center"/>
                </w:tcPr>
                <w:p w14:paraId="56CB5BB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符合</w:t>
                  </w:r>
                </w:p>
              </w:tc>
            </w:tr>
            <w:tr w14:paraId="17EC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036D2F19">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highlight w:val="none"/>
                    </w:rPr>
                    <w:t>采用直埋电缆方式敷设的集电线路用地，实行与项目光伏方阵用地同样的管理方式。</w:t>
                  </w:r>
                </w:p>
              </w:tc>
              <w:tc>
                <w:tcPr>
                  <w:tcW w:w="1992" w:type="pct"/>
                  <w:noWrap w:val="0"/>
                  <w:vAlign w:val="center"/>
                </w:tcPr>
                <w:p w14:paraId="2FC1A9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highlight w:val="none"/>
                    </w:rPr>
                    <w:t>采用直埋电缆方式敷设的集电线路用地，实行与项目光伏方阵用地同样的管理方式</w:t>
                  </w:r>
                  <w:r>
                    <w:rPr>
                      <w:rFonts w:hint="eastAsia" w:ascii="Times New Roman" w:hAnsi="Times New Roman" w:cs="Times New Roman"/>
                      <w:color w:val="auto"/>
                      <w:kern w:val="0"/>
                      <w:szCs w:val="21"/>
                      <w:highlight w:val="none"/>
                      <w:lang w:val="en-US" w:eastAsia="zh-CN" w:bidi="ar"/>
                    </w:rPr>
                    <w:t>。</w:t>
                  </w:r>
                </w:p>
              </w:tc>
              <w:tc>
                <w:tcPr>
                  <w:tcW w:w="602" w:type="pct"/>
                  <w:noWrap w:val="0"/>
                  <w:vAlign w:val="center"/>
                </w:tcPr>
                <w:p w14:paraId="3104ADF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符合</w:t>
                  </w:r>
                </w:p>
              </w:tc>
            </w:tr>
            <w:tr w14:paraId="3101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1B0DFD20">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highlight w:val="none"/>
                    </w:rPr>
                    <w:t>场内道路用地可按农村道路用地管理。</w:t>
                  </w:r>
                </w:p>
              </w:tc>
              <w:tc>
                <w:tcPr>
                  <w:tcW w:w="1992" w:type="pct"/>
                  <w:noWrap w:val="0"/>
                  <w:vAlign w:val="center"/>
                </w:tcPr>
                <w:p w14:paraId="2CEAB1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场区道路用地采用农村道路的要求进行管理</w:t>
                  </w:r>
                  <w:r>
                    <w:rPr>
                      <w:rFonts w:hint="eastAsia" w:ascii="Times New Roman" w:hAnsi="Times New Roman" w:cs="Times New Roman"/>
                      <w:color w:val="auto"/>
                      <w:highlight w:val="none"/>
                      <w:lang w:val="en-US" w:eastAsia="zh-CN"/>
                    </w:rPr>
                    <w:t>。</w:t>
                  </w:r>
                </w:p>
              </w:tc>
              <w:tc>
                <w:tcPr>
                  <w:tcW w:w="602" w:type="pct"/>
                  <w:noWrap w:val="0"/>
                  <w:vAlign w:val="center"/>
                </w:tcPr>
                <w:p w14:paraId="14E217E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符合</w:t>
                  </w:r>
                </w:p>
              </w:tc>
            </w:tr>
            <w:tr w14:paraId="1D2E3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4" w:type="pct"/>
                  <w:noWrap w:val="0"/>
                  <w:vAlign w:val="center"/>
                </w:tcPr>
                <w:p w14:paraId="228EBF4C">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highlight w:val="none"/>
                    </w:rPr>
                    <w:t>变电站、运行管理中心、集电线路杆塔基础等其他设施用地按建设用地管理。</w:t>
                  </w:r>
                </w:p>
              </w:tc>
              <w:tc>
                <w:tcPr>
                  <w:tcW w:w="1992" w:type="pct"/>
                  <w:noWrap w:val="0"/>
                  <w:vAlign w:val="center"/>
                </w:tcPr>
                <w:p w14:paraId="5622F8F8">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0"/>
                      <w:szCs w:val="21"/>
                      <w:highlight w:val="none"/>
                      <w:lang w:val="en-US" w:eastAsia="zh-CN" w:bidi="ar"/>
                    </w:rPr>
                    <w:t>35kV架空</w:t>
                  </w:r>
                  <w:r>
                    <w:rPr>
                      <w:rFonts w:hint="default" w:ascii="Times New Roman" w:hAnsi="Times New Roman" w:cs="Times New Roman"/>
                      <w:color w:val="auto"/>
                      <w:kern w:val="0"/>
                      <w:szCs w:val="21"/>
                      <w:highlight w:val="none"/>
                      <w:lang w:bidi="ar"/>
                    </w:rPr>
                    <w:t>集电线路</w:t>
                  </w:r>
                  <w:r>
                    <w:rPr>
                      <w:rFonts w:hint="default" w:ascii="Times New Roman" w:hAnsi="Times New Roman" w:cs="Times New Roman"/>
                      <w:color w:val="auto"/>
                      <w:kern w:val="0"/>
                      <w:szCs w:val="21"/>
                      <w:highlight w:val="none"/>
                      <w:lang w:val="en-US" w:eastAsia="zh-CN" w:bidi="ar"/>
                    </w:rPr>
                    <w:t>不包含在本次评价范围内</w:t>
                  </w:r>
                  <w:r>
                    <w:rPr>
                      <w:rFonts w:hint="eastAsia" w:ascii="Times New Roman" w:hAnsi="Times New Roman" w:cs="Times New Roman"/>
                      <w:color w:val="auto"/>
                      <w:kern w:val="0"/>
                      <w:szCs w:val="21"/>
                      <w:highlight w:val="none"/>
                      <w:lang w:val="en-US" w:eastAsia="zh-CN" w:bidi="ar"/>
                    </w:rPr>
                    <w:t>。</w:t>
                  </w:r>
                </w:p>
              </w:tc>
              <w:tc>
                <w:tcPr>
                  <w:tcW w:w="602" w:type="pct"/>
                  <w:noWrap w:val="0"/>
                  <w:vAlign w:val="center"/>
                </w:tcPr>
                <w:p w14:paraId="1076742D">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eastAsia="zh-CN"/>
                    </w:rPr>
                    <w:t>符合</w:t>
                  </w:r>
                </w:p>
              </w:tc>
            </w:tr>
          </w:tbl>
          <w:p w14:paraId="7103CA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lang w:val="en-US" w:eastAsia="zh-CN"/>
              </w:rPr>
              <w:t>根据上表分析结果，本项目符合云南省自然资源厅《云南省产业用地政策实施工作指引（2022年版）》（云自然资利用〔2022〕525号）</w:t>
            </w:r>
            <w:r>
              <w:rPr>
                <w:rFonts w:hint="default" w:ascii="Times New Roman" w:hAnsi="Times New Roman" w:eastAsia="宋体" w:cs="Times New Roman"/>
                <w:color w:val="auto"/>
                <w:kern w:val="0"/>
                <w:sz w:val="24"/>
                <w:highlight w:val="none"/>
                <w:lang w:eastAsia="zh-CN"/>
              </w:rPr>
              <w:t>的要求。</w:t>
            </w:r>
          </w:p>
          <w:p w14:paraId="4C1F96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与《国家级公益林管理办法》符合性分析</w:t>
            </w:r>
          </w:p>
          <w:p w14:paraId="2AFB4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2017年5月8日，国家林业局、财政部以林资发〔2017〕34号印发《国家级公益林管理办法》，有效期至2025年12月31日。《国家级公益林管理办法》规定如下：</w:t>
            </w:r>
          </w:p>
          <w:p w14:paraId="4B004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1、严格控制勘查、开采矿藏和工程建设使用国家级公益林地。确需使用的，严格按照《建设项目使用林地审核审批管理办法》有关规定办理使用林地手续。涉 及林木采伐的，按相关规定依法办理林木采伐手续。</w:t>
            </w:r>
          </w:p>
          <w:p w14:paraId="0A231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2、经审核审批同意使用的国家级公益林地，可按照本办法第十八条、第十九条的规定实行占补平衡，并按本办法第二十三条“省级林业主管部门应当组织开展</w:t>
            </w:r>
          </w:p>
          <w:p w14:paraId="17590F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国家级公益林资源变化情况年度监测和生态状况定期定点监测评价，并依法向社会发布监测、评价结果”的规定报告国家林业局和财政部。</w:t>
            </w:r>
          </w:p>
          <w:p w14:paraId="68E79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3、一级国家级公益林原则上不得开展生产经营活动，严禁打枝、采脂、割漆、剥树皮、掘根等行为。</w:t>
            </w:r>
          </w:p>
          <w:p w14:paraId="2DCCD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4、二级国家级公益林在不影响整体森林生态系统功能发挥的前提下，可以按照第十二条第三款相关技术规程的规定开展抚育和更新性质的采伐</w:t>
            </w:r>
            <w:r>
              <w:rPr>
                <w:rFonts w:hint="eastAsia" w:ascii="Times New Roman" w:hAnsi="Times New Roman" w:eastAsia="宋体" w:cs="Times New Roman"/>
                <w:color w:val="auto"/>
                <w:sz w:val="24"/>
                <w:szCs w:val="24"/>
                <w:lang w:eastAsia="zh-CN"/>
              </w:rPr>
              <w:t>。</w:t>
            </w:r>
          </w:p>
          <w:p w14:paraId="3F5D6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符合性分析：根据</w:t>
            </w:r>
            <w:r>
              <w:rPr>
                <w:rFonts w:hint="default" w:ascii="Times New Roman" w:hAnsi="Times New Roman" w:eastAsia="宋体" w:cs="Times New Roman"/>
                <w:color w:val="auto"/>
                <w:sz w:val="24"/>
                <w:szCs w:val="24"/>
                <w:lang w:val="en-US" w:eastAsia="zh-CN"/>
              </w:rPr>
              <w:t>寻甸回族彝族自治县</w:t>
            </w:r>
            <w:r>
              <w:rPr>
                <w:rFonts w:hint="default" w:ascii="Times New Roman" w:hAnsi="Times New Roman" w:eastAsia="宋体" w:cs="Times New Roman"/>
                <w:color w:val="auto"/>
                <w:sz w:val="24"/>
                <w:szCs w:val="24"/>
              </w:rPr>
              <w:t>林业和草原局出具的</w:t>
            </w:r>
            <w:r>
              <w:rPr>
                <w:rFonts w:hint="eastAsia" w:cs="Times New Roman"/>
                <w:b w:val="0"/>
                <w:bCs w:val="0"/>
                <w:color w:val="auto"/>
                <w:sz w:val="24"/>
                <w:szCs w:val="24"/>
                <w:highlight w:val="none"/>
                <w:lang w:val="en-US" w:eastAsia="zh-CN"/>
              </w:rPr>
              <w:t>《寻甸回族彝族自治县林业和草原局关于竹园沟、石崖、梳山、白石岩四个光伏发电项目选址意见》</w:t>
            </w:r>
            <w:r>
              <w:rPr>
                <w:rFonts w:hint="default" w:ascii="Times New Roman" w:hAnsi="Times New Roman" w:eastAsia="宋体" w:cs="Times New Roman"/>
                <w:color w:val="auto"/>
                <w:sz w:val="24"/>
                <w:szCs w:val="24"/>
              </w:rPr>
              <w:t>，项目不涉及占用天然乔木林地、一级国家公益林和二级国家级公益林中的有林地。</w:t>
            </w:r>
          </w:p>
          <w:p w14:paraId="6D9E6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根据项目使用林地可行性报告，</w:t>
            </w:r>
            <w:r>
              <w:rPr>
                <w:rFonts w:hint="eastAsia" w:ascii="Times New Roman" w:hAnsi="Times New Roman" w:eastAsia="宋体" w:cs="Times New Roman"/>
                <w:color w:val="auto"/>
                <w:sz w:val="24"/>
                <w:szCs w:val="24"/>
                <w:lang w:val="en-US" w:eastAsia="zh-CN"/>
              </w:rPr>
              <w:t>光伏阵列区涉林部分森林类别为国家级二级公益林</w:t>
            </w:r>
            <w:r>
              <w:rPr>
                <w:rFonts w:hint="eastAsia" w:cs="Times New Roman"/>
                <w:color w:val="auto"/>
                <w:sz w:val="24"/>
                <w:szCs w:val="24"/>
                <w:lang w:val="en-US" w:eastAsia="zh-CN"/>
              </w:rPr>
              <w:t>123083</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、省级公益林</w:t>
            </w:r>
            <w:r>
              <w:rPr>
                <w:rFonts w:hint="eastAsia" w:cs="Times New Roman"/>
                <w:color w:val="auto"/>
                <w:sz w:val="24"/>
                <w:szCs w:val="24"/>
                <w:lang w:val="en-US" w:eastAsia="zh-CN"/>
              </w:rPr>
              <w:t>85096</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、市级公益林</w:t>
            </w:r>
            <w:r>
              <w:rPr>
                <w:rFonts w:hint="eastAsia" w:cs="Times New Roman"/>
                <w:color w:val="auto"/>
                <w:sz w:val="24"/>
                <w:szCs w:val="24"/>
                <w:lang w:val="en-US" w:eastAsia="zh-CN"/>
              </w:rPr>
              <w:t>64831</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、一般商品林地</w:t>
            </w:r>
            <w:r>
              <w:rPr>
                <w:rFonts w:hint="eastAsia" w:cs="Times New Roman"/>
                <w:color w:val="auto"/>
                <w:sz w:val="24"/>
                <w:szCs w:val="24"/>
                <w:lang w:val="en-US" w:eastAsia="zh-CN"/>
              </w:rPr>
              <w:t>1997</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和重点商品林地</w:t>
            </w:r>
            <w:r>
              <w:rPr>
                <w:rFonts w:hint="eastAsia" w:cs="Times New Roman"/>
                <w:color w:val="auto"/>
                <w:sz w:val="24"/>
                <w:szCs w:val="24"/>
                <w:lang w:val="en-US" w:eastAsia="zh-CN"/>
              </w:rPr>
              <w:t>1551</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，地类为</w:t>
            </w:r>
            <w:r>
              <w:rPr>
                <w:rFonts w:hint="eastAsia" w:cs="Times New Roman"/>
                <w:color w:val="auto"/>
                <w:sz w:val="24"/>
                <w:szCs w:val="24"/>
                <w:lang w:val="en-US" w:eastAsia="zh-CN"/>
              </w:rPr>
              <w:t>灌木和乔木林地</w:t>
            </w:r>
            <w:r>
              <w:rPr>
                <w:rFonts w:hint="eastAsia" w:ascii="Times New Roman" w:hAnsi="Times New Roman" w:eastAsia="宋体" w:cs="Times New Roman"/>
                <w:color w:val="auto"/>
                <w:sz w:val="24"/>
                <w:szCs w:val="24"/>
                <w:lang w:val="en-US" w:eastAsia="zh-CN"/>
              </w:rPr>
              <w:t>，依据规划数据，可满足光伏项目用地条件。</w:t>
            </w:r>
            <w:r>
              <w:rPr>
                <w:rFonts w:hint="default" w:ascii="Times New Roman" w:hAnsi="Times New Roman" w:eastAsia="宋体" w:cs="Times New Roman"/>
                <w:color w:val="auto"/>
                <w:sz w:val="24"/>
                <w:szCs w:val="24"/>
              </w:rPr>
              <w:t>其使用林地的条件符合国家林业局令第42号《建设项目使用林地审 核审批管理办法》《国家林业和草原局关于规范风电场项目建设使用林地的通知》 （林资发〔2019〕17号）、《云南省林业和草原局关于落实〈建设项目使用林地审 核审批管理规范〉的通知》（云林规</w:t>
            </w:r>
            <w:r>
              <w:rPr>
                <w:rFonts w:hint="eastAsia" w:cs="Times New Roman"/>
                <w:color w:val="auto"/>
                <w:sz w:val="24"/>
                <w:szCs w:val="24"/>
                <w:lang w:eastAsia="zh-CN"/>
              </w:rPr>
              <w:t>〔2022〕1号</w:t>
            </w:r>
            <w:r>
              <w:rPr>
                <w:rFonts w:hint="default" w:ascii="Times New Roman" w:hAnsi="Times New Roman" w:eastAsia="宋体" w:cs="Times New Roman"/>
                <w:color w:val="auto"/>
                <w:sz w:val="24"/>
                <w:szCs w:val="24"/>
              </w:rPr>
              <w:t>）的规定，项目严格按照《建设 项目使用林地审核审批管理办法》有关规定办理使用林地手续，且按《国家级公益林管理办法》第十八条、第十九条的规定实行占补平衡，按《国家级公益林管理办法》第十二条第三款“公示无异议后，按采伐管理权限由相应林业主管部门依法核 发林木采伐许可证 ”要求开展更新性质的采伐。</w:t>
            </w:r>
            <w:r>
              <w:rPr>
                <w:rFonts w:hint="eastAsia" w:cs="Times New Roman"/>
                <w:color w:val="auto"/>
                <w:sz w:val="24"/>
                <w:szCs w:val="24"/>
                <w:lang w:eastAsia="zh-CN"/>
              </w:rPr>
              <w:t>建设单位承诺在取得用林用草手续后再开工建设。</w:t>
            </w:r>
          </w:p>
          <w:p w14:paraId="5047F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b/>
                <w:bCs/>
                <w:color w:val="auto"/>
                <w:kern w:val="0"/>
                <w:sz w:val="24"/>
                <w:highlight w:val="none"/>
                <w:lang w:val="en-US" w:eastAsia="zh-CN"/>
              </w:rPr>
            </w:pPr>
            <w:r>
              <w:rPr>
                <w:rFonts w:hint="default" w:ascii="Times New Roman" w:hAnsi="Times New Roman" w:eastAsia="宋体" w:cs="Times New Roman"/>
                <w:color w:val="auto"/>
                <w:sz w:val="24"/>
                <w:szCs w:val="24"/>
              </w:rPr>
              <w:t>综上，项目符合《国家级公益林管理办法》要求。</w:t>
            </w:r>
          </w:p>
          <w:p w14:paraId="63585CB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eastAsia"/>
                <w:b/>
                <w:bCs/>
                <w:color w:val="auto"/>
                <w:kern w:val="0"/>
                <w:sz w:val="24"/>
                <w:highlight w:val="none"/>
                <w:lang w:val="en-US" w:eastAsia="zh-CN"/>
              </w:rPr>
              <w:t>18、</w:t>
            </w:r>
            <w:r>
              <w:rPr>
                <w:rFonts w:hint="eastAsia"/>
                <w:b/>
                <w:bCs/>
                <w:color w:val="auto"/>
                <w:kern w:val="0"/>
                <w:sz w:val="24"/>
                <w:highlight w:val="none"/>
              </w:rPr>
              <w:t>与</w:t>
            </w:r>
            <w:r>
              <w:rPr>
                <w:rFonts w:hint="default"/>
                <w:b/>
                <w:bCs/>
                <w:color w:val="auto"/>
                <w:kern w:val="0"/>
                <w:sz w:val="24"/>
                <w:highlight w:val="none"/>
              </w:rPr>
              <w:t>《</w:t>
            </w:r>
            <w:r>
              <w:rPr>
                <w:rFonts w:hint="eastAsia"/>
                <w:b/>
                <w:bCs/>
                <w:color w:val="auto"/>
                <w:kern w:val="0"/>
                <w:sz w:val="24"/>
                <w:highlight w:val="none"/>
                <w:lang w:eastAsia="zh-CN"/>
              </w:rPr>
              <w:t>云南省林地管理条例</w:t>
            </w:r>
            <w:r>
              <w:rPr>
                <w:rFonts w:hint="eastAsia"/>
                <w:b/>
                <w:bCs/>
                <w:color w:val="auto"/>
                <w:kern w:val="0"/>
                <w:sz w:val="24"/>
                <w:highlight w:val="none"/>
              </w:rPr>
              <w:t>》的</w:t>
            </w:r>
            <w:r>
              <w:rPr>
                <w:rFonts w:hint="default"/>
                <w:b/>
                <w:bCs/>
                <w:color w:val="auto"/>
                <w:kern w:val="0"/>
                <w:sz w:val="24"/>
                <w:highlight w:val="none"/>
              </w:rPr>
              <w:t>符合性分析</w:t>
            </w:r>
          </w:p>
          <w:p w14:paraId="6EA17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《云南省林地管理条例》</w:t>
            </w:r>
            <w:r>
              <w:rPr>
                <w:rFonts w:hint="eastAsia" w:ascii="宋体" w:hAnsi="宋体" w:eastAsia="宋体" w:cs="宋体"/>
                <w:color w:val="auto"/>
                <w:kern w:val="0"/>
                <w:sz w:val="24"/>
                <w:szCs w:val="24"/>
                <w:highlight w:val="none"/>
                <w:lang w:val="en-US" w:eastAsia="zh-CN" w:bidi="ar"/>
              </w:rPr>
              <w:t>第三十三条使用林地的单位和个人，应当保护生态，增加投入，合理利用林地，科学选择造林树种，开发利用林下资源，发展林产业，提高林地综合效益；履行森林防火、有害生物防治以及野生动物、重点保护野生植物及古树名木等管护义务。</w:t>
            </w:r>
          </w:p>
          <w:p w14:paraId="2BDB1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第三十四条 林地权利人的合法权益受法律保护，任何单位和个人不得侵害。</w:t>
            </w:r>
          </w:p>
          <w:p w14:paraId="386C0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任何单位和个人不得非法占用、征收、征用林地，不得擅自改变林地用途，不得超过批准范围使用林地。</w:t>
            </w:r>
          </w:p>
          <w:p w14:paraId="5004F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第三十六条 采伐被占用、征收、征用或者流转林地上林木的，应当向所在地县级以上人民政府林业主管部门申请办理林木采伐许可证，未经批准不得采伐。</w:t>
            </w:r>
          </w:p>
          <w:p w14:paraId="0C601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第三十九条 占用、征收、征用林地的单位或者个人应当向被占用、征收、征用林地的所有权人或者使用权人支付林地补偿费，向林木所有权人支付林木补偿费，向林地使用权人支付安置补助费。</w:t>
            </w:r>
          </w:p>
          <w:p w14:paraId="74401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olor w:val="auto"/>
                <w:highlight w:val="none"/>
                <w:lang w:val="en-US" w:eastAsia="zh-CN"/>
              </w:rPr>
            </w:pPr>
            <w:r>
              <w:rPr>
                <w:rFonts w:hint="eastAsia" w:ascii="宋体" w:hAnsi="宋体" w:eastAsia="宋体" w:cs="宋体"/>
                <w:color w:val="auto"/>
                <w:kern w:val="0"/>
                <w:sz w:val="24"/>
                <w:szCs w:val="24"/>
                <w:highlight w:val="none"/>
                <w:lang w:val="en-US" w:eastAsia="zh-CN" w:bidi="ar"/>
              </w:rPr>
              <w:t>临时占用林地的，应当向所有权人或者使用权人支付林地补偿费，向林木所有权人支付林木补偿费。</w:t>
            </w:r>
          </w:p>
          <w:p w14:paraId="70F77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光伏阵列区涉林部分森林类别为国家二级公益林、省级公益林、市级公益林、一般商品林地和重点商品林地，地类为</w:t>
            </w:r>
            <w:r>
              <w:rPr>
                <w:rFonts w:hint="eastAsia" w:cs="Times New Roman"/>
                <w:color w:val="auto"/>
                <w:sz w:val="24"/>
                <w:szCs w:val="24"/>
                <w:lang w:val="en-US" w:eastAsia="zh-CN"/>
              </w:rPr>
              <w:t>灌木和乔木林地</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覆盖度均不高于50%，依据规划数据，可满足光伏项目用地条件。根据《云南省林地管理条例》文件，项目建设必须依法依规办理征收占用林地审批手续后方能使用林地，未取得使用林地审核同意书不得开工建设。</w:t>
            </w:r>
          </w:p>
          <w:p w14:paraId="7FF48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在办理相关手续后进行建设，能够满足《云南省林地管理条例》中相关要求</w:t>
            </w:r>
            <w:r>
              <w:rPr>
                <w:rFonts w:hint="eastAsia" w:cs="Times New Roman"/>
                <w:color w:val="auto"/>
                <w:sz w:val="24"/>
                <w:szCs w:val="24"/>
                <w:highlight w:val="none"/>
                <w:lang w:val="en-US" w:eastAsia="zh-CN"/>
              </w:rPr>
              <w:t>。</w:t>
            </w:r>
          </w:p>
          <w:p w14:paraId="369DA149">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eastAsia"/>
                <w:b/>
                <w:bCs/>
                <w:color w:val="auto"/>
                <w:kern w:val="0"/>
                <w:sz w:val="24"/>
                <w:highlight w:val="none"/>
                <w:lang w:val="en-US" w:eastAsia="zh-CN"/>
              </w:rPr>
              <w:t>19、</w:t>
            </w:r>
            <w:r>
              <w:rPr>
                <w:rFonts w:hint="eastAsia"/>
                <w:b/>
                <w:bCs/>
                <w:color w:val="auto"/>
                <w:kern w:val="0"/>
                <w:sz w:val="24"/>
                <w:highlight w:val="none"/>
              </w:rPr>
              <w:t>与</w:t>
            </w:r>
            <w:r>
              <w:rPr>
                <w:rFonts w:hint="default"/>
                <w:b/>
                <w:bCs/>
                <w:color w:val="auto"/>
                <w:kern w:val="0"/>
                <w:sz w:val="24"/>
                <w:highlight w:val="none"/>
              </w:rPr>
              <w:t>《</w:t>
            </w:r>
            <w:r>
              <w:rPr>
                <w:rFonts w:hint="eastAsia"/>
                <w:b/>
                <w:bCs/>
                <w:color w:val="auto"/>
                <w:kern w:val="0"/>
                <w:sz w:val="24"/>
                <w:highlight w:val="none"/>
                <w:lang w:eastAsia="zh-CN"/>
              </w:rPr>
              <w:t>云南省公益林管理办法</w:t>
            </w:r>
            <w:r>
              <w:rPr>
                <w:rFonts w:hint="eastAsia"/>
                <w:b/>
                <w:bCs/>
                <w:color w:val="auto"/>
                <w:kern w:val="0"/>
                <w:sz w:val="24"/>
                <w:highlight w:val="none"/>
              </w:rPr>
              <w:t>》</w:t>
            </w:r>
            <w:r>
              <w:rPr>
                <w:rFonts w:hint="eastAsia"/>
                <w:b/>
                <w:bCs/>
                <w:color w:val="auto"/>
                <w:kern w:val="0"/>
                <w:sz w:val="24"/>
                <w:highlight w:val="none"/>
                <w:lang w:eastAsia="zh-CN"/>
              </w:rPr>
              <w:t>（云林规</w:t>
            </w:r>
            <w:r>
              <w:rPr>
                <w:rFonts w:hint="default" w:ascii="Times New Roman" w:hAnsi="Times New Roman" w:eastAsia="宋体" w:cs="Times New Roman"/>
                <w:b/>
                <w:bCs/>
                <w:color w:val="auto"/>
                <w:sz w:val="24"/>
                <w:szCs w:val="24"/>
                <w:highlight w:val="none"/>
              </w:rPr>
              <w:t>〔201</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2号</w:t>
            </w:r>
            <w:r>
              <w:rPr>
                <w:rFonts w:hint="eastAsia"/>
                <w:b/>
                <w:bCs/>
                <w:color w:val="auto"/>
                <w:kern w:val="0"/>
                <w:sz w:val="24"/>
                <w:highlight w:val="none"/>
                <w:lang w:eastAsia="zh-CN"/>
              </w:rPr>
              <w:t>）</w:t>
            </w:r>
            <w:r>
              <w:rPr>
                <w:rFonts w:hint="eastAsia"/>
                <w:b/>
                <w:bCs/>
                <w:color w:val="auto"/>
                <w:kern w:val="0"/>
                <w:sz w:val="24"/>
                <w:highlight w:val="none"/>
              </w:rPr>
              <w:t>的</w:t>
            </w:r>
            <w:r>
              <w:rPr>
                <w:rFonts w:hint="default"/>
                <w:b/>
                <w:bCs/>
                <w:color w:val="auto"/>
                <w:kern w:val="0"/>
                <w:sz w:val="24"/>
                <w:highlight w:val="none"/>
              </w:rPr>
              <w:t>符合性分析</w:t>
            </w:r>
          </w:p>
          <w:p w14:paraId="40EDD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《云南省公益林管理办法》（云林规〔2019〕2 号）第二十五条：“严格控制勘查、采矿和工程建设使用公益林地。纳入生态红线范围的公益林，按生态管控红线相关要求执行；未纳入生态红线范围、确需使用的公益林，由县级以上林业和草原主管部门进行核查，严格按照相关规定办理使用林地和林木采伐手续…</w:t>
            </w:r>
            <w:r>
              <w:rPr>
                <w:rFonts w:hint="eastAsia" w:ascii="宋体" w:hAnsi="宋体" w:eastAsia="宋体" w:cs="宋体"/>
                <w:color w:val="auto"/>
                <w:sz w:val="24"/>
                <w:szCs w:val="24"/>
                <w:highlight w:val="none"/>
                <w:lang w:val="en-US" w:eastAsia="zh-CN"/>
              </w:rPr>
              <w:t>…”。</w:t>
            </w:r>
          </w:p>
          <w:p w14:paraId="7C2DF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第二十八条：“国家级公益林开展生产经营活动，要严格按照《国家级公益林管理办法》 相关规定执行。”第二十九条：“省级公益林在不影响整体森林生态系统功能发挥的前提下，应当参照《国家级公益林管理办法》第十二条第三款的规定开展抚育和更新性质的采伐。在不破坏森林植被的前提下，可以合理利用林地资源，适度开展林下种植养殖和森林游憩等非木质资源开发与利用，科学发展林下经济……”。 </w:t>
            </w:r>
          </w:p>
          <w:p w14:paraId="44F8B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符合性分析：</w:t>
            </w:r>
            <w:r>
              <w:rPr>
                <w:rFonts w:hint="default" w:cs="Times New Roman"/>
                <w:color w:val="auto"/>
                <w:sz w:val="24"/>
                <w:szCs w:val="24"/>
                <w:highlight w:val="none"/>
                <w:lang w:val="en-US" w:eastAsia="zh-CN"/>
              </w:rPr>
              <w:t>根据项目使用林地可行性报告，</w:t>
            </w:r>
            <w:r>
              <w:rPr>
                <w:rFonts w:hint="eastAsia" w:cs="Times New Roman"/>
                <w:color w:val="auto"/>
                <w:sz w:val="24"/>
                <w:szCs w:val="24"/>
                <w:highlight w:val="none"/>
                <w:lang w:val="en-US" w:eastAsia="zh-CN"/>
              </w:rPr>
              <w:t>光伏阵列区涉林部分森林类别为国家二级公益林、省级公益林、市级公益林、一般商品林地和重点商品林地，地类为</w:t>
            </w:r>
            <w:r>
              <w:rPr>
                <w:rFonts w:hint="eastAsia" w:cs="Times New Roman"/>
                <w:color w:val="auto"/>
                <w:sz w:val="24"/>
                <w:szCs w:val="24"/>
                <w:lang w:val="en-US" w:eastAsia="zh-CN"/>
              </w:rPr>
              <w:t>灌木和乔木林地</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依据规划数据，可满足光伏项目用地条件。根据《云南省公益林管理办法》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w:t>
            </w:r>
            <w:r>
              <w:rPr>
                <w:rFonts w:hint="eastAsia" w:cs="Times New Roman"/>
                <w:color w:val="auto"/>
                <w:sz w:val="24"/>
                <w:szCs w:val="24"/>
                <w:highlight w:val="none"/>
                <w:lang w:val="en-US" w:eastAsia="zh-CN"/>
              </w:rPr>
              <w:t>〔2019〕2号）</w:t>
            </w:r>
            <w:r>
              <w:rPr>
                <w:rFonts w:hint="eastAsia" w:ascii="Times New Roman" w:hAnsi="Times New Roman" w:eastAsia="宋体" w:cs="Times New Roman"/>
                <w:color w:val="auto"/>
                <w:sz w:val="24"/>
                <w:szCs w:val="24"/>
                <w:highlight w:val="none"/>
                <w:lang w:val="en-US" w:eastAsia="zh-CN"/>
              </w:rPr>
              <w:t>文件，项目建设必须依法依规办理征收占用林地审批手续后方能使用林地，未取得使用林地审核同意书不得开工建设。</w:t>
            </w:r>
          </w:p>
          <w:p w14:paraId="3FD928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项目使用林地可行性报告正在送审中，尚未取得批复，业主承诺</w:t>
            </w:r>
            <w:r>
              <w:rPr>
                <w:rFonts w:hint="eastAsia" w:ascii="Times New Roman" w:hAnsi="Times New Roman" w:eastAsia="宋体" w:cs="Times New Roman"/>
                <w:color w:val="auto"/>
                <w:sz w:val="24"/>
                <w:szCs w:val="24"/>
                <w:highlight w:val="none"/>
                <w:lang w:val="en-US" w:eastAsia="zh-CN"/>
              </w:rPr>
              <w:t>在办理相关手续后进行建设，能够满足《云南省公益林管理办法》</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云林规</w:t>
            </w:r>
            <w:r>
              <w:rPr>
                <w:rFonts w:hint="eastAsia" w:cs="Times New Roman"/>
                <w:color w:val="auto"/>
                <w:sz w:val="24"/>
                <w:szCs w:val="24"/>
                <w:highlight w:val="none"/>
                <w:lang w:val="en-US" w:eastAsia="zh-CN"/>
              </w:rPr>
              <w:t>〔2019〕2号）</w:t>
            </w:r>
            <w:r>
              <w:rPr>
                <w:rFonts w:hint="eastAsia" w:ascii="Times New Roman" w:hAnsi="Times New Roman" w:eastAsia="宋体" w:cs="Times New Roman"/>
                <w:color w:val="auto"/>
                <w:sz w:val="24"/>
                <w:szCs w:val="24"/>
                <w:highlight w:val="none"/>
                <w:lang w:val="en-US" w:eastAsia="zh-CN"/>
              </w:rPr>
              <w:t>中相关要求</w:t>
            </w:r>
            <w:r>
              <w:rPr>
                <w:rFonts w:hint="eastAsia" w:cs="Times New Roman"/>
                <w:color w:val="auto"/>
                <w:sz w:val="24"/>
                <w:szCs w:val="24"/>
                <w:highlight w:val="none"/>
                <w:lang w:val="en-US" w:eastAsia="zh-CN"/>
              </w:rPr>
              <w:t>。</w:t>
            </w:r>
          </w:p>
          <w:p w14:paraId="3DA32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其它使用林地的规定符合性分析</w:t>
            </w:r>
          </w:p>
          <w:p w14:paraId="09E1424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highlight w:val="none"/>
              </w:rPr>
            </w:pPr>
            <w:r>
              <w:rPr>
                <w:rFonts w:hint="eastAsia" w:ascii="Times New Roman" w:hAnsi="Times New Roman" w:cs="Times New Roman"/>
                <w:b w:val="0"/>
                <w:bCs w:val="0"/>
                <w:color w:val="auto"/>
                <w:kern w:val="0"/>
                <w:sz w:val="24"/>
                <w:highlight w:val="none"/>
                <w:lang w:val="en-US" w:eastAsia="zh-CN"/>
              </w:rPr>
              <w:t>（1）</w:t>
            </w:r>
            <w:r>
              <w:rPr>
                <w:rFonts w:hint="default" w:ascii="Times New Roman" w:hAnsi="Times New Roman" w:cs="Times New Roman"/>
                <w:b w:val="0"/>
                <w:bCs w:val="0"/>
                <w:color w:val="auto"/>
                <w:kern w:val="0"/>
                <w:sz w:val="24"/>
                <w:highlight w:val="none"/>
              </w:rPr>
              <w:t>与《云南省林业和草原局 云南省能源局关于进一步规范光伏复合项目使用林草地有关事项的通知》（云林规〔2021〕5号）的符合性分析</w:t>
            </w:r>
          </w:p>
          <w:p w14:paraId="351B7C5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项目与云林规〔2021〕5号通知的符合性分析见下表。</w:t>
            </w:r>
          </w:p>
          <w:p w14:paraId="1DB2FEB9">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firstLine="422" w:firstLineChars="200"/>
              <w:jc w:val="center"/>
              <w:textAlignment w:val="auto"/>
              <w:rPr>
                <w:rFonts w:hint="default"/>
                <w:b/>
                <w:bCs/>
                <w:color w:val="auto"/>
                <w:szCs w:val="21"/>
                <w:highlight w:val="none"/>
                <w:shd w:val="clear" w:color="auto" w:fill="auto"/>
              </w:rPr>
            </w:pPr>
            <w:r>
              <w:rPr>
                <w:rFonts w:hint="default"/>
                <w:b/>
                <w:bCs/>
                <w:color w:val="auto"/>
                <w:szCs w:val="21"/>
                <w:highlight w:val="none"/>
                <w:shd w:val="clear" w:color="auto" w:fill="auto"/>
              </w:rPr>
              <w:t>表1-</w:t>
            </w:r>
            <w:r>
              <w:rPr>
                <w:rFonts w:hint="eastAsia"/>
                <w:b/>
                <w:bCs/>
                <w:color w:val="auto"/>
                <w:szCs w:val="21"/>
                <w:highlight w:val="none"/>
                <w:shd w:val="clear" w:color="auto" w:fill="auto"/>
                <w:lang w:val="en-US" w:eastAsia="zh-CN"/>
              </w:rPr>
              <w:t>15</w:t>
            </w:r>
            <w:r>
              <w:rPr>
                <w:rFonts w:hint="default"/>
                <w:b/>
                <w:bCs/>
                <w:color w:val="auto"/>
                <w:szCs w:val="21"/>
                <w:highlight w:val="none"/>
                <w:shd w:val="clear" w:color="auto" w:fill="auto"/>
              </w:rPr>
              <w:t xml:space="preserve">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项目与</w:t>
            </w:r>
            <w:r>
              <w:rPr>
                <w:rFonts w:hint="eastAsia" w:ascii="宋体" w:hAnsi="宋体" w:cs="宋体"/>
                <w:b/>
                <w:bCs/>
                <w:color w:val="auto"/>
                <w:szCs w:val="21"/>
                <w:highlight w:val="none"/>
                <w:shd w:val="clear" w:color="auto" w:fill="auto"/>
              </w:rPr>
              <w:t>“</w:t>
            </w:r>
            <w:r>
              <w:rPr>
                <w:rFonts w:hint="eastAsia" w:ascii="宋体" w:hAnsi="宋体" w:cs="宋体"/>
                <w:b/>
                <w:color w:val="auto"/>
                <w:kern w:val="0"/>
                <w:szCs w:val="21"/>
                <w:highlight w:val="none"/>
                <w:shd w:val="clear" w:color="auto" w:fill="auto"/>
              </w:rPr>
              <w:t>云林规</w:t>
            </w:r>
            <w:r>
              <w:rPr>
                <w:rFonts w:hint="default"/>
                <w:b/>
                <w:color w:val="auto"/>
                <w:kern w:val="0"/>
                <w:szCs w:val="21"/>
                <w:highlight w:val="none"/>
                <w:shd w:val="clear" w:color="auto" w:fill="auto"/>
              </w:rPr>
              <w:t>〔2021〕5</w:t>
            </w:r>
            <w:r>
              <w:rPr>
                <w:rFonts w:hint="eastAsia" w:ascii="宋体" w:hAnsi="宋体" w:cs="宋体"/>
                <w:b/>
                <w:color w:val="auto"/>
                <w:kern w:val="0"/>
                <w:szCs w:val="21"/>
                <w:highlight w:val="none"/>
                <w:shd w:val="clear" w:color="auto" w:fill="auto"/>
              </w:rPr>
              <w:t>号</w:t>
            </w:r>
            <w:r>
              <w:rPr>
                <w:rFonts w:hint="eastAsia" w:ascii="宋体" w:hAnsi="宋体" w:cs="宋体"/>
                <w:b/>
                <w:bCs/>
                <w:color w:val="auto"/>
                <w:szCs w:val="21"/>
                <w:highlight w:val="none"/>
                <w:shd w:val="clear" w:color="auto" w:fill="auto"/>
              </w:rPr>
              <w:t>”的符</w:t>
            </w:r>
            <w:r>
              <w:rPr>
                <w:rFonts w:hint="default"/>
                <w:b/>
                <w:bCs/>
                <w:color w:val="auto"/>
                <w:szCs w:val="21"/>
                <w:highlight w:val="none"/>
                <w:shd w:val="clear" w:color="auto" w:fill="auto"/>
              </w:rPr>
              <w:t>合性分析</w:t>
            </w:r>
          </w:p>
          <w:tbl>
            <w:tblPr>
              <w:tblStyle w:val="41"/>
              <w:tblW w:w="4997"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588"/>
              <w:gridCol w:w="3368"/>
              <w:gridCol w:w="2713"/>
              <w:gridCol w:w="606"/>
            </w:tblGrid>
            <w:tr w14:paraId="6022EFE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404" w:type="pct"/>
                  <w:vAlign w:val="center"/>
                </w:tcPr>
                <w:p w14:paraId="378160E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类</w:t>
                  </w:r>
                  <w:r>
                    <w:rPr>
                      <w:rFonts w:hint="default"/>
                      <w:b/>
                      <w:color w:val="auto"/>
                      <w:spacing w:val="0"/>
                      <w:szCs w:val="21"/>
                      <w:highlight w:val="none"/>
                      <w:shd w:val="clear" w:color="auto" w:fill="auto"/>
                    </w:rPr>
                    <w:t>别</w:t>
                  </w:r>
                </w:p>
              </w:tc>
              <w:tc>
                <w:tcPr>
                  <w:tcW w:w="2314" w:type="pct"/>
                  <w:vAlign w:val="center"/>
                </w:tcPr>
                <w:p w14:paraId="055090B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default"/>
                      <w:b/>
                      <w:color w:val="auto"/>
                      <w:spacing w:val="0"/>
                      <w:kern w:val="0"/>
                      <w:szCs w:val="21"/>
                      <w:highlight w:val="none"/>
                      <w:shd w:val="clear" w:color="auto" w:fill="auto"/>
                    </w:rPr>
                    <w:t>云林规〔2021〕5号</w:t>
                  </w:r>
                  <w:r>
                    <w:rPr>
                      <w:rFonts w:hint="eastAsia"/>
                      <w:b/>
                      <w:color w:val="auto"/>
                      <w:spacing w:val="0"/>
                      <w:kern w:val="0"/>
                      <w:szCs w:val="21"/>
                      <w:highlight w:val="none"/>
                      <w:shd w:val="clear" w:color="auto" w:fill="auto"/>
                    </w:rPr>
                    <w:t>要求</w:t>
                  </w:r>
                </w:p>
              </w:tc>
              <w:tc>
                <w:tcPr>
                  <w:tcW w:w="1864" w:type="pct"/>
                  <w:vAlign w:val="center"/>
                </w:tcPr>
                <w:p w14:paraId="13B1B44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项</w:t>
                  </w:r>
                  <w:r>
                    <w:rPr>
                      <w:rFonts w:hint="default"/>
                      <w:b/>
                      <w:color w:val="auto"/>
                      <w:spacing w:val="0"/>
                      <w:szCs w:val="21"/>
                      <w:highlight w:val="none"/>
                      <w:shd w:val="clear" w:color="auto" w:fill="auto"/>
                    </w:rPr>
                    <w:t>目情况</w:t>
                  </w:r>
                </w:p>
              </w:tc>
              <w:tc>
                <w:tcPr>
                  <w:tcW w:w="416" w:type="pct"/>
                  <w:vAlign w:val="center"/>
                </w:tcPr>
                <w:p w14:paraId="3263CB7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
                      <w:color w:val="auto"/>
                      <w:spacing w:val="0"/>
                      <w:szCs w:val="21"/>
                      <w:highlight w:val="none"/>
                      <w:shd w:val="clear" w:color="auto" w:fill="auto"/>
                    </w:rPr>
                  </w:pPr>
                  <w:r>
                    <w:rPr>
                      <w:rFonts w:hint="eastAsia"/>
                      <w:b/>
                      <w:color w:val="auto"/>
                      <w:spacing w:val="0"/>
                      <w:szCs w:val="21"/>
                      <w:highlight w:val="none"/>
                      <w:shd w:val="clear" w:color="auto" w:fill="auto"/>
                    </w:rPr>
                    <w:t>符合</w:t>
                  </w:r>
                  <w:r>
                    <w:rPr>
                      <w:rFonts w:hint="default"/>
                      <w:b/>
                      <w:color w:val="auto"/>
                      <w:spacing w:val="0"/>
                      <w:szCs w:val="21"/>
                      <w:highlight w:val="none"/>
                      <w:shd w:val="clear" w:color="auto" w:fill="auto"/>
                    </w:rPr>
                    <w:t>性</w:t>
                  </w:r>
                </w:p>
              </w:tc>
            </w:tr>
            <w:tr w14:paraId="4299DC0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404" w:type="pct"/>
                  <w:vMerge w:val="restart"/>
                  <w:vAlign w:val="center"/>
                </w:tcPr>
                <w:p w14:paraId="4B15459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选</w:t>
                  </w:r>
                  <w:r>
                    <w:rPr>
                      <w:rFonts w:hint="default" w:ascii="Times New Roman" w:hAnsi="Times New Roman" w:eastAsia="宋体"/>
                      <w:color w:val="auto"/>
                      <w:spacing w:val="0"/>
                      <w:sz w:val="21"/>
                      <w:szCs w:val="21"/>
                      <w:highlight w:val="none"/>
                      <w:shd w:val="clear" w:color="auto" w:fill="auto"/>
                    </w:rPr>
                    <w:t>址要求</w:t>
                  </w:r>
                </w:p>
              </w:tc>
              <w:tc>
                <w:tcPr>
                  <w:tcW w:w="2314" w:type="pct"/>
                  <w:vAlign w:val="center"/>
                </w:tcPr>
                <w:p w14:paraId="2570378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1864" w:type="pct"/>
                  <w:vAlign w:val="center"/>
                </w:tcPr>
                <w:p w14:paraId="6EDE6A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根据</w:t>
                  </w:r>
                  <w:r>
                    <w:rPr>
                      <w:rFonts w:hint="eastAsia" w:cs="Times New Roman"/>
                      <w:color w:val="auto"/>
                      <w:kern w:val="0"/>
                      <w:sz w:val="21"/>
                      <w:szCs w:val="21"/>
                      <w:highlight w:val="none"/>
                      <w:lang w:val="en-US" w:eastAsia="zh-CN"/>
                    </w:rPr>
                    <w:t>寻甸回族彝族自治县自然资源局、寻甸回族彝族自治县林业和草原局、寻甸回族彝族自治县水务局</w:t>
                  </w:r>
                  <w:r>
                    <w:rPr>
                      <w:rFonts w:hint="default" w:ascii="Times New Roman" w:hAnsi="Times New Roman" w:eastAsia="宋体" w:cs="Times New Roman"/>
                      <w:color w:val="auto"/>
                      <w:sz w:val="21"/>
                      <w:szCs w:val="21"/>
                      <w:highlight w:val="none"/>
                      <w:vertAlign w:val="baseline"/>
                      <w:lang w:eastAsia="zh-CN"/>
                    </w:rPr>
                    <w:t>等部门出具的选址意见及查阅相关资料，</w:t>
                  </w:r>
                  <w:r>
                    <w:rPr>
                      <w:rFonts w:hint="default" w:ascii="Times New Roman" w:hAnsi="Times New Roman" w:cs="Times New Roman"/>
                      <w:color w:val="auto"/>
                      <w:szCs w:val="21"/>
                      <w:highlight w:val="none"/>
                    </w:rPr>
                    <w:t>本项目用地红线范围内不涉及国家公园、自然保护区、森林公园、风景名胜区、草原公园等各类自然保护地，世界自然遗产地，</w:t>
                  </w:r>
                  <w:r>
                    <w:rPr>
                      <w:rFonts w:hint="default" w:ascii="Times New Roman" w:hAnsi="Times New Roman" w:cs="Times New Roman"/>
                      <w:color w:val="auto"/>
                      <w:sz w:val="21"/>
                      <w:szCs w:val="21"/>
                    </w:rPr>
                    <w:t>天然林保护重点区域、基本草原以及生态保护红线</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根据查阅相关资料和对当地林业部门的走访，项目评价范围内</w:t>
                  </w:r>
                  <w:r>
                    <w:rPr>
                      <w:rFonts w:hint="eastAsia" w:cs="Times New Roman"/>
                      <w:color w:val="auto"/>
                      <w:sz w:val="21"/>
                      <w:szCs w:val="21"/>
                      <w:lang w:val="en-US" w:eastAsia="zh-CN"/>
                    </w:rPr>
                    <w:t>不涉及</w:t>
                  </w:r>
                  <w:r>
                    <w:rPr>
                      <w:rFonts w:hint="default" w:ascii="Times New Roman" w:hAnsi="Times New Roman" w:cs="Times New Roman"/>
                      <w:color w:val="auto"/>
                      <w:sz w:val="21"/>
                      <w:szCs w:val="21"/>
                    </w:rPr>
                    <w:t>野生动物重要栖息地，珍稀濒危和极小种群野生植物重要原生境</w:t>
                  </w:r>
                  <w:r>
                    <w:rPr>
                      <w:rFonts w:hint="eastAsia" w:cs="Times New Roman"/>
                      <w:color w:val="auto"/>
                      <w:sz w:val="21"/>
                      <w:szCs w:val="21"/>
                      <w:lang w:eastAsia="zh-CN"/>
                    </w:rPr>
                    <w:t>。</w:t>
                  </w:r>
                </w:p>
              </w:tc>
              <w:tc>
                <w:tcPr>
                  <w:tcW w:w="416" w:type="pct"/>
                  <w:vAlign w:val="center"/>
                </w:tcPr>
                <w:p w14:paraId="0EDA1808">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0E494C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04" w:type="pct"/>
                  <w:vMerge w:val="continue"/>
                  <w:vAlign w:val="center"/>
                </w:tcPr>
                <w:p w14:paraId="4859AA7C">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314" w:type="pct"/>
                  <w:vAlign w:val="center"/>
                </w:tcPr>
                <w:p w14:paraId="4F7B881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光伏复合项目的生产区（包括升压站、配电室、控制室、新建进场道路、新建场内检修道路、集电线路塔基等）、生活区（包括办公、住宿、食堂、活动场所、仓库等附属设施），禁止使用天然乔木林地；施工期临时设置的弃渣场、取土场、砂石场、堆料场、拌合站、工棚、临时施工道路等，禁止使用乔木林地；电池组件阵列禁止使用有林地、疏林地、未成林造林地、采伐迹地、火烧迹地，以及年降雨量400毫米以下区域覆盖度高于30%的灌木林地和年降雨量400毫米以上区域覆盖度高于50%的灌木林地。</w:t>
                  </w:r>
                </w:p>
              </w:tc>
              <w:tc>
                <w:tcPr>
                  <w:tcW w:w="1864" w:type="pct"/>
                  <w:vAlign w:val="center"/>
                </w:tcPr>
                <w:p w14:paraId="0EC674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本项目生产区未占用天然乔木林地，无生活区；施工期临时设置的堆料场、工棚、临时施工道路等，未占用乔木林地；</w:t>
                  </w:r>
                  <w:r>
                    <w:rPr>
                      <w:rFonts w:hint="eastAsia" w:cs="Times New Roman"/>
                      <w:color w:val="auto"/>
                      <w:sz w:val="21"/>
                      <w:szCs w:val="21"/>
                      <w:vertAlign w:val="baseline"/>
                      <w:lang w:val="en-US" w:eastAsia="zh-CN"/>
                    </w:rPr>
                    <w:t>项目不设置拌和站</w:t>
                  </w:r>
                  <w:r>
                    <w:rPr>
                      <w:rFonts w:hint="eastAsia" w:ascii="Times New Roman" w:hAnsi="Times New Roman" w:eastAsia="宋体" w:cs="Times New Roman"/>
                      <w:color w:val="auto"/>
                      <w:sz w:val="21"/>
                      <w:szCs w:val="21"/>
                      <w:vertAlign w:val="baseline"/>
                      <w:lang w:val="en-US" w:eastAsia="zh-CN"/>
                    </w:rPr>
                    <w:t>。</w:t>
                  </w:r>
                </w:p>
                <w:p w14:paraId="1386AC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电池组件阵列使用的地类为林地、其他草地和交通运输用地，未使用有林地、疏林地、未成林造林地、采伐迹地、火烧迹地，以及年降雨量400毫米以下区域覆盖度高于30%的灌木林地和年降雨量400毫米以上区域覆盖度高于50%的灌木林地</w:t>
                  </w:r>
                </w:p>
              </w:tc>
              <w:tc>
                <w:tcPr>
                  <w:tcW w:w="416" w:type="pct"/>
                  <w:vAlign w:val="center"/>
                </w:tcPr>
                <w:p w14:paraId="06354CC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符合</w:t>
                  </w:r>
                </w:p>
              </w:tc>
            </w:tr>
            <w:tr w14:paraId="1B0617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04" w:type="pct"/>
                  <w:vAlign w:val="center"/>
                </w:tcPr>
                <w:p w14:paraId="231A06A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用</w:t>
                  </w:r>
                  <w:r>
                    <w:rPr>
                      <w:rFonts w:hint="default" w:ascii="Times New Roman" w:hAnsi="Times New Roman" w:eastAsia="宋体"/>
                      <w:color w:val="auto"/>
                      <w:spacing w:val="0"/>
                      <w:sz w:val="21"/>
                      <w:szCs w:val="21"/>
                      <w:highlight w:val="none"/>
                      <w:shd w:val="clear" w:color="auto" w:fill="auto"/>
                    </w:rPr>
                    <w:t>地要求</w:t>
                  </w:r>
                </w:p>
              </w:tc>
              <w:tc>
                <w:tcPr>
                  <w:tcW w:w="2314" w:type="pct"/>
                  <w:vAlign w:val="center"/>
                </w:tcPr>
                <w:p w14:paraId="5D4B64CD">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电池组件阵列区在设计方面应当尽可能节约集约使用林地，光伏板最低沿与地面距离不得低于2.5m，电池组件阵列各排、列的布置间距应当符合《光伏电站设计规范》（GB 50797-2012）或《光伏发电站设计规范》（GB 50797-20</w:t>
                  </w:r>
                  <w:r>
                    <w:rPr>
                      <w:rFonts w:hint="eastAsia" w:ascii="Times New Roman" w:hAnsi="Times New Roman" w:eastAsia="宋体"/>
                      <w:color w:val="auto"/>
                      <w:spacing w:val="0"/>
                      <w:sz w:val="21"/>
                      <w:szCs w:val="21"/>
                      <w:highlight w:val="none"/>
                      <w:shd w:val="clear" w:color="auto" w:fill="auto"/>
                    </w:rPr>
                    <w:t>12</w:t>
                  </w:r>
                  <w:r>
                    <w:rPr>
                      <w:rFonts w:hint="default" w:ascii="Times New Roman" w:hAnsi="Times New Roman" w:eastAsia="宋体"/>
                      <w:color w:val="auto"/>
                      <w:spacing w:val="0"/>
                      <w:sz w:val="21"/>
                      <w:szCs w:val="21"/>
                      <w:highlight w:val="none"/>
                      <w:shd w:val="clear" w:color="auto" w:fill="auto"/>
                    </w:rPr>
                    <w:t>）相关规定；场内检修道路设计应当符合《光伏发电站设计规范》（GB 50797-2012）以及《光伏发电工程施工组织设计规范》（GB/T50795-2012）的相关要求。</w:t>
                  </w:r>
                </w:p>
              </w:tc>
              <w:tc>
                <w:tcPr>
                  <w:tcW w:w="1864" w:type="pct"/>
                  <w:vAlign w:val="center"/>
                </w:tcPr>
                <w:p w14:paraId="2F92C156">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default" w:ascii="Times New Roman" w:hAnsi="Times New Roman" w:eastAsia="宋体" w:cs="Times New Roman"/>
                      <w:color w:val="auto"/>
                      <w:kern w:val="0"/>
                      <w:sz w:val="21"/>
                      <w:szCs w:val="21"/>
                      <w:highlight w:val="none"/>
                      <w:lang w:bidi="ar"/>
                    </w:rPr>
                    <w:t>本项目</w:t>
                  </w:r>
                  <w:r>
                    <w:rPr>
                      <w:rFonts w:hint="eastAsia" w:cs="Times New Roman"/>
                      <w:color w:val="auto"/>
                      <w:kern w:val="0"/>
                      <w:sz w:val="21"/>
                      <w:szCs w:val="21"/>
                      <w:highlight w:val="none"/>
                      <w:lang w:eastAsia="zh-CN" w:bidi="ar"/>
                    </w:rPr>
                    <w:t>根据</w:t>
                  </w:r>
                  <w:r>
                    <w:rPr>
                      <w:rFonts w:hint="default" w:ascii="Times New Roman" w:hAnsi="Times New Roman" w:eastAsia="宋体" w:cs="Times New Roman"/>
                      <w:color w:val="auto"/>
                      <w:kern w:val="0"/>
                      <w:sz w:val="21"/>
                      <w:szCs w:val="21"/>
                      <w:highlight w:val="none"/>
                      <w:lang w:val="en-US" w:eastAsia="zh-CN" w:bidi="ar"/>
                    </w:rPr>
                    <w:t>《自然资源部办公厅 国家林业和草原局办公室 国家能源局综合司关于支持光伏发电产业发展规范用地管理有关工作的通知》（自然资办发〔2023〕12号）</w:t>
                  </w:r>
                  <w:r>
                    <w:rPr>
                      <w:rFonts w:hint="eastAsia" w:cs="Times New Roman"/>
                      <w:color w:val="auto"/>
                      <w:kern w:val="0"/>
                      <w:sz w:val="21"/>
                      <w:szCs w:val="21"/>
                      <w:highlight w:val="none"/>
                      <w:lang w:eastAsia="zh-CN"/>
                    </w:rPr>
                    <w:t>光</w:t>
                  </w:r>
                  <w:r>
                    <w:rPr>
                      <w:rFonts w:hint="default" w:ascii="Times New Roman" w:hAnsi="Times New Roman" w:cs="Times New Roman"/>
                      <w:color w:val="auto"/>
                      <w:kern w:val="0"/>
                      <w:sz w:val="21"/>
                      <w:szCs w:val="21"/>
                      <w:highlight w:val="none"/>
                    </w:rPr>
                    <w:t>伏支架最低点应高于灌木高度1米以上，每列光伏板南北方向应合理设置净间距，具体由各地结合实地</w:t>
                  </w:r>
                  <w:r>
                    <w:rPr>
                      <w:rFonts w:hint="default" w:ascii="Times New Roman" w:hAnsi="Times New Roman" w:eastAsia="宋体" w:cs="Times New Roman"/>
                      <w:color w:val="auto"/>
                      <w:kern w:val="0"/>
                      <w:sz w:val="21"/>
                      <w:szCs w:val="21"/>
                      <w:highlight w:val="none"/>
                      <w:lang w:bidi="ar"/>
                    </w:rPr>
                    <w:t>进行建设</w:t>
                  </w:r>
                  <w:r>
                    <w:rPr>
                      <w:rFonts w:hint="eastAsia" w:cs="Times New Roman"/>
                      <w:color w:val="auto"/>
                      <w:kern w:val="0"/>
                      <w:sz w:val="21"/>
                      <w:szCs w:val="21"/>
                      <w:highlight w:val="none"/>
                      <w:lang w:eastAsia="zh-CN" w:bidi="ar"/>
                    </w:rPr>
                    <w:t>；</w:t>
                  </w:r>
                  <w:r>
                    <w:rPr>
                      <w:rFonts w:hint="default" w:ascii="Times New Roman" w:hAnsi="Times New Roman" w:cs="Times New Roman"/>
                      <w:color w:val="auto"/>
                      <w:highlight w:val="none"/>
                      <w:lang w:val="en-US" w:eastAsia="zh-CN"/>
                    </w:rPr>
                    <w:t>电池组件阵列各排、列的布置间距符合《光伏电站设计规范》（GB50797- 2012）或《光伏发电站设计规范》相关规定要求</w:t>
                  </w:r>
                </w:p>
              </w:tc>
              <w:tc>
                <w:tcPr>
                  <w:tcW w:w="416" w:type="pct"/>
                  <w:vAlign w:val="center"/>
                </w:tcPr>
                <w:p w14:paraId="4581298B">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color w:val="auto"/>
                      <w:spacing w:val="0"/>
                      <w:szCs w:val="21"/>
                      <w:highlight w:val="none"/>
                      <w:shd w:val="clear" w:color="auto" w:fill="auto"/>
                    </w:rPr>
                  </w:pPr>
                  <w:r>
                    <w:rPr>
                      <w:rFonts w:hint="eastAsia"/>
                      <w:color w:val="auto"/>
                      <w:spacing w:val="0"/>
                      <w:szCs w:val="21"/>
                      <w:highlight w:val="none"/>
                      <w:shd w:val="clear" w:color="auto" w:fill="auto"/>
                    </w:rPr>
                    <w:t>符合</w:t>
                  </w:r>
                </w:p>
              </w:tc>
            </w:tr>
            <w:tr w14:paraId="02EEE86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404" w:type="pct"/>
                  <w:vMerge w:val="restart"/>
                  <w:vAlign w:val="center"/>
                </w:tcPr>
                <w:p w14:paraId="25E48AA3">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eastAsia" w:ascii="Times New Roman" w:hAnsi="Times New Roman" w:eastAsia="宋体"/>
                      <w:color w:val="auto"/>
                      <w:spacing w:val="0"/>
                      <w:sz w:val="21"/>
                      <w:szCs w:val="21"/>
                      <w:highlight w:val="none"/>
                      <w:shd w:val="clear" w:color="auto" w:fill="auto"/>
                    </w:rPr>
                    <w:t>植</w:t>
                  </w:r>
                  <w:r>
                    <w:rPr>
                      <w:rFonts w:hint="default" w:ascii="Times New Roman" w:hAnsi="Times New Roman" w:eastAsia="宋体"/>
                      <w:color w:val="auto"/>
                      <w:spacing w:val="0"/>
                      <w:sz w:val="21"/>
                      <w:szCs w:val="21"/>
                      <w:highlight w:val="none"/>
                      <w:shd w:val="clear" w:color="auto" w:fill="auto"/>
                    </w:rPr>
                    <w:t>被保护</w:t>
                  </w:r>
                </w:p>
              </w:tc>
              <w:tc>
                <w:tcPr>
                  <w:tcW w:w="2314" w:type="pct"/>
                  <w:vAlign w:val="center"/>
                </w:tcPr>
                <w:p w14:paraId="398BD6EF">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r>
                    <w:rPr>
                      <w:rFonts w:hint="default" w:ascii="Times New Roman" w:hAnsi="Times New Roman" w:eastAsia="宋体"/>
                      <w:color w:val="auto"/>
                      <w:spacing w:val="0"/>
                      <w:sz w:val="21"/>
                      <w:szCs w:val="21"/>
                      <w:highlight w:val="none"/>
                      <w:shd w:val="clear" w:color="auto" w:fill="auto"/>
                    </w:rPr>
                    <w:t>光伏复合项目在满足正常运营的同时，须保证电池组件阵列下方不得改变林草地用途，不得裸露地表、硬化或作其他用途。</w:t>
                  </w:r>
                </w:p>
              </w:tc>
              <w:tc>
                <w:tcPr>
                  <w:tcW w:w="1864" w:type="pct"/>
                  <w:vAlign w:val="center"/>
                </w:tcPr>
                <w:p w14:paraId="147B6225">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default" w:ascii="Times New Roman" w:hAnsi="Times New Roman" w:eastAsia="宋体" w:cs="Times New Roman"/>
                      <w:bCs/>
                      <w:color w:val="auto"/>
                      <w:spacing w:val="0"/>
                      <w:kern w:val="0"/>
                      <w:sz w:val="21"/>
                      <w:szCs w:val="21"/>
                      <w:highlight w:val="none"/>
                    </w:rPr>
                    <w:t>项目运营过程中将</w:t>
                  </w:r>
                  <w:r>
                    <w:rPr>
                      <w:rFonts w:hint="eastAsia" w:cs="Times New Roman"/>
                      <w:bCs/>
                      <w:color w:val="auto"/>
                      <w:spacing w:val="0"/>
                      <w:kern w:val="0"/>
                      <w:sz w:val="21"/>
                      <w:szCs w:val="21"/>
                      <w:highlight w:val="none"/>
                      <w:lang w:eastAsia="zh-CN"/>
                    </w:rPr>
                    <w:t>对</w:t>
                  </w:r>
                  <w:r>
                    <w:rPr>
                      <w:rFonts w:hint="eastAsia" w:ascii="宋体" w:hAnsi="宋体" w:cs="宋体"/>
                      <w:color w:val="auto"/>
                      <w:kern w:val="0"/>
                      <w:szCs w:val="21"/>
                      <w:lang w:val="en-US" w:eastAsia="zh-CN" w:bidi="ar"/>
                    </w:rPr>
                    <w:t>占用林地的部分实施林光互补工程</w:t>
                  </w:r>
                  <w:r>
                    <w:rPr>
                      <w:rFonts w:hint="eastAsia" w:cs="Times New Roman"/>
                      <w:bCs/>
                      <w:color w:val="auto"/>
                      <w:spacing w:val="0"/>
                      <w:kern w:val="0"/>
                      <w:sz w:val="21"/>
                      <w:szCs w:val="21"/>
                      <w:lang w:eastAsia="zh-CN"/>
                    </w:rPr>
                    <w:t>，</w:t>
                  </w:r>
                  <w:r>
                    <w:rPr>
                      <w:rFonts w:hint="default" w:ascii="Times New Roman" w:hAnsi="Times New Roman" w:eastAsia="宋体" w:cs="Times New Roman"/>
                      <w:bCs/>
                      <w:color w:val="auto"/>
                      <w:spacing w:val="0"/>
                      <w:kern w:val="0"/>
                      <w:sz w:val="21"/>
                      <w:szCs w:val="21"/>
                    </w:rPr>
                    <w:t>保护原有的灌木草丛</w:t>
                  </w:r>
                  <w:r>
                    <w:rPr>
                      <w:rFonts w:hint="eastAsia" w:ascii="Times New Roman" w:hAnsi="Times New Roman" w:eastAsia="宋体" w:cs="Times New Roman"/>
                      <w:bCs/>
                      <w:color w:val="auto"/>
                      <w:spacing w:val="0"/>
                      <w:kern w:val="0"/>
                      <w:sz w:val="21"/>
                      <w:szCs w:val="21"/>
                      <w:lang w:eastAsia="zh-CN"/>
                    </w:rPr>
                    <w:t>，</w:t>
                  </w:r>
                  <w:r>
                    <w:rPr>
                      <w:rFonts w:hint="default" w:ascii="Times New Roman" w:hAnsi="Times New Roman" w:eastAsia="宋体" w:cs="Times New Roman"/>
                      <w:bCs/>
                      <w:color w:val="auto"/>
                      <w:spacing w:val="0"/>
                      <w:kern w:val="0"/>
                      <w:sz w:val="21"/>
                      <w:szCs w:val="21"/>
                      <w:highlight w:val="none"/>
                    </w:rPr>
                    <w:t>原为林地裸露的地表计划种植相应的林业，保证</w:t>
                  </w:r>
                  <w:r>
                    <w:rPr>
                      <w:rFonts w:hint="default" w:ascii="Times New Roman" w:hAnsi="Times New Roman" w:eastAsia="宋体" w:cs="Times New Roman"/>
                      <w:color w:val="auto"/>
                      <w:spacing w:val="0"/>
                      <w:sz w:val="21"/>
                      <w:szCs w:val="21"/>
                      <w:highlight w:val="none"/>
                    </w:rPr>
                    <w:t>地表不裸露、地面不硬化或作其他用途。</w:t>
                  </w:r>
                </w:p>
              </w:tc>
              <w:tc>
                <w:tcPr>
                  <w:tcW w:w="416" w:type="pct"/>
                  <w:vAlign w:val="center"/>
                </w:tcPr>
                <w:p w14:paraId="4601EDCE">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1F70892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404" w:type="pct"/>
                  <w:vMerge w:val="continue"/>
                  <w:vAlign w:val="center"/>
                </w:tcPr>
                <w:p w14:paraId="43844625">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314" w:type="pct"/>
                  <w:vAlign w:val="center"/>
                </w:tcPr>
                <w:p w14:paraId="6D96BD72">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光伏复合项目施工期要切实做好项目区原生植被的保护，最大程度减少对植被的破坏。施工车辆、设备、人员进场后应尽量不破坏原有土层和</w:t>
                  </w:r>
                  <w:r>
                    <w:rPr>
                      <w:rFonts w:hint="eastAsia" w:ascii="Times New Roman" w:hAnsi="Times New Roman" w:eastAsia="宋体" w:cs="Times New Roman"/>
                      <w:color w:val="auto"/>
                      <w:spacing w:val="0"/>
                      <w:sz w:val="21"/>
                      <w:szCs w:val="21"/>
                      <w:highlight w:val="none"/>
                      <w:lang w:eastAsia="zh-CN"/>
                    </w:rPr>
                    <w:t>地表植被</w:t>
                  </w:r>
                  <w:r>
                    <w:rPr>
                      <w:rFonts w:hint="default" w:ascii="Times New Roman" w:hAnsi="Times New Roman" w:eastAsia="宋体" w:cs="Times New Roman"/>
                      <w:color w:val="auto"/>
                      <w:spacing w:val="0"/>
                      <w:sz w:val="21"/>
                      <w:szCs w:val="21"/>
                      <w:highlight w:val="none"/>
                    </w:rPr>
                    <w:t>，地埋电缆槽、临时弃渣场等确需对地表进行开挖的，施工单位应当严格按照设计范围进行施工，施工结束后立即开展植被恢复工作，县级林草主管部门对恢复情况进行检查验收。电池组件阵列区内林地上涉及散生木的，应当优化设计、尽量避让，在满足光伏电站正常建设运营的同时，尽可能减少对散生木的采伐。涉及古树名木的，一律避让。</w:t>
                  </w:r>
                </w:p>
              </w:tc>
              <w:tc>
                <w:tcPr>
                  <w:tcW w:w="1864" w:type="pct"/>
                  <w:vAlign w:val="center"/>
                </w:tcPr>
                <w:p w14:paraId="39793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eastAsia" w:ascii="Times New Roman" w:hAnsi="Times New Roman" w:eastAsia="宋体" w:cs="Times New Roman"/>
                      <w:bCs/>
                      <w:color w:val="auto"/>
                      <w:spacing w:val="0"/>
                      <w:kern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严格落实动植物、水土保持措施，施工结束后按相关部门要求对施工临时占地、施工迹地进行清理和恢复等措施，降低和缓解施工期生态环境影响。项目电池组件阵列区内林地上涉及散生木的，已进行优化设计、尽量避让，在满足光伏电站正常建设运营的同时，尽可能减少对散生木的采伐。</w:t>
                  </w:r>
                </w:p>
              </w:tc>
              <w:tc>
                <w:tcPr>
                  <w:tcW w:w="416" w:type="pct"/>
                  <w:vAlign w:val="center"/>
                </w:tcPr>
                <w:p w14:paraId="355D3AA0">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r w14:paraId="7B5BAE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404" w:type="pct"/>
                  <w:vMerge w:val="continue"/>
                  <w:vAlign w:val="center"/>
                </w:tcPr>
                <w:p w14:paraId="7DAD7040">
                  <w:pPr>
                    <w:pStyle w:val="89"/>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pacing w:val="0"/>
                      <w:sz w:val="21"/>
                      <w:szCs w:val="21"/>
                      <w:highlight w:val="none"/>
                      <w:shd w:val="clear" w:color="auto" w:fill="auto"/>
                    </w:rPr>
                  </w:pPr>
                </w:p>
              </w:tc>
              <w:tc>
                <w:tcPr>
                  <w:tcW w:w="2314" w:type="pct"/>
                  <w:vAlign w:val="center"/>
                </w:tcPr>
                <w:p w14:paraId="01B23219">
                  <w:pPr>
                    <w:pStyle w:val="8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光伏复合项目运营期要采取多种综合措施，确保项目区原生植被正常生长。施工前项目业主单位应当对项目区植被情况以图文或影像方式进行记录，申报办理许可手续时，将记录材料提交县级林草主管部门存档。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项目区内未设计建设的空地区域，不得破坏原有植被和损毁地表，项目业主单位可在不影响光伏复合项目运营安全的前提下，科学制定绿化方案，适度补植补种乡土树种、草种。项目业主在申报使用林地、草原行政许可时，应当同步提交编制《光伏复合项目使用林草地植被保护方案》的承诺书，并在项目取得使用林地许可批复后1个月内，向县林草局提交按规定编制的《光伏复合项目使用林草地植被保护方案》。</w:t>
                  </w:r>
                </w:p>
              </w:tc>
              <w:tc>
                <w:tcPr>
                  <w:tcW w:w="1864" w:type="pct"/>
                  <w:vAlign w:val="center"/>
                </w:tcPr>
                <w:p w14:paraId="2681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default" w:ascii="Times New Roman" w:hAnsi="Times New Roman" w:eastAsia="宋体" w:cs="Times New Roman"/>
                      <w:bCs/>
                      <w:color w:val="auto"/>
                      <w:spacing w:val="0"/>
                      <w:kern w:val="0"/>
                      <w:sz w:val="21"/>
                      <w:szCs w:val="21"/>
                      <w:highlight w:val="none"/>
                      <w:lang w:val="en-US" w:eastAsia="zh-CN" w:bidi="ar-SA"/>
                    </w:rPr>
                  </w:pPr>
                  <w:r>
                    <w:rPr>
                      <w:rFonts w:hint="default" w:ascii="Times New Roman" w:hAnsi="Times New Roman" w:eastAsia="宋体" w:cs="Times New Roman"/>
                      <w:bCs/>
                      <w:color w:val="auto"/>
                      <w:spacing w:val="0"/>
                      <w:kern w:val="0"/>
                      <w:sz w:val="21"/>
                      <w:szCs w:val="21"/>
                      <w:highlight w:val="none"/>
                    </w:rPr>
                    <w:t>现阶段为项目施工前期工作开展阶段，建设单位在使用林地前，</w:t>
                  </w:r>
                  <w:r>
                    <w:rPr>
                      <w:rFonts w:hint="default" w:ascii="Times New Roman" w:hAnsi="Times New Roman" w:eastAsia="宋体" w:cs="Times New Roman"/>
                      <w:color w:val="auto"/>
                      <w:spacing w:val="0"/>
                      <w:sz w:val="21"/>
                      <w:szCs w:val="21"/>
                      <w:highlight w:val="none"/>
                    </w:rPr>
                    <w:t>将</w:t>
                  </w:r>
                  <w:r>
                    <w:rPr>
                      <w:rFonts w:hint="default" w:ascii="Times New Roman" w:hAnsi="Times New Roman" w:eastAsia="宋体" w:cs="Times New Roman"/>
                      <w:bCs/>
                      <w:color w:val="auto"/>
                      <w:spacing w:val="0"/>
                      <w:kern w:val="0"/>
                      <w:sz w:val="21"/>
                      <w:szCs w:val="21"/>
                      <w:highlight w:val="none"/>
                    </w:rPr>
                    <w:t>编制</w:t>
                  </w:r>
                  <w:r>
                    <w:rPr>
                      <w:rFonts w:hint="default" w:ascii="Times New Roman" w:hAnsi="Times New Roman" w:eastAsia="宋体" w:cs="Times New Roman"/>
                      <w:color w:val="auto"/>
                      <w:spacing w:val="0"/>
                      <w:sz w:val="21"/>
                      <w:szCs w:val="21"/>
                      <w:highlight w:val="none"/>
                    </w:rPr>
                    <w:t>《光伏复合项目使用林草地植被保护方案》，按要求对光伏板下植被进行保护</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保证</w:t>
                  </w:r>
                  <w:r>
                    <w:rPr>
                      <w:rFonts w:hint="default" w:ascii="Times New Roman" w:hAnsi="Times New Roman" w:eastAsia="宋体" w:cs="Times New Roman"/>
                      <w:color w:val="auto"/>
                      <w:spacing w:val="0"/>
                      <w:sz w:val="21"/>
                      <w:szCs w:val="21"/>
                      <w:highlight w:val="none"/>
                    </w:rPr>
                    <w:t>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w:t>
                  </w:r>
                </w:p>
              </w:tc>
              <w:tc>
                <w:tcPr>
                  <w:tcW w:w="416" w:type="pct"/>
                  <w:vAlign w:val="center"/>
                </w:tcPr>
                <w:p w14:paraId="7947B13D">
                  <w:pPr>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bCs/>
                      <w:color w:val="auto"/>
                      <w:spacing w:val="0"/>
                      <w:kern w:val="0"/>
                      <w:szCs w:val="21"/>
                      <w:highlight w:val="none"/>
                      <w:shd w:val="clear" w:color="auto" w:fill="auto"/>
                    </w:rPr>
                  </w:pPr>
                  <w:r>
                    <w:rPr>
                      <w:rFonts w:hint="eastAsia"/>
                      <w:bCs/>
                      <w:color w:val="auto"/>
                      <w:spacing w:val="0"/>
                      <w:kern w:val="0"/>
                      <w:szCs w:val="21"/>
                      <w:highlight w:val="none"/>
                      <w:shd w:val="clear" w:color="auto" w:fill="auto"/>
                    </w:rPr>
                    <w:t>符合</w:t>
                  </w:r>
                </w:p>
              </w:tc>
            </w:tr>
          </w:tbl>
          <w:p w14:paraId="3C1E66C9">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shd w:val="clear" w:color="auto" w:fill="auto"/>
              </w:rPr>
            </w:pPr>
            <w:r>
              <w:rPr>
                <w:rFonts w:hint="eastAsia"/>
                <w:color w:val="auto"/>
                <w:kern w:val="0"/>
                <w:sz w:val="24"/>
                <w:highlight w:val="none"/>
                <w:shd w:val="clear" w:color="auto" w:fill="auto"/>
              </w:rPr>
              <w:t>经</w:t>
            </w:r>
            <w:r>
              <w:rPr>
                <w:rFonts w:hint="default"/>
                <w:color w:val="auto"/>
                <w:kern w:val="0"/>
                <w:sz w:val="24"/>
                <w:highlight w:val="none"/>
                <w:shd w:val="clear" w:color="auto" w:fill="auto"/>
              </w:rPr>
              <w:t>上表分析可知，项目建设使用</w:t>
            </w:r>
            <w:r>
              <w:rPr>
                <w:rFonts w:hint="eastAsia"/>
                <w:color w:val="auto"/>
                <w:kern w:val="0"/>
                <w:sz w:val="24"/>
                <w:highlight w:val="none"/>
                <w:shd w:val="clear" w:color="auto" w:fill="auto"/>
              </w:rPr>
              <w:t>林</w:t>
            </w:r>
            <w:r>
              <w:rPr>
                <w:rFonts w:hint="default"/>
                <w:color w:val="auto"/>
                <w:kern w:val="0"/>
                <w:sz w:val="24"/>
                <w:highlight w:val="none"/>
                <w:shd w:val="clear" w:color="auto" w:fill="auto"/>
              </w:rPr>
              <w:t>地符合《云南省林业和草原局 云南省能源局关于进一步规范光伏复合项目使用林草地有关事项的通知</w:t>
            </w:r>
            <w:r>
              <w:rPr>
                <w:rFonts w:hint="eastAsia"/>
                <w:color w:val="auto"/>
                <w:kern w:val="0"/>
                <w:sz w:val="24"/>
                <w:highlight w:val="none"/>
                <w:shd w:val="clear" w:color="auto" w:fill="auto"/>
              </w:rPr>
              <w:t>》的</w:t>
            </w:r>
            <w:r>
              <w:rPr>
                <w:rFonts w:hint="default"/>
                <w:color w:val="auto"/>
                <w:kern w:val="0"/>
                <w:sz w:val="24"/>
                <w:highlight w:val="none"/>
                <w:shd w:val="clear" w:color="auto" w:fill="auto"/>
              </w:rPr>
              <w:t>相关要求。</w:t>
            </w:r>
          </w:p>
          <w:p w14:paraId="55B79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（2）与《云南省林业厅关于规范光伏电站建设使用林地的通知》（云林林政〔2016〕17号符合性分析</w:t>
            </w:r>
          </w:p>
          <w:p w14:paraId="0F96E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云南省林业厅关于规范光伏电站建设使用林地的通知》（云林林政〔2016〕17号）：“禁止占用自然保护区、国家公园、湿地、森林公园、濒危物种栖息地、天然林保护工程区等环境敏感区域的林地建设光伏电站。我省天然林保护工程区系指纳入全省天然林保护二期工程森林管护的国有林、集体所有的国家级公益林和地方公益林。光伏电站的电池组件阵列仅限于使用三种类型的林地是县级以上人民政府规划的宜林地，二是年降雨量400毫米以下区域覆盖度低于30%的灌木林地，三是年降雨量400毫米以上区域覆盖度低于50%的灌木林地。此外，建设光伏电站所使用林地的范围，必须严格按照林地保护利用规划进行界定决不允许擅自修改调整林地保护利用规划。”</w:t>
            </w:r>
          </w:p>
          <w:p w14:paraId="27380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highlight w:val="none"/>
                <w:lang w:val="en-US" w:eastAsia="zh-CN"/>
              </w:rPr>
              <w:t>根据《寻甸回族彝族自治县林业和草原局关于竹园沟、石崖、梳山、白石岩四个光伏发电项目选址意见》：“项目选址范围涉及寻甸县境内的林、草地，经比对现行林草资料，选址地块不涉及国家公园、各级自然保护区、森林公园、风景名胜区、草原公园、自然保护地等敏感因素，项目选址符合现行林草规划。”</w:t>
            </w:r>
            <w:r>
              <w:rPr>
                <w:rFonts w:hint="eastAsia" w:cs="Times New Roman"/>
                <w:b w:val="0"/>
                <w:bCs w:val="0"/>
                <w:color w:val="auto"/>
                <w:sz w:val="24"/>
                <w:szCs w:val="24"/>
                <w:lang w:val="en-US" w:eastAsia="zh-CN"/>
              </w:rPr>
              <w:t>经进一步核实，项目选址不涉及天然林停伐范围、国家公园、自然保护区、森林公园、湿地公园、珍稀濒危和极小种群野生植物重要原生境等环境敏感区域。</w:t>
            </w:r>
          </w:p>
          <w:p w14:paraId="5CB66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本项目场区年降雨量</w:t>
            </w:r>
            <w:r>
              <w:rPr>
                <w:rFonts w:hint="default"/>
                <w:color w:val="auto"/>
                <w:sz w:val="24"/>
                <w:highlight w:val="none"/>
              </w:rPr>
              <w:t>1045</w:t>
            </w:r>
            <w:r>
              <w:rPr>
                <w:rFonts w:hint="eastAsia"/>
                <w:color w:val="auto"/>
                <w:sz w:val="24"/>
                <w:highlight w:val="none"/>
              </w:rPr>
              <w:t>mm</w:t>
            </w:r>
            <w:r>
              <w:rPr>
                <w:rFonts w:hint="eastAsia" w:cs="Times New Roman"/>
                <w:b w:val="0"/>
                <w:bCs w:val="0"/>
                <w:color w:val="auto"/>
                <w:sz w:val="24"/>
                <w:szCs w:val="24"/>
                <w:highlight w:val="none"/>
                <w:lang w:val="en-US" w:eastAsia="zh-CN"/>
              </w:rPr>
              <w:t>，项目灌木林地覆盖度均低于50%，符合《云南省林业和草原局云南省能源局关于进一步规范光伏符合项目使用林草地有关事项的通知》（云林规〔2021〕5号）“光伏电站的电池组件阵列仅限于使用三种类型的林地：……三是年降雨量400毫米以上区域覆盖度低于50%的灌木林地”要求。</w:t>
            </w:r>
          </w:p>
          <w:p w14:paraId="6A5B7D0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val="0"/>
                <w:bCs w:val="0"/>
                <w:color w:val="auto"/>
                <w:sz w:val="24"/>
                <w:szCs w:val="24"/>
                <w:highlight w:val="none"/>
                <w:lang w:val="en-US" w:eastAsia="zh-CN"/>
              </w:rPr>
              <w:t>综上，项目建设符合《云南省林业厅关于规范光伏电站建设使用林地的通知》（云林林政〔2016〕17号）要求。</w:t>
            </w:r>
          </w:p>
          <w:p w14:paraId="2477D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与《云南省建设项目使用林地指南》（2022年4月）的符合性分析</w:t>
            </w:r>
          </w:p>
          <w:p w14:paraId="68E5F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val="en-US" w:eastAsia="zh-CN"/>
              </w:rPr>
              <w:t>建设项目使用林地必须符合国土空间规划、林地保护利用规划、自然保护地规划和县级以上</w:t>
            </w:r>
            <w:r>
              <w:rPr>
                <w:rFonts w:hint="default" w:ascii="Times New Roman" w:hAnsi="Times New Roman" w:eastAsia="宋体" w:cs="Times New Roman"/>
                <w:color w:val="auto"/>
                <w:sz w:val="24"/>
                <w:szCs w:val="24"/>
                <w:highlight w:val="none"/>
                <w:lang w:val="en-US" w:eastAsia="zh-CN"/>
              </w:rPr>
              <w:t>人民政府批准的各类专项规划，同时结合建设项目立项的级别（国家、省级、地方）、性质（基础设施、公共事业、民生建设、国防、外交等）按照《建设项目使用林地审核审批管理办法》（国家林业局令第35号）《建设项目使用林地审核审批管理规范》（林资规〔2021〕5号）规定，确定用地范围和等级，依法办理涉林手续。</w:t>
            </w:r>
          </w:p>
          <w:p w14:paraId="071FD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项目用地原则上限制使用生态区位重要和生态脆弱地区的林地，限制使用天然林和单位面积蓄积量高的林地，限制经营性建设项目使用林地，要坚持林地保护等级管理。</w:t>
            </w:r>
          </w:p>
          <w:p w14:paraId="52A21942">
            <w:pPr>
              <w:keepNext w:val="0"/>
              <w:keepLines/>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符合性分析：</w:t>
            </w:r>
            <w:r>
              <w:rPr>
                <w:rFonts w:hint="default" w:ascii="Times New Roman" w:hAnsi="Times New Roman" w:eastAsia="宋体" w:cs="Times New Roman"/>
                <w:color w:val="auto"/>
                <w:sz w:val="24"/>
                <w:szCs w:val="24"/>
                <w:lang w:val="en-US" w:eastAsia="zh-CN"/>
              </w:rPr>
              <w:t>项目使用林地可行性报告</w:t>
            </w:r>
            <w:r>
              <w:rPr>
                <w:rFonts w:hint="eastAsia" w:cs="Times New Roman"/>
                <w:color w:val="auto"/>
                <w:sz w:val="24"/>
                <w:szCs w:val="24"/>
                <w:lang w:val="en-US" w:eastAsia="zh-CN"/>
              </w:rPr>
              <w:t>正在送审中，</w:t>
            </w:r>
            <w:r>
              <w:rPr>
                <w:rFonts w:hint="default" w:ascii="Times New Roman" w:hAnsi="Times New Roman" w:eastAsia="宋体" w:cs="Times New Roman"/>
                <w:color w:val="auto"/>
                <w:sz w:val="24"/>
                <w:szCs w:val="24"/>
                <w:lang w:val="en-US" w:eastAsia="zh-CN"/>
              </w:rPr>
              <w:t>根据项目使用林地可行性报告，本工程建设涉及占用林地情况为灌木林地、其他林地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未</w:t>
            </w:r>
            <w:r>
              <w:rPr>
                <w:rFonts w:hint="default" w:ascii="Times New Roman" w:hAnsi="Times New Roman" w:eastAsia="宋体" w:cs="Times New Roman"/>
                <w:color w:val="auto"/>
                <w:sz w:val="24"/>
                <w:szCs w:val="24"/>
                <w:lang w:val="en-US" w:eastAsia="zh-CN"/>
              </w:rPr>
              <w:t>使用天然林和单位面积蓄积量高的林地，</w:t>
            </w: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符合国土空间规划、林地保护利用规划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因此，项目选址符合《云南省建设项目使用林地指南》的相关要求。</w:t>
            </w:r>
          </w:p>
        </w:tc>
      </w:tr>
      <w:bookmarkEnd w:id="2"/>
    </w:tbl>
    <w:p w14:paraId="67A38A9C">
      <w:pPr>
        <w:shd w:val="clear"/>
        <w:spacing w:line="360" w:lineRule="auto"/>
        <w:outlineLvl w:val="0"/>
        <w:rPr>
          <w:color w:val="auto"/>
          <w:sz w:val="30"/>
          <w:highlight w:val="none"/>
          <w:shd w:val="clear" w:color="auto" w:fill="auto"/>
        </w:rPr>
        <w:sectPr>
          <w:footerReference r:id="rId6" w:type="default"/>
          <w:pgSz w:w="11906" w:h="16838"/>
          <w:pgMar w:top="1701" w:right="1531" w:bottom="1701" w:left="1531" w:header="851" w:footer="1077" w:gutter="0"/>
          <w:pgNumType w:fmt="decimal"/>
          <w:cols w:space="720" w:num="1"/>
          <w:docGrid w:linePitch="312" w:charSpace="0"/>
        </w:sectPr>
      </w:pPr>
    </w:p>
    <w:p w14:paraId="0877A362">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bookmarkStart w:id="15" w:name="_Toc28456"/>
      <w:r>
        <w:rPr>
          <w:b/>
          <w:bCs/>
          <w:snapToGrid w:val="0"/>
          <w:color w:val="auto"/>
          <w:sz w:val="30"/>
          <w:szCs w:val="30"/>
          <w:highlight w:val="none"/>
          <w:shd w:val="clear" w:color="auto" w:fill="auto"/>
        </w:rPr>
        <w:t>二、建设内容</w:t>
      </w:r>
      <w:bookmarkEnd w:id="15"/>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7"/>
      </w:tblGrid>
      <w:tr w14:paraId="634E7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48" w:type="pct"/>
            <w:vAlign w:val="center"/>
          </w:tcPr>
          <w:p w14:paraId="63C3ECC4">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地理位置</w:t>
            </w:r>
          </w:p>
        </w:tc>
        <w:tc>
          <w:tcPr>
            <w:tcW w:w="4551" w:type="pct"/>
            <w:vAlign w:val="center"/>
          </w:tcPr>
          <w:p w14:paraId="214E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default" w:ascii="Times New Roman" w:hAnsi="Times New Roman" w:eastAsia="宋体" w:cs="Times New Roman"/>
                <w:color w:val="auto"/>
                <w:sz w:val="24"/>
                <w:szCs w:val="24"/>
                <w:highlight w:val="none"/>
                <w:lang w:val="zh-CN"/>
              </w:rPr>
              <w:t>项目场址</w:t>
            </w:r>
            <w:r>
              <w:rPr>
                <w:rFonts w:hint="eastAsia" w:ascii="Times New Roman" w:hAnsi="Times New Roman" w:cs="Times New Roman"/>
                <w:color w:val="auto"/>
                <w:sz w:val="24"/>
                <w:szCs w:val="24"/>
                <w:highlight w:val="none"/>
                <w:shd w:val="clear" w:color="auto" w:fill="auto"/>
                <w:lang w:val="en-US" w:eastAsia="zh-CN"/>
              </w:rPr>
              <w:t>位于昆明市寻甸回族彝族自治县河口镇境内，项目区中心坐标位于东经103°27′20.819″，北纬25°44′38.869″</w:t>
            </w:r>
            <w:r>
              <w:rPr>
                <w:rFonts w:hint="default" w:ascii="Times New Roman" w:hAnsi="Times New Roman" w:eastAsia="宋体" w:cs="Times New Roman"/>
                <w:color w:val="auto"/>
                <w:sz w:val="24"/>
                <w:szCs w:val="24"/>
                <w:highlight w:val="none"/>
                <w:lang w:val="zh-CN"/>
              </w:rPr>
              <w:t>，场址中心与寻甸县县城直线距离约</w:t>
            </w:r>
            <w:r>
              <w:rPr>
                <w:rFonts w:hint="eastAsia"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zh-CN"/>
              </w:rPr>
              <w:t>km。</w:t>
            </w:r>
            <w:r>
              <w:rPr>
                <w:rFonts w:hint="default" w:ascii="Times New Roman" w:hAnsi="Times New Roman" w:eastAsia="宋体" w:cs="Times New Roman"/>
                <w:color w:val="auto"/>
                <w:sz w:val="24"/>
                <w:szCs w:val="24"/>
                <w:highlight w:val="none"/>
                <w:lang w:val="en-US" w:eastAsia="zh-CN"/>
              </w:rPr>
              <w:t>昆明市—寻甸县公路里程约95km，为杭瑞高速和银昆高速。寻甸县—河口镇公路里程约19km，为八五县道。河口镇—场址，公路里程约15km，为县白线及村村通公路。场址进场道路总体条件较好</w:t>
            </w:r>
            <w:r>
              <w:rPr>
                <w:rFonts w:hint="eastAsia" w:cs="Times New Roman"/>
                <w:color w:val="auto"/>
                <w:sz w:val="24"/>
                <w:szCs w:val="24"/>
                <w:highlight w:val="none"/>
                <w:lang w:val="en-US" w:eastAsia="zh-CN"/>
              </w:rPr>
              <w:t>。</w:t>
            </w:r>
          </w:p>
          <w:p w14:paraId="6DFA971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default"/>
                <w:color w:val="auto"/>
                <w:sz w:val="24"/>
                <w:highlight w:val="none"/>
                <w:shd w:val="clear" w:color="auto" w:fill="auto"/>
              </w:rPr>
              <w:t>项目地理位置</w:t>
            </w:r>
            <w:r>
              <w:rPr>
                <w:rFonts w:hint="eastAsia"/>
                <w:color w:val="auto"/>
                <w:sz w:val="24"/>
                <w:highlight w:val="none"/>
                <w:shd w:val="clear" w:color="auto" w:fill="auto"/>
              </w:rPr>
              <w:t>图详</w:t>
            </w:r>
            <w:r>
              <w:rPr>
                <w:rFonts w:hint="default"/>
                <w:color w:val="auto"/>
                <w:sz w:val="24"/>
                <w:highlight w:val="none"/>
                <w:shd w:val="clear" w:color="auto" w:fill="auto"/>
              </w:rPr>
              <w:t>见附图1。</w:t>
            </w:r>
          </w:p>
        </w:tc>
      </w:tr>
      <w:tr w14:paraId="18940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09031C99">
            <w:pPr>
              <w:keepNext w:val="0"/>
              <w:keepLines w:val="0"/>
              <w:suppressLineNumbers w:val="0"/>
              <w:shd w:val="clear"/>
              <w:adjustRightInd w:val="0"/>
              <w:snapToGrid w:val="0"/>
              <w:spacing w:before="0" w:beforeAutospacing="0" w:after="0" w:afterAutospacing="0"/>
              <w:ind w:left="0" w:right="0"/>
              <w:jc w:val="center"/>
              <w:rPr>
                <w:rFonts w:hint="default"/>
                <w:color w:val="auto"/>
                <w:kern w:val="0"/>
                <w:szCs w:val="21"/>
                <w:highlight w:val="none"/>
                <w:shd w:val="clear" w:color="auto" w:fill="auto"/>
              </w:rPr>
            </w:pPr>
            <w:r>
              <w:rPr>
                <w:rFonts w:hint="default"/>
                <w:color w:val="auto"/>
                <w:kern w:val="0"/>
                <w:sz w:val="24"/>
                <w:highlight w:val="none"/>
                <w:shd w:val="clear" w:color="auto" w:fill="auto"/>
              </w:rPr>
              <w:t>项目组成及规模</w:t>
            </w:r>
          </w:p>
        </w:tc>
        <w:tc>
          <w:tcPr>
            <w:tcW w:w="4551" w:type="pct"/>
            <w:vAlign w:val="center"/>
          </w:tcPr>
          <w:p w14:paraId="2038529C">
            <w:pPr>
              <w:keepNext w:val="0"/>
              <w:keepLines w:val="0"/>
              <w:suppressLineNumbers w:val="0"/>
              <w:shd w:val="clear"/>
              <w:adjustRightInd w:val="0"/>
              <w:snapToGrid w:val="0"/>
              <w:spacing w:before="0" w:beforeAutospacing="0" w:after="0" w:afterAutospacing="0" w:line="360" w:lineRule="auto"/>
              <w:ind w:left="0" w:right="0"/>
              <w:jc w:val="left"/>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一、项目概况</w:t>
            </w:r>
          </w:p>
          <w:p w14:paraId="427D8C8C">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1、</w:t>
            </w:r>
            <w:r>
              <w:rPr>
                <w:rFonts w:hint="eastAsia"/>
                <w:b/>
                <w:bCs/>
                <w:color w:val="auto"/>
                <w:kern w:val="0"/>
                <w:sz w:val="24"/>
                <w:highlight w:val="none"/>
                <w:shd w:val="clear" w:color="auto" w:fill="auto"/>
                <w:lang w:val="en-US" w:eastAsia="zh-CN"/>
              </w:rPr>
              <w:t>建设内容及</w:t>
            </w:r>
            <w:r>
              <w:rPr>
                <w:rFonts w:hint="default"/>
                <w:b/>
                <w:bCs/>
                <w:color w:val="auto"/>
                <w:kern w:val="0"/>
                <w:sz w:val="24"/>
                <w:highlight w:val="none"/>
                <w:shd w:val="clear" w:color="auto" w:fill="auto"/>
              </w:rPr>
              <w:t>规模</w:t>
            </w:r>
          </w:p>
          <w:p w14:paraId="07CC6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项目规划容量</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MW，实际直流侧安装容量</w:t>
            </w:r>
            <w:r>
              <w:rPr>
                <w:rFonts w:hint="eastAsia" w:ascii="Times New Roman" w:hAnsi="Times New Roman" w:eastAsia="宋体" w:cs="Times New Roman"/>
                <w:color w:val="auto"/>
                <w:sz w:val="24"/>
                <w:szCs w:val="24"/>
                <w:highlight w:val="none"/>
                <w:lang w:val="en-US" w:eastAsia="zh-CN"/>
              </w:rPr>
              <w:t>64.24392</w:t>
            </w:r>
            <w:r>
              <w:rPr>
                <w:rFonts w:hint="default" w:ascii="Times New Roman" w:hAnsi="Times New Roman" w:eastAsia="宋体" w:cs="Times New Roman"/>
                <w:color w:val="auto"/>
                <w:sz w:val="24"/>
                <w:szCs w:val="24"/>
                <w:highlight w:val="none"/>
                <w:lang w:val="en-US" w:eastAsia="zh-CN"/>
              </w:rPr>
              <w:t>MWp。共由</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个光伏子方阵组成，采用</w:t>
            </w:r>
            <w:r>
              <w:rPr>
                <w:rFonts w:hint="eastAsia" w:cs="Times New Roman"/>
                <w:color w:val="auto"/>
                <w:sz w:val="24"/>
                <w:szCs w:val="24"/>
                <w:highlight w:val="none"/>
                <w:lang w:val="en-US" w:eastAsia="zh-CN"/>
              </w:rPr>
              <w:t>108888块590Wp单晶硅N型光伏组件</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157台</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0kW的组串式逆变器、</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台箱式变压器。本光伏电站每个光伏子方阵经逆变升压后输出电压为35kV。每个光伏方阵电力经箱变升压至35kV后，通过35kV电缆分接箱并联至35kV集电线路，通过</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回35kV集电线路汇集电力后输送至</w:t>
            </w:r>
            <w:r>
              <w:rPr>
                <w:rFonts w:hint="eastAsia" w:cs="Times New Roman"/>
                <w:color w:val="auto"/>
                <w:sz w:val="24"/>
                <w:szCs w:val="24"/>
                <w:highlight w:val="none"/>
                <w:lang w:val="en-US" w:eastAsia="zh-CN"/>
              </w:rPr>
              <w:t>依托的</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color w:val="auto"/>
                <w:sz w:val="24"/>
                <w:szCs w:val="24"/>
                <w:highlight w:val="none"/>
                <w:lang w:val="en-US" w:eastAsia="zh-CN"/>
              </w:rPr>
              <w:t>220</w:t>
            </w:r>
            <w:r>
              <w:rPr>
                <w:rFonts w:hint="default" w:ascii="Times New Roman" w:hAnsi="Times New Roman" w:eastAsia="宋体" w:cs="Times New Roman"/>
                <w:color w:val="auto"/>
                <w:sz w:val="24"/>
                <w:szCs w:val="24"/>
                <w:highlight w:val="none"/>
                <w:lang w:val="en-US" w:eastAsia="zh-CN"/>
              </w:rPr>
              <w:t>kV升压站</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lang w:val="en-US" w:eastAsia="zh-CN"/>
              </w:rPr>
              <w:t>项目建设用地距离升压站约</w:t>
            </w:r>
            <w:r>
              <w:rPr>
                <w:rFonts w:hint="eastAsia" w:cs="Times New Roman"/>
                <w:color w:val="auto"/>
                <w:sz w:val="24"/>
                <w:szCs w:val="24"/>
                <w:highlight w:val="none"/>
                <w:lang w:val="en-US" w:eastAsia="zh-CN"/>
              </w:rPr>
              <w:t>2.47</w:t>
            </w:r>
            <w:r>
              <w:rPr>
                <w:rFonts w:hint="default" w:ascii="Times New Roman" w:hAnsi="Times New Roman" w:eastAsia="宋体" w:cs="Times New Roman"/>
                <w:color w:val="auto"/>
                <w:sz w:val="24"/>
                <w:szCs w:val="24"/>
                <w:highlight w:val="none"/>
                <w:lang w:val="en-US" w:eastAsia="zh-CN"/>
              </w:rPr>
              <w:t>km。</w:t>
            </w:r>
          </w:p>
          <w:p w14:paraId="32068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sz w:val="24"/>
                <w:szCs w:val="24"/>
                <w:highlight w:val="none"/>
                <w:lang w:eastAsia="zh-CN"/>
              </w:rPr>
            </w:pPr>
            <w:r>
              <w:rPr>
                <w:rFonts w:hint="eastAsia" w:eastAsia="宋体"/>
                <w:b/>
                <w:bCs/>
                <w:color w:val="auto"/>
                <w:sz w:val="24"/>
                <w:szCs w:val="24"/>
                <w:highlight w:val="none"/>
                <w:lang w:val="en-US" w:eastAsia="zh-CN"/>
              </w:rPr>
              <w:t>因</w:t>
            </w:r>
            <w:r>
              <w:rPr>
                <w:rFonts w:hint="default" w:eastAsia="宋体"/>
                <w:b/>
                <w:bCs/>
                <w:color w:val="auto"/>
                <w:sz w:val="24"/>
                <w:szCs w:val="24"/>
                <w:highlight w:val="none"/>
                <w:lang w:val="en-US" w:eastAsia="zh-CN"/>
              </w:rPr>
              <w:t>35kV</w:t>
            </w:r>
            <w:r>
              <w:rPr>
                <w:rFonts w:hint="eastAsia"/>
                <w:b/>
                <w:bCs/>
                <w:color w:val="auto"/>
                <w:sz w:val="24"/>
                <w:szCs w:val="24"/>
                <w:highlight w:val="none"/>
                <w:lang w:val="en-US" w:eastAsia="zh-CN"/>
              </w:rPr>
              <w:t>架空集电线路按照</w:t>
            </w:r>
            <w:r>
              <w:rPr>
                <w:rFonts w:hint="eastAsia" w:eastAsia="宋体"/>
                <w:b/>
                <w:bCs/>
                <w:color w:val="auto"/>
                <w:sz w:val="24"/>
                <w:szCs w:val="24"/>
                <w:highlight w:val="none"/>
                <w:lang w:val="en-US" w:eastAsia="zh-CN"/>
              </w:rPr>
              <w:t>送出</w:t>
            </w:r>
            <w:r>
              <w:rPr>
                <w:rFonts w:hint="default" w:eastAsia="宋体"/>
                <w:b/>
                <w:bCs/>
                <w:color w:val="auto"/>
                <w:sz w:val="24"/>
                <w:szCs w:val="24"/>
                <w:highlight w:val="none"/>
                <w:lang w:val="en-US" w:eastAsia="zh-CN"/>
              </w:rPr>
              <w:t>线路</w:t>
            </w:r>
            <w:r>
              <w:rPr>
                <w:rFonts w:hint="eastAsia" w:eastAsia="宋体"/>
                <w:b/>
                <w:bCs/>
                <w:color w:val="auto"/>
                <w:sz w:val="24"/>
                <w:szCs w:val="24"/>
                <w:highlight w:val="none"/>
                <w:lang w:val="en-US" w:eastAsia="zh-CN"/>
              </w:rPr>
              <w:t>单独进行核准，</w:t>
            </w:r>
            <w:r>
              <w:rPr>
                <w:rFonts w:hint="eastAsia" w:eastAsia="宋体"/>
                <w:b/>
                <w:bCs/>
                <w:color w:val="auto"/>
                <w:sz w:val="24"/>
                <w:szCs w:val="24"/>
                <w:highlight w:val="none"/>
              </w:rPr>
              <w:t>本次评价不包含</w:t>
            </w:r>
            <w:r>
              <w:rPr>
                <w:rFonts w:hint="eastAsia" w:eastAsia="宋体"/>
                <w:b/>
                <w:bCs/>
                <w:color w:val="auto"/>
                <w:sz w:val="24"/>
                <w:szCs w:val="24"/>
                <w:highlight w:val="none"/>
                <w:lang w:val="en-US" w:eastAsia="zh-CN"/>
              </w:rPr>
              <w:t>35kV</w:t>
            </w:r>
            <w:r>
              <w:rPr>
                <w:rFonts w:hint="eastAsia"/>
                <w:b/>
                <w:bCs/>
                <w:color w:val="auto"/>
                <w:sz w:val="24"/>
                <w:szCs w:val="24"/>
                <w:highlight w:val="none"/>
              </w:rPr>
              <w:t>送出线路工程内容，建设单位在开展送出线路工程时另行办理相关环保手续</w:t>
            </w:r>
            <w:r>
              <w:rPr>
                <w:rFonts w:hint="eastAsia"/>
                <w:b/>
                <w:bCs/>
                <w:color w:val="auto"/>
                <w:sz w:val="24"/>
                <w:szCs w:val="24"/>
                <w:highlight w:val="none"/>
                <w:lang w:eastAsia="zh-CN"/>
              </w:rPr>
              <w:t>。</w:t>
            </w:r>
          </w:p>
          <w:p w14:paraId="5E5963C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lang w:val="en-US" w:eastAsia="zh-CN"/>
              </w:rPr>
            </w:pPr>
            <w:r>
              <w:rPr>
                <w:rFonts w:hint="eastAsia"/>
                <w:b w:val="0"/>
                <w:bCs w:val="0"/>
                <w:color w:val="auto"/>
                <w:kern w:val="0"/>
                <w:sz w:val="24"/>
                <w:highlight w:val="none"/>
                <w:shd w:val="clear" w:color="auto" w:fill="auto"/>
                <w:lang w:val="en-US" w:eastAsia="zh-CN"/>
              </w:rPr>
              <w:t>本工程与</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cs="Times New Roman"/>
                <w:b w:val="0"/>
                <w:bCs w:val="0"/>
                <w:color w:val="auto"/>
                <w:sz w:val="24"/>
                <w:szCs w:val="24"/>
                <w:highlight w:val="none"/>
                <w:lang w:val="en-US" w:eastAsia="zh-CN"/>
              </w:rPr>
              <w:t>、石崖光伏发电项目和白石岩光伏发电项目</w:t>
            </w:r>
            <w:r>
              <w:rPr>
                <w:rFonts w:hint="eastAsia" w:cs="Times New Roman"/>
                <w:b w:val="0"/>
                <w:bCs w:val="0"/>
                <w:color w:val="auto"/>
                <w:sz w:val="24"/>
                <w:szCs w:val="24"/>
                <w:lang w:val="en-US" w:eastAsia="zh-CN"/>
              </w:rPr>
              <w:t>和巨龙梁风电场扩建项目（为不同业主）</w:t>
            </w:r>
            <w:r>
              <w:rPr>
                <w:rFonts w:hint="eastAsia"/>
                <w:b w:val="0"/>
                <w:bCs w:val="0"/>
                <w:color w:val="auto"/>
                <w:kern w:val="0"/>
                <w:sz w:val="24"/>
                <w:highlight w:val="none"/>
                <w:shd w:val="clear" w:color="auto" w:fill="auto"/>
                <w:lang w:val="en-US" w:eastAsia="zh-CN"/>
              </w:rPr>
              <w:t>共用一座220kV升压站，220kV升压站纳入</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中评价。</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color w:val="auto"/>
                <w:sz w:val="24"/>
                <w:highlight w:val="none"/>
                <w:lang w:val="en-US" w:eastAsia="zh-CN"/>
              </w:rPr>
              <w:t>建设单位为</w:t>
            </w:r>
            <w:r>
              <w:rPr>
                <w:rFonts w:hint="eastAsia" w:ascii="Times New Roman" w:hAnsi="Times New Roman" w:cs="Times New Roman"/>
                <w:color w:val="auto"/>
                <w:sz w:val="24"/>
                <w:szCs w:val="24"/>
                <w:highlight w:val="none"/>
                <w:shd w:val="clear" w:color="auto" w:fill="auto"/>
                <w:lang w:val="en-US" w:eastAsia="zh-CN"/>
              </w:rPr>
              <w:t>寻甸县乾润新能源有限公司</w:t>
            </w:r>
            <w:r>
              <w:rPr>
                <w:rFonts w:hint="eastAsia"/>
                <w:color w:val="auto"/>
                <w:sz w:val="24"/>
                <w:highlight w:val="none"/>
                <w:lang w:val="en-US" w:eastAsia="zh-CN"/>
              </w:rPr>
              <w:t>，与本项目为同一建设单位。</w:t>
            </w:r>
          </w:p>
          <w:p w14:paraId="10168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auto"/>
                <w:kern w:val="0"/>
                <w:sz w:val="24"/>
                <w:highlight w:val="none"/>
                <w:shd w:val="clear" w:color="auto" w:fill="auto"/>
                <w:lang w:val="en-US" w:eastAsia="zh-CN"/>
              </w:rPr>
            </w:pPr>
            <w:r>
              <w:rPr>
                <w:rFonts w:hint="eastAsia" w:ascii="宋体" w:hAnsi="宋体" w:eastAsia="宋体" w:cs="宋体"/>
                <w:b/>
                <w:bCs/>
                <w:color w:val="auto"/>
                <w:kern w:val="0"/>
                <w:sz w:val="24"/>
                <w:szCs w:val="24"/>
                <w:highlight w:val="none"/>
                <w:shd w:val="clear" w:color="auto" w:fill="auto"/>
                <w:lang w:val="en-US" w:eastAsia="zh-CN" w:bidi="ar"/>
              </w:rPr>
              <w:t>同时</w:t>
            </w:r>
            <w:r>
              <w:rPr>
                <w:rFonts w:hint="eastAsia" w:ascii="宋体" w:hAnsi="宋体" w:cs="宋体"/>
                <w:b/>
                <w:bCs/>
                <w:color w:val="auto"/>
                <w:kern w:val="0"/>
                <w:sz w:val="24"/>
                <w:szCs w:val="24"/>
                <w:highlight w:val="none"/>
                <w:shd w:val="clear" w:color="auto" w:fill="auto"/>
                <w:lang w:val="en-US" w:eastAsia="zh-CN" w:bidi="ar"/>
              </w:rPr>
              <w:t>场区道路</w:t>
            </w:r>
            <w:r>
              <w:rPr>
                <w:rFonts w:hint="eastAsia" w:ascii="宋体" w:hAnsi="宋体" w:eastAsia="宋体" w:cs="宋体"/>
                <w:b/>
                <w:bCs/>
                <w:color w:val="auto"/>
                <w:kern w:val="0"/>
                <w:sz w:val="24"/>
                <w:szCs w:val="24"/>
                <w:highlight w:val="none"/>
                <w:shd w:val="clear" w:color="auto" w:fill="auto"/>
                <w:lang w:val="en-US" w:eastAsia="zh-CN" w:bidi="ar"/>
              </w:rPr>
              <w:t>以</w:t>
            </w:r>
            <w:r>
              <w:rPr>
                <w:rFonts w:hint="eastAsia" w:ascii="宋体" w:hAnsi="宋体" w:cs="宋体"/>
                <w:b/>
                <w:bCs/>
                <w:color w:val="auto"/>
                <w:kern w:val="0"/>
                <w:sz w:val="24"/>
                <w:szCs w:val="24"/>
                <w:highlight w:val="none"/>
                <w:shd w:val="clear" w:color="auto" w:fill="auto"/>
                <w:lang w:val="en-US" w:eastAsia="zh-CN" w:bidi="ar"/>
              </w:rPr>
              <w:t>防火通道用</w:t>
            </w:r>
            <w:r>
              <w:rPr>
                <w:rFonts w:hint="eastAsia" w:ascii="宋体" w:hAnsi="宋体" w:eastAsia="宋体" w:cs="宋体"/>
                <w:b/>
                <w:bCs/>
                <w:color w:val="auto"/>
                <w:kern w:val="0"/>
                <w:sz w:val="24"/>
                <w:szCs w:val="24"/>
                <w:highlight w:val="none"/>
                <w:shd w:val="clear" w:color="auto" w:fill="auto"/>
                <w:lang w:val="en-US" w:eastAsia="zh-CN" w:bidi="ar"/>
              </w:rPr>
              <w:t>地</w:t>
            </w:r>
            <w:r>
              <w:rPr>
                <w:rFonts w:hint="eastAsia" w:ascii="宋体" w:hAnsi="宋体" w:cs="宋体"/>
                <w:b/>
                <w:bCs/>
                <w:color w:val="auto"/>
                <w:kern w:val="0"/>
                <w:sz w:val="24"/>
                <w:szCs w:val="24"/>
                <w:highlight w:val="none"/>
                <w:shd w:val="clear" w:color="auto" w:fill="auto"/>
                <w:lang w:val="en-US" w:eastAsia="zh-CN" w:bidi="ar"/>
              </w:rPr>
              <w:t>单独</w:t>
            </w:r>
            <w:r>
              <w:rPr>
                <w:rFonts w:hint="eastAsia" w:ascii="宋体" w:hAnsi="宋体" w:eastAsia="宋体" w:cs="宋体"/>
                <w:b/>
                <w:bCs/>
                <w:color w:val="auto"/>
                <w:kern w:val="0"/>
                <w:sz w:val="24"/>
                <w:szCs w:val="24"/>
                <w:highlight w:val="none"/>
                <w:shd w:val="clear" w:color="auto" w:fill="auto"/>
                <w:lang w:val="en-US" w:eastAsia="zh-CN" w:bidi="ar"/>
              </w:rPr>
              <w:t>进行立项报批</w:t>
            </w:r>
            <w:r>
              <w:rPr>
                <w:rFonts w:hint="eastAsia" w:ascii="宋体" w:hAnsi="宋体" w:cs="宋体"/>
                <w:b/>
                <w:bCs/>
                <w:color w:val="auto"/>
                <w:kern w:val="0"/>
                <w:sz w:val="24"/>
                <w:szCs w:val="24"/>
                <w:highlight w:val="none"/>
                <w:shd w:val="clear" w:color="auto" w:fill="auto"/>
                <w:lang w:val="en-US" w:eastAsia="zh-CN" w:bidi="ar"/>
              </w:rPr>
              <w:t>，</w:t>
            </w:r>
            <w:r>
              <w:rPr>
                <w:rFonts w:hint="eastAsia" w:ascii="Times New Roman" w:hAnsi="Times New Roman" w:eastAsia="宋体" w:cs="Times New Roman"/>
                <w:b/>
                <w:bCs/>
                <w:color w:val="auto"/>
                <w:kern w:val="0"/>
                <w:sz w:val="24"/>
                <w:szCs w:val="24"/>
                <w:lang w:val="en-US" w:eastAsia="zh-CN"/>
              </w:rPr>
              <w:t>不在本次评价范围内</w:t>
            </w:r>
            <w:r>
              <w:rPr>
                <w:rFonts w:hint="eastAsia" w:ascii="宋体" w:hAnsi="宋体" w:cs="宋体"/>
                <w:b/>
                <w:bCs/>
                <w:color w:val="auto"/>
                <w:kern w:val="0"/>
                <w:sz w:val="24"/>
                <w:szCs w:val="24"/>
                <w:highlight w:val="none"/>
                <w:shd w:val="clear" w:color="auto" w:fill="auto"/>
                <w:lang w:val="en-US" w:eastAsia="zh-CN" w:bidi="ar"/>
              </w:rPr>
              <w:t>；此外</w:t>
            </w:r>
            <w:r>
              <w:rPr>
                <w:rFonts w:hint="eastAsia" w:ascii="Times New Roman" w:hAnsi="Times New Roman" w:eastAsia="宋体" w:cs="Times New Roman"/>
                <w:b/>
                <w:bCs/>
                <w:color w:val="auto"/>
                <w:kern w:val="0"/>
                <w:sz w:val="24"/>
                <w:szCs w:val="24"/>
                <w:lang w:val="en-US" w:eastAsia="zh-CN"/>
              </w:rPr>
              <w:t>项目采取的“</w:t>
            </w:r>
            <w:r>
              <w:rPr>
                <w:rFonts w:hint="eastAsia" w:cs="Times New Roman"/>
                <w:b/>
                <w:bCs/>
                <w:color w:val="auto"/>
                <w:kern w:val="0"/>
                <w:sz w:val="24"/>
                <w:szCs w:val="24"/>
                <w:lang w:val="en-US" w:eastAsia="zh-CN"/>
              </w:rPr>
              <w:t>林</w:t>
            </w:r>
            <w:r>
              <w:rPr>
                <w:rFonts w:hint="eastAsia" w:ascii="Times New Roman" w:hAnsi="Times New Roman" w:eastAsia="宋体" w:cs="Times New Roman"/>
                <w:b/>
                <w:bCs/>
                <w:color w:val="auto"/>
                <w:kern w:val="0"/>
                <w:sz w:val="24"/>
                <w:szCs w:val="24"/>
                <w:lang w:val="en-US" w:eastAsia="zh-CN"/>
              </w:rPr>
              <w:t>光互补”具体方案不在本次评价范围内。</w:t>
            </w:r>
          </w:p>
          <w:p w14:paraId="457C081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color w:val="auto"/>
                <w:highlight w:val="none"/>
                <w:lang w:val="en-US" w:eastAsia="zh-CN"/>
              </w:rPr>
            </w:pPr>
            <w:r>
              <w:rPr>
                <w:rFonts w:hint="eastAsia"/>
                <w:b/>
                <w:bCs/>
                <w:color w:val="auto"/>
                <w:kern w:val="0"/>
                <w:sz w:val="24"/>
                <w:highlight w:val="none"/>
                <w:shd w:val="clear" w:color="auto" w:fill="auto"/>
                <w:lang w:val="en-US" w:eastAsia="zh-CN"/>
              </w:rPr>
              <w:t>2、依托工程内容</w:t>
            </w:r>
          </w:p>
          <w:p w14:paraId="341169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①升压站及输电线路依托情况</w:t>
            </w:r>
          </w:p>
          <w:p w14:paraId="41DDA07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val="0"/>
                <w:color w:val="auto"/>
                <w:kern w:val="0"/>
                <w:sz w:val="24"/>
                <w:szCs w:val="24"/>
                <w:highlight w:val="none"/>
                <w:lang w:val="en-US" w:eastAsia="zh-CN"/>
              </w:rPr>
            </w:pPr>
            <w:r>
              <w:rPr>
                <w:rFonts w:hint="eastAsia"/>
                <w:b w:val="0"/>
                <w:bCs w:val="0"/>
                <w:color w:val="auto"/>
                <w:kern w:val="0"/>
                <w:sz w:val="24"/>
                <w:highlight w:val="none"/>
                <w:shd w:val="clear" w:color="auto" w:fill="auto"/>
                <w:lang w:val="en-US" w:eastAsia="zh-CN"/>
              </w:rPr>
              <w:t>根据《国投寻甸梳山光伏发电项目总体设计报告》，本工程接入</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拟建设的220kV升压站。</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升压站配置一台容量为300MVA</w:t>
            </w:r>
            <w:r>
              <w:rPr>
                <w:rFonts w:hint="eastAsia" w:cs="Times New Roman"/>
                <w:b w:val="0"/>
                <w:bCs w:val="0"/>
                <w:color w:val="auto"/>
                <w:kern w:val="0"/>
                <w:sz w:val="24"/>
                <w:szCs w:val="24"/>
                <w:highlight w:val="none"/>
                <w:lang w:val="en-US" w:eastAsia="zh-CN"/>
              </w:rPr>
              <w:t>和1台容量为200MVA</w:t>
            </w:r>
            <w:r>
              <w:rPr>
                <w:rFonts w:hint="eastAsia"/>
                <w:b w:val="0"/>
                <w:bCs w:val="0"/>
                <w:color w:val="auto"/>
                <w:kern w:val="0"/>
                <w:sz w:val="24"/>
                <w:highlight w:val="none"/>
                <w:shd w:val="clear" w:color="auto" w:fill="auto"/>
                <w:lang w:val="en-US" w:eastAsia="zh-CN"/>
              </w:rPr>
              <w:t>的主变，已考虑</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cs="Times New Roman"/>
                <w:b w:val="0"/>
                <w:bCs w:val="0"/>
                <w:color w:val="auto"/>
                <w:sz w:val="24"/>
                <w:szCs w:val="24"/>
                <w:highlight w:val="none"/>
                <w:lang w:val="en-US" w:eastAsia="zh-CN"/>
              </w:rPr>
              <w:t>300MW、石崖光伏发电项目</w:t>
            </w:r>
            <w:r>
              <w:rPr>
                <w:rFonts w:hint="eastAsia"/>
                <w:b w:val="0"/>
                <w:bCs w:val="0"/>
                <w:color w:val="auto"/>
                <w:kern w:val="0"/>
                <w:sz w:val="24"/>
                <w:highlight w:val="none"/>
                <w:shd w:val="clear" w:color="auto" w:fill="auto"/>
                <w:lang w:val="en-US" w:eastAsia="zh-CN"/>
              </w:rPr>
              <w:t>100</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highlight w:val="none"/>
                <w:lang w:val="en-US" w:eastAsia="zh-CN"/>
              </w:rPr>
              <w:t>白石岩光伏发电项目45</w:t>
            </w:r>
            <w:r>
              <w:rPr>
                <w:rFonts w:hint="eastAsia"/>
                <w:b w:val="0"/>
                <w:bCs w:val="0"/>
                <w:color w:val="auto"/>
                <w:kern w:val="0"/>
                <w:sz w:val="24"/>
                <w:highlight w:val="none"/>
                <w:shd w:val="clear" w:color="auto" w:fill="auto"/>
              </w:rPr>
              <w:t>MW</w:t>
            </w:r>
            <w:r>
              <w:rPr>
                <w:rFonts w:hint="eastAsia"/>
                <w:b w:val="0"/>
                <w:bCs w:val="0"/>
                <w:color w:val="auto"/>
                <w:kern w:val="0"/>
                <w:sz w:val="24"/>
                <w:highlight w:val="none"/>
                <w:shd w:val="clear" w:color="auto" w:fill="auto"/>
                <w:lang w:eastAsia="zh-CN"/>
              </w:rPr>
              <w:t>、巨龙梁风电场扩建项目（124MW，为不同业主）</w:t>
            </w:r>
            <w:r>
              <w:rPr>
                <w:rFonts w:hint="eastAsia"/>
                <w:b w:val="0"/>
                <w:bCs w:val="0"/>
                <w:color w:val="auto"/>
                <w:kern w:val="0"/>
                <w:sz w:val="24"/>
                <w:highlight w:val="none"/>
                <w:shd w:val="clear" w:color="auto" w:fill="auto"/>
                <w:lang w:val="en-US" w:eastAsia="zh-CN"/>
              </w:rPr>
              <w:t>和本项目50MW容量，并预留扩建间隔位置；35kV侧采用单母线接线。220kV升压站在</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建设时同步建成。</w:t>
            </w:r>
          </w:p>
          <w:p w14:paraId="0936EFE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cs="Times New Roman"/>
                <w:b w:val="0"/>
                <w:bCs w:val="0"/>
                <w:color w:val="auto"/>
                <w:kern w:val="0"/>
                <w:sz w:val="24"/>
                <w:szCs w:val="24"/>
                <w:highlight w:val="none"/>
                <w:lang w:val="en-US" w:eastAsia="zh-CN"/>
              </w:rPr>
              <w:t>目前</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cs="Times New Roman"/>
                <w:b w:val="0"/>
                <w:bCs w:val="0"/>
                <w:color w:val="auto"/>
                <w:sz w:val="24"/>
                <w:szCs w:val="24"/>
                <w:highlight w:val="none"/>
                <w:lang w:val="en-US" w:eastAsia="zh-CN"/>
              </w:rPr>
              <w:t>与本项目同步进行</w:t>
            </w:r>
            <w:r>
              <w:rPr>
                <w:rFonts w:hint="eastAsia"/>
                <w:color w:val="auto"/>
                <w:sz w:val="24"/>
                <w:szCs w:val="24"/>
                <w:highlight w:val="none"/>
                <w:lang w:val="en-US" w:eastAsia="zh-CN"/>
              </w:rPr>
              <w:t>环境影响评价报告编制，计划与本项目同期建成。</w:t>
            </w:r>
            <w:r>
              <w:rPr>
                <w:rFonts w:hint="eastAsia"/>
                <w:b/>
                <w:bCs/>
                <w:color w:val="auto"/>
                <w:sz w:val="24"/>
                <w:szCs w:val="24"/>
                <w:highlight w:val="none"/>
                <w:lang w:val="en-US" w:eastAsia="zh-CN"/>
              </w:rPr>
              <w:t>本环评要求建设单位，在场内道路、35kV线路和升压站未建成前，本项目不得投入使用</w:t>
            </w:r>
            <w:r>
              <w:rPr>
                <w:rFonts w:hint="eastAsia" w:ascii="Times New Roman" w:hAnsi="Times New Roman" w:eastAsia="宋体" w:cs="Times New Roman"/>
                <w:b/>
                <w:bCs/>
                <w:color w:val="auto"/>
                <w:kern w:val="0"/>
                <w:sz w:val="24"/>
                <w:szCs w:val="24"/>
                <w:highlight w:val="none"/>
                <w:lang w:val="en-US" w:eastAsia="zh-CN"/>
              </w:rPr>
              <w:t>。</w:t>
            </w:r>
          </w:p>
          <w:p w14:paraId="1333C5C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②办公生活区依托情况</w:t>
            </w:r>
          </w:p>
          <w:p w14:paraId="0E1B217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根据《国投寻甸梳山光伏发电项目总体设计报告》可知，升压站生活区、办公楼等皆纳入</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中评价。本项目</w:t>
            </w:r>
            <w:r>
              <w:rPr>
                <w:rFonts w:hint="eastAsia" w:cs="Times New Roman"/>
                <w:b w:val="0"/>
                <w:bCs w:val="0"/>
                <w:color w:val="auto"/>
                <w:kern w:val="0"/>
                <w:sz w:val="24"/>
                <w:szCs w:val="24"/>
                <w:highlight w:val="none"/>
                <w:lang w:val="en-US" w:eastAsia="zh-CN"/>
              </w:rPr>
              <w:t>运维管理统筹考虑，劳动定员统一纳入</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，故项目运营期产生的生活污水和固废全部纳入</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环保设施进行处理。</w:t>
            </w:r>
          </w:p>
          <w:p w14:paraId="41EFB1C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③固废暂存与处置情况</w:t>
            </w:r>
          </w:p>
          <w:p w14:paraId="50004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val="0"/>
                <w:bCs w:val="0"/>
                <w:color w:val="auto"/>
                <w:kern w:val="0"/>
                <w:sz w:val="24"/>
                <w:highlight w:val="none"/>
                <w:shd w:val="clear" w:color="auto" w:fill="auto"/>
                <w:lang w:val="en-US" w:eastAsia="zh-CN"/>
              </w:rPr>
            </w:pPr>
            <w:r>
              <w:rPr>
                <w:rFonts w:hint="eastAsia"/>
                <w:b w:val="0"/>
                <w:bCs w:val="0"/>
                <w:color w:val="auto"/>
                <w:kern w:val="0"/>
                <w:sz w:val="24"/>
                <w:highlight w:val="none"/>
                <w:shd w:val="clear" w:color="auto" w:fill="auto"/>
                <w:lang w:val="en-US" w:eastAsia="zh-CN"/>
              </w:rPr>
              <w:t>生活垃圾、一般固废暂存间和危废贮存库依托</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b w:val="0"/>
                <w:bCs w:val="0"/>
                <w:color w:val="auto"/>
                <w:kern w:val="0"/>
                <w:sz w:val="24"/>
                <w:highlight w:val="none"/>
                <w:shd w:val="clear" w:color="auto" w:fill="auto"/>
                <w:lang w:val="en-US" w:eastAsia="zh-CN"/>
              </w:rPr>
              <w:t>，不再新增处理设施，生活垃圾统一收集后自行转运，一般固废</w:t>
            </w:r>
            <w:r>
              <w:rPr>
                <w:rFonts w:hint="eastAsia"/>
                <w:b w:val="0"/>
                <w:bCs w:val="0"/>
                <w:color w:val="auto"/>
                <w:kern w:val="0"/>
                <w:sz w:val="24"/>
                <w:highlight w:val="none"/>
                <w:shd w:val="clear" w:color="auto" w:fill="auto"/>
              </w:rPr>
              <w:t>及时委托专业的回收厂家收购回收处理，不得随意堆放处置</w:t>
            </w:r>
            <w:r>
              <w:rPr>
                <w:rFonts w:hint="eastAsia"/>
                <w:b w:val="0"/>
                <w:bCs w:val="0"/>
                <w:color w:val="auto"/>
                <w:kern w:val="0"/>
                <w:sz w:val="24"/>
                <w:highlight w:val="none"/>
                <w:shd w:val="clear" w:color="auto" w:fill="auto"/>
                <w:lang w:eastAsia="zh-CN"/>
              </w:rPr>
              <w:t>，</w:t>
            </w:r>
            <w:r>
              <w:rPr>
                <w:rFonts w:hint="eastAsia"/>
                <w:b w:val="0"/>
                <w:bCs w:val="0"/>
                <w:color w:val="auto"/>
                <w:kern w:val="0"/>
                <w:sz w:val="24"/>
                <w:highlight w:val="none"/>
                <w:shd w:val="clear" w:color="auto" w:fill="auto"/>
                <w:lang w:val="en-US" w:eastAsia="zh-CN"/>
              </w:rPr>
              <w:t>危险废物委托有资质单位清运处理。</w:t>
            </w:r>
          </w:p>
          <w:p w14:paraId="65C5C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eastAsia="宋体"/>
                <w:b/>
                <w:bCs/>
                <w:color w:val="auto"/>
                <w:kern w:val="0"/>
                <w:sz w:val="24"/>
                <w:szCs w:val="24"/>
                <w:highlight w:val="none"/>
                <w:lang w:val="en-US" w:eastAsia="zh-CN"/>
              </w:rPr>
            </w:pP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升压站综合楼</w:t>
            </w:r>
            <w:r>
              <w:rPr>
                <w:rFonts w:hint="eastAsia" w:ascii="Times New Roman" w:hAnsi="Times New Roman" w:eastAsia="宋体" w:cs="Times New Roman"/>
                <w:color w:val="auto"/>
                <w:kern w:val="2"/>
                <w:sz w:val="24"/>
                <w:szCs w:val="24"/>
                <w:highlight w:val="none"/>
                <w:lang w:val="zh-CN" w:eastAsia="zh-CN" w:bidi="ar-SA"/>
              </w:rPr>
              <w:t>内设置</w:t>
            </w:r>
            <w:r>
              <w:rPr>
                <w:rFonts w:hint="eastAsia" w:ascii="Times New Roman" w:hAnsi="Times New Roman" w:eastAsia="宋体" w:cs="Times New Roman"/>
                <w:color w:val="auto"/>
                <w:kern w:val="2"/>
                <w:sz w:val="24"/>
                <w:szCs w:val="24"/>
                <w:highlight w:val="none"/>
                <w:lang w:val="en-US" w:eastAsia="zh-CN" w:bidi="ar-SA"/>
              </w:rPr>
              <w:t>1间</w:t>
            </w:r>
            <w:r>
              <w:rPr>
                <w:rFonts w:hint="eastAsia"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的一般工业固废暂存间，储存能力为</w:t>
            </w:r>
            <w:r>
              <w:rPr>
                <w:rFonts w:hint="eastAsia"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t，收集暂存</w:t>
            </w:r>
            <w:r>
              <w:rPr>
                <w:rFonts w:hint="default" w:ascii="Times New Roman" w:hAnsi="Times New Roman" w:eastAsia="宋体" w:cs="Times New Roman"/>
                <w:color w:val="auto"/>
                <w:kern w:val="2"/>
                <w:sz w:val="24"/>
                <w:szCs w:val="24"/>
                <w:highlight w:val="none"/>
                <w:lang w:val="en-US" w:eastAsia="zh-CN" w:bidi="ar-SA"/>
              </w:rPr>
              <w:t>废电池板</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rPr>
              <w:t>废</w:t>
            </w:r>
            <w:r>
              <w:rPr>
                <w:rFonts w:hint="eastAsia" w:cs="Times New Roman"/>
                <w:color w:val="auto"/>
                <w:kern w:val="0"/>
                <w:sz w:val="24"/>
                <w:szCs w:val="24"/>
                <w:highlight w:val="none"/>
                <w:lang w:val="en-US" w:eastAsia="zh-CN"/>
              </w:rPr>
              <w:t>电气原件</w:t>
            </w:r>
            <w:r>
              <w:rPr>
                <w:rFonts w:hint="eastAsia" w:ascii="Times New Roman" w:hAnsi="Times New Roman" w:eastAsia="宋体" w:cs="Times New Roman"/>
                <w:color w:val="auto"/>
                <w:kern w:val="2"/>
                <w:sz w:val="24"/>
                <w:szCs w:val="24"/>
                <w:highlight w:val="none"/>
                <w:lang w:val="en-US" w:eastAsia="zh-CN" w:bidi="ar-SA"/>
              </w:rPr>
              <w:t>，一般固废暂存间设计时已考虑本项目的储存容量，依托可行。</w:t>
            </w:r>
          </w:p>
          <w:p w14:paraId="33E0733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bCs/>
                <w:color w:val="auto"/>
                <w:kern w:val="0"/>
                <w:sz w:val="24"/>
                <w:highlight w:val="none"/>
                <w:shd w:val="clear" w:color="auto" w:fill="auto"/>
              </w:rPr>
            </w:pP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ascii="Times New Roman" w:hAnsi="Times New Roman" w:eastAsia="宋体" w:cs="Times New Roman"/>
                <w:color w:val="auto"/>
                <w:kern w:val="2"/>
                <w:sz w:val="24"/>
                <w:szCs w:val="24"/>
                <w:highlight w:val="none"/>
                <w:lang w:val="zh-CN" w:eastAsia="zh-CN" w:bidi="ar-SA"/>
              </w:rPr>
              <w:t>在</w:t>
            </w:r>
            <w:r>
              <w:rPr>
                <w:rFonts w:hint="eastAsia" w:cs="Times New Roman"/>
                <w:color w:val="auto"/>
                <w:kern w:val="2"/>
                <w:sz w:val="24"/>
                <w:szCs w:val="24"/>
                <w:highlight w:val="none"/>
                <w:lang w:val="en-US" w:eastAsia="zh-CN" w:bidi="ar-SA"/>
              </w:rPr>
              <w:t>升压站内西部</w:t>
            </w:r>
            <w:r>
              <w:rPr>
                <w:rFonts w:hint="eastAsia" w:ascii="Times New Roman" w:hAnsi="Times New Roman" w:eastAsia="宋体" w:cs="Times New Roman"/>
                <w:color w:val="auto"/>
                <w:kern w:val="2"/>
                <w:sz w:val="24"/>
                <w:szCs w:val="24"/>
                <w:highlight w:val="none"/>
                <w:lang w:val="zh-CN" w:eastAsia="zh-CN" w:bidi="ar-SA"/>
              </w:rPr>
              <w:t>设置</w:t>
            </w:r>
            <w:r>
              <w:rPr>
                <w:rFonts w:hint="eastAsia" w:cs="宋体"/>
                <w:bCs/>
                <w:color w:val="auto"/>
                <w:sz w:val="24"/>
                <w:szCs w:val="24"/>
                <w:highlight w:val="none"/>
              </w:rPr>
              <w:t>1间</w:t>
            </w:r>
            <w:r>
              <w:rPr>
                <w:rFonts w:hint="eastAsia" w:cs="宋体"/>
                <w:bCs/>
                <w:color w:val="auto"/>
                <w:sz w:val="24"/>
                <w:szCs w:val="24"/>
                <w:highlight w:val="none"/>
                <w:lang w:val="en-US" w:eastAsia="zh-CN"/>
              </w:rPr>
              <w:t>42.25</w:t>
            </w:r>
            <w:r>
              <w:rPr>
                <w:rFonts w:hint="eastAsia" w:cs="宋体"/>
                <w:bCs/>
                <w:color w:val="auto"/>
                <w:sz w:val="24"/>
                <w:szCs w:val="24"/>
                <w:highlight w:val="none"/>
              </w:rPr>
              <w:t>m</w:t>
            </w:r>
            <w:r>
              <w:rPr>
                <w:rFonts w:hint="eastAsia" w:cs="宋体"/>
                <w:bCs/>
                <w:color w:val="auto"/>
                <w:sz w:val="24"/>
                <w:szCs w:val="24"/>
                <w:highlight w:val="none"/>
                <w:vertAlign w:val="superscript"/>
              </w:rPr>
              <w:t>2</w:t>
            </w:r>
            <w:r>
              <w:rPr>
                <w:rFonts w:hint="eastAsia" w:cs="宋体"/>
                <w:bCs/>
                <w:color w:val="auto"/>
                <w:sz w:val="24"/>
                <w:szCs w:val="24"/>
                <w:highlight w:val="none"/>
                <w:lang w:val="en-US" w:eastAsia="zh-CN"/>
              </w:rPr>
              <w:t>危废贮存库</w:t>
            </w:r>
            <w:r>
              <w:rPr>
                <w:rFonts w:hint="eastAsia" w:cs="宋体"/>
                <w:bCs/>
                <w:color w:val="auto"/>
                <w:sz w:val="24"/>
                <w:szCs w:val="24"/>
                <w:highlight w:val="none"/>
              </w:rPr>
              <w:t>，</w:t>
            </w:r>
            <w:r>
              <w:rPr>
                <w:rFonts w:hint="eastAsia" w:ascii="Times New Roman" w:hAnsi="Times New Roman" w:eastAsia="宋体" w:cs="Times New Roman"/>
                <w:color w:val="auto"/>
                <w:kern w:val="0"/>
                <w:sz w:val="24"/>
                <w:szCs w:val="24"/>
                <w:highlight w:val="none"/>
                <w:lang w:val="en-US" w:eastAsia="zh-CN"/>
              </w:rPr>
              <w:t>收集暂存本项目和</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cs="Times New Roman"/>
                <w:b w:val="0"/>
                <w:bCs w:val="0"/>
                <w:color w:val="auto"/>
                <w:sz w:val="24"/>
                <w:szCs w:val="24"/>
                <w:highlight w:val="none"/>
                <w:lang w:val="en-US" w:eastAsia="zh-CN"/>
              </w:rPr>
              <w:t>、石崖光伏发电项目</w:t>
            </w:r>
            <w:r>
              <w:rPr>
                <w:rFonts w:hint="eastAsia"/>
                <w:b w:val="0"/>
                <w:bCs w:val="0"/>
                <w:color w:val="auto"/>
                <w:kern w:val="0"/>
                <w:sz w:val="24"/>
                <w:highlight w:val="none"/>
                <w:shd w:val="clear" w:color="auto" w:fill="auto"/>
                <w:lang w:eastAsia="zh-CN"/>
              </w:rPr>
              <w:t>、</w:t>
            </w:r>
            <w:r>
              <w:rPr>
                <w:rFonts w:hint="eastAsia" w:cs="Times New Roman"/>
                <w:b w:val="0"/>
                <w:bCs w:val="0"/>
                <w:color w:val="auto"/>
                <w:sz w:val="24"/>
                <w:szCs w:val="24"/>
                <w:highlight w:val="none"/>
                <w:lang w:val="en-US" w:eastAsia="zh-CN"/>
              </w:rPr>
              <w:t>白石岩光伏发电项目</w:t>
            </w:r>
            <w:r>
              <w:rPr>
                <w:rFonts w:hint="eastAsia" w:ascii="Times New Roman" w:hAnsi="Times New Roman" w:eastAsia="宋体" w:cs="Times New Roman"/>
                <w:color w:val="auto"/>
                <w:kern w:val="0"/>
                <w:sz w:val="24"/>
                <w:szCs w:val="24"/>
                <w:highlight w:val="none"/>
                <w:lang w:val="en-US" w:eastAsia="zh-CN"/>
              </w:rPr>
              <w:t>产生的</w:t>
            </w:r>
            <w:r>
              <w:rPr>
                <w:rFonts w:hint="default" w:eastAsia="宋体"/>
                <w:color w:val="auto"/>
                <w:kern w:val="0"/>
                <w:sz w:val="24"/>
                <w:szCs w:val="24"/>
                <w:highlight w:val="none"/>
              </w:rPr>
              <w:t>废变压器油</w:t>
            </w:r>
            <w:r>
              <w:rPr>
                <w:rFonts w:hint="eastAsia"/>
                <w:color w:val="auto"/>
                <w:kern w:val="0"/>
                <w:sz w:val="24"/>
                <w:szCs w:val="24"/>
                <w:highlight w:val="none"/>
                <w:lang w:eastAsia="zh-CN"/>
              </w:rPr>
              <w:t>和</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ascii="Times New Roman" w:hAnsi="Times New Roman" w:cs="Times New Roman"/>
                <w:b w:val="0"/>
                <w:bCs w:val="0"/>
                <w:color w:val="auto"/>
                <w:sz w:val="24"/>
                <w:szCs w:val="24"/>
                <w:highlight w:val="none"/>
                <w:lang w:val="en-US" w:eastAsia="zh-CN"/>
              </w:rPr>
              <w:t>升压站产生的</w:t>
            </w:r>
            <w:r>
              <w:rPr>
                <w:rFonts w:hint="default" w:eastAsia="宋体"/>
                <w:color w:val="auto"/>
                <w:kern w:val="0"/>
                <w:sz w:val="24"/>
                <w:szCs w:val="24"/>
                <w:highlight w:val="none"/>
              </w:rPr>
              <w:t>废铅蓄电池</w:t>
            </w:r>
            <w:r>
              <w:rPr>
                <w:rFonts w:hint="eastAsia" w:cs="宋体"/>
                <w:bCs/>
                <w:color w:val="auto"/>
                <w:sz w:val="24"/>
                <w:szCs w:val="24"/>
                <w:highlight w:val="none"/>
                <w:lang w:eastAsia="zh-CN"/>
              </w:rPr>
              <w:t>，</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ascii="Times New Roman" w:hAnsi="Times New Roman" w:eastAsia="宋体" w:cs="Times New Roman"/>
                <w:color w:val="auto"/>
                <w:sz w:val="24"/>
                <w:szCs w:val="24"/>
                <w:highlight w:val="none"/>
                <w:lang w:val="en-US" w:eastAsia="zh-CN"/>
              </w:rPr>
              <w:t>废铅酸蓄电池所需容积约为1.16m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，四个项目变压器废油总容积约24.5m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，合计并取整后总容积约25.66m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（已按项目一年的最大同时产生量计，实际危险废物并不是同一时产生），变化系数取1.2的预留空间，计算得升压站危废贮存库容积应不小于30.79m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。项目升压站拟设置的危废贮存库占地面积42.25m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（折算成可堆存容积43m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），可满足危险废物的暂存管理，依托可行。</w:t>
            </w:r>
          </w:p>
          <w:p w14:paraId="7D82AC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color w:val="auto"/>
                <w:sz w:val="24"/>
                <w:highlight w:val="none"/>
                <w:shd w:val="clear" w:color="auto" w:fill="auto"/>
              </w:rPr>
            </w:pPr>
            <w:r>
              <w:rPr>
                <w:rFonts w:hint="eastAsia"/>
                <w:b/>
                <w:bCs/>
                <w:color w:val="auto"/>
                <w:kern w:val="0"/>
                <w:sz w:val="24"/>
                <w:highlight w:val="none"/>
                <w:shd w:val="clear" w:color="auto" w:fill="auto"/>
              </w:rPr>
              <w:t>二、</w:t>
            </w:r>
            <w:r>
              <w:rPr>
                <w:rFonts w:hint="default"/>
                <w:b/>
                <w:bCs/>
                <w:color w:val="auto"/>
                <w:kern w:val="0"/>
                <w:sz w:val="24"/>
                <w:highlight w:val="none"/>
                <w:shd w:val="clear" w:color="auto" w:fill="auto"/>
              </w:rPr>
              <w:t>工程组成</w:t>
            </w:r>
          </w:p>
          <w:p w14:paraId="2E7F1E5C">
            <w:pPr>
              <w:keepNext w:val="0"/>
              <w:keepLines w:val="0"/>
              <w:suppressLineNumbers w:val="0"/>
              <w:shd w:val="clear"/>
              <w:adjustRightInd w:val="0"/>
              <w:snapToGrid w:val="0"/>
              <w:spacing w:before="0" w:beforeAutospacing="0" w:after="0" w:afterAutospacing="0" w:line="360" w:lineRule="auto"/>
              <w:ind w:left="0" w:right="0" w:firstLine="480"/>
              <w:rPr>
                <w:rFonts w:hint="eastAsia"/>
                <w:color w:val="auto"/>
                <w:sz w:val="24"/>
              </w:rPr>
            </w:pPr>
            <w:r>
              <w:rPr>
                <w:rFonts w:hint="eastAsia"/>
                <w:color w:val="auto"/>
                <w:sz w:val="24"/>
                <w:highlight w:val="none"/>
              </w:rPr>
              <w:t>项目</w:t>
            </w:r>
            <w:r>
              <w:rPr>
                <w:rFonts w:hint="eastAsia"/>
                <w:color w:val="auto"/>
                <w:sz w:val="24"/>
                <w:highlight w:val="none"/>
                <w:lang w:val="en-US" w:eastAsia="zh-CN"/>
              </w:rPr>
              <w:t>主要建设内容包括</w:t>
            </w:r>
            <w:r>
              <w:rPr>
                <w:rFonts w:hint="eastAsia"/>
                <w:color w:val="auto"/>
                <w:sz w:val="24"/>
                <w:lang w:val="en-US" w:eastAsia="zh-CN"/>
              </w:rPr>
              <w:t>光伏阵列</w:t>
            </w:r>
            <w:r>
              <w:rPr>
                <w:rFonts w:hint="eastAsia"/>
                <w:color w:val="auto"/>
                <w:sz w:val="24"/>
              </w:rPr>
              <w:t>、逆变器及</w:t>
            </w:r>
            <w:r>
              <w:rPr>
                <w:rFonts w:hint="eastAsia"/>
                <w:color w:val="auto"/>
                <w:sz w:val="24"/>
                <w:lang w:val="en-US" w:eastAsia="zh-CN"/>
              </w:rPr>
              <w:t>箱式变压器及临时施工等设施</w:t>
            </w:r>
            <w:r>
              <w:rPr>
                <w:rFonts w:hint="eastAsia"/>
                <w:color w:val="auto"/>
                <w:sz w:val="24"/>
              </w:rPr>
              <w:t>。</w:t>
            </w:r>
          </w:p>
          <w:p w14:paraId="5FEA3F9F">
            <w:pPr>
              <w:keepNext w:val="0"/>
              <w:keepLines w:val="0"/>
              <w:suppressLineNumbers w:val="0"/>
              <w:shd w:val="clear"/>
              <w:adjustRightInd w:val="0"/>
              <w:snapToGrid w:val="0"/>
              <w:spacing w:before="0" w:beforeAutospacing="0" w:after="0" w:afterAutospacing="0" w:line="360" w:lineRule="auto"/>
              <w:ind w:left="0" w:right="0" w:firstLine="480"/>
              <w:rPr>
                <w:rFonts w:hint="default"/>
                <w:b/>
                <w:color w:val="auto"/>
                <w:kern w:val="0"/>
                <w:szCs w:val="21"/>
                <w:highlight w:val="none"/>
                <w:shd w:val="clear" w:color="auto" w:fill="auto"/>
              </w:rPr>
            </w:pPr>
            <w:r>
              <w:rPr>
                <w:rFonts w:hint="eastAsia"/>
                <w:color w:val="auto"/>
                <w:sz w:val="24"/>
                <w:highlight w:val="none"/>
                <w:shd w:val="clear" w:color="auto" w:fill="auto"/>
              </w:rPr>
              <w:t>项目具体内容及组成见表2-1。</w:t>
            </w:r>
          </w:p>
          <w:p w14:paraId="008611C1">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eastAsia"/>
                <w:b/>
                <w:color w:val="auto"/>
                <w:kern w:val="0"/>
                <w:szCs w:val="21"/>
                <w:highlight w:val="none"/>
                <w:shd w:val="clear" w:color="auto" w:fill="auto"/>
              </w:rPr>
              <w:t>表2</w:t>
            </w:r>
            <w:r>
              <w:rPr>
                <w:rFonts w:hint="default"/>
                <w:b/>
                <w:color w:val="auto"/>
                <w:kern w:val="0"/>
                <w:szCs w:val="21"/>
                <w:highlight w:val="none"/>
                <w:shd w:val="clear" w:color="auto" w:fill="auto"/>
              </w:rPr>
              <w:t xml:space="preserve">-1 </w:t>
            </w:r>
            <w:r>
              <w:rPr>
                <w:rFonts w:hint="eastAsia"/>
                <w:b/>
                <w:color w:val="auto"/>
                <w:kern w:val="0"/>
                <w:szCs w:val="21"/>
                <w:highlight w:val="none"/>
                <w:shd w:val="clear" w:color="auto" w:fill="auto"/>
              </w:rPr>
              <w:t xml:space="preserve"> </w:t>
            </w:r>
            <w:r>
              <w:rPr>
                <w:rFonts w:hint="eastAsia"/>
                <w:b/>
                <w:color w:val="auto"/>
                <w:kern w:val="0"/>
                <w:szCs w:val="21"/>
                <w:highlight w:val="none"/>
              </w:rPr>
              <w:t>项目</w:t>
            </w:r>
            <w:r>
              <w:rPr>
                <w:rFonts w:hint="default"/>
                <w:b/>
                <w:color w:val="auto"/>
                <w:kern w:val="0"/>
                <w:szCs w:val="21"/>
                <w:highlight w:val="none"/>
              </w:rPr>
              <w:t>工程</w:t>
            </w:r>
            <w:r>
              <w:rPr>
                <w:rFonts w:hint="eastAsia"/>
                <w:b/>
                <w:color w:val="auto"/>
                <w:kern w:val="0"/>
                <w:szCs w:val="21"/>
                <w:highlight w:val="none"/>
              </w:rPr>
              <w:t>内容</w:t>
            </w:r>
            <w:r>
              <w:rPr>
                <w:rFonts w:hint="default"/>
                <w:b/>
                <w:color w:val="auto"/>
                <w:kern w:val="0"/>
                <w:szCs w:val="21"/>
                <w:highlight w:val="none"/>
              </w:rPr>
              <w:t>组成表</w:t>
            </w:r>
          </w:p>
          <w:tbl>
            <w:tblPr>
              <w:tblStyle w:val="41"/>
              <w:tblW w:w="4963"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4"/>
              <w:gridCol w:w="1172"/>
              <w:gridCol w:w="4807"/>
              <w:gridCol w:w="766"/>
            </w:tblGrid>
            <w:tr w14:paraId="3AC5A7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1273" w:type="pct"/>
                  <w:gridSpan w:val="2"/>
                  <w:vAlign w:val="center"/>
                </w:tcPr>
                <w:p w14:paraId="7B1409E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工程组成</w:t>
                  </w:r>
                </w:p>
              </w:tc>
              <w:tc>
                <w:tcPr>
                  <w:tcW w:w="3214" w:type="pct"/>
                  <w:vAlign w:val="center"/>
                </w:tcPr>
                <w:p w14:paraId="02996640">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主要内容</w:t>
                  </w:r>
                </w:p>
              </w:tc>
              <w:tc>
                <w:tcPr>
                  <w:tcW w:w="511" w:type="pct"/>
                  <w:vAlign w:val="center"/>
                </w:tcPr>
                <w:p w14:paraId="7CBFCA1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b/>
                      <w:bCs/>
                      <w:color w:val="auto"/>
                      <w:sz w:val="21"/>
                      <w:szCs w:val="21"/>
                      <w:highlight w:val="none"/>
                      <w:lang w:val="en-US" w:eastAsia="zh-CN"/>
                    </w:rPr>
                  </w:pPr>
                  <w:r>
                    <w:rPr>
                      <w:rFonts w:hint="eastAsia" w:eastAsia="宋体"/>
                      <w:b/>
                      <w:bCs/>
                      <w:color w:val="auto"/>
                      <w:sz w:val="21"/>
                      <w:szCs w:val="21"/>
                      <w:highlight w:val="none"/>
                      <w:lang w:val="en-US" w:eastAsia="zh-CN"/>
                    </w:rPr>
                    <w:t>备注</w:t>
                  </w:r>
                </w:p>
              </w:tc>
            </w:tr>
            <w:tr w14:paraId="76DAF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78" w:hRule="atLeast"/>
              </w:trPr>
              <w:tc>
                <w:tcPr>
                  <w:tcW w:w="490" w:type="pct"/>
                  <w:vMerge w:val="restart"/>
                  <w:vAlign w:val="center"/>
                </w:tcPr>
                <w:p w14:paraId="4E1C47B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主体工程</w:t>
                  </w:r>
                </w:p>
              </w:tc>
              <w:tc>
                <w:tcPr>
                  <w:tcW w:w="783" w:type="pct"/>
                  <w:vAlign w:val="center"/>
                </w:tcPr>
                <w:p w14:paraId="1D8F11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eastAsia" w:ascii="宋体" w:hAnsi="宋体" w:eastAsia="宋体" w:cs="宋体"/>
                      <w:color w:val="auto"/>
                      <w:kern w:val="0"/>
                      <w:sz w:val="21"/>
                      <w:szCs w:val="21"/>
                      <w:highlight w:val="none"/>
                      <w:lang w:val="en-US" w:eastAsia="zh-CN" w:bidi="ar"/>
                    </w:rPr>
                    <w:t>光伏方阵</w:t>
                  </w:r>
                </w:p>
              </w:tc>
              <w:tc>
                <w:tcPr>
                  <w:tcW w:w="3214" w:type="pct"/>
                  <w:vAlign w:val="center"/>
                </w:tcPr>
                <w:p w14:paraId="053CBCF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本光伏电站建设规模为</w:t>
                  </w:r>
                  <w:r>
                    <w:rPr>
                      <w:rFonts w:hint="eastAsia" w:ascii="Times New Roman" w:hAnsi="Times New Roman" w:eastAsia="宋体" w:cs="Times New Roman"/>
                      <w:color w:val="auto"/>
                      <w:kern w:val="0"/>
                      <w:sz w:val="21"/>
                      <w:szCs w:val="21"/>
                      <w:highlight w:val="none"/>
                      <w:lang w:val="en-US" w:eastAsia="zh-CN"/>
                    </w:rPr>
                    <w:t>50MW</w:t>
                  </w:r>
                  <w:r>
                    <w:rPr>
                      <w:rFonts w:hint="eastAsia"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eastAsia="zh-CN"/>
                    </w:rPr>
                    <w:t>共</w:t>
                  </w:r>
                  <w:r>
                    <w:rPr>
                      <w:rFonts w:hint="default" w:ascii="Times New Roman" w:hAnsi="Times New Roman" w:eastAsia="宋体" w:cs="Times New Roman"/>
                      <w:color w:val="auto"/>
                      <w:kern w:val="0"/>
                      <w:sz w:val="21"/>
                      <w:szCs w:val="21"/>
                      <w:highlight w:val="none"/>
                    </w:rPr>
                    <w:t>由</w:t>
                  </w:r>
                  <w:r>
                    <w:rPr>
                      <w:rFonts w:hint="eastAsia" w:cs="Times New Roman"/>
                      <w:color w:val="auto"/>
                      <w:kern w:val="0"/>
                      <w:sz w:val="21"/>
                      <w:szCs w:val="21"/>
                      <w:highlight w:val="none"/>
                      <w:lang w:val="en-US" w:eastAsia="zh-CN"/>
                    </w:rPr>
                    <w:t>2300kW</w:t>
                  </w:r>
                  <w:r>
                    <w:rPr>
                      <w:rFonts w:hint="eastAsia" w:ascii="Times New Roman" w:hAnsi="Times New Roman" w:eastAsia="宋体" w:cs="Times New Roman"/>
                      <w:color w:val="auto"/>
                      <w:kern w:val="0"/>
                      <w:sz w:val="21"/>
                      <w:szCs w:val="21"/>
                      <w:highlight w:val="none"/>
                      <w:lang w:eastAsia="zh-CN"/>
                    </w:rPr>
                    <w:t>方阵</w:t>
                  </w:r>
                  <w:r>
                    <w:rPr>
                      <w:rFonts w:hint="eastAsia" w:ascii="Times New Roman" w:hAnsi="Times New Roman" w:eastAsia="宋体" w:cs="Times New Roman"/>
                      <w:color w:val="auto"/>
                      <w:kern w:val="0"/>
                      <w:sz w:val="21"/>
                      <w:szCs w:val="21"/>
                      <w:highlight w:val="none"/>
                      <w:lang w:val="en-US" w:eastAsia="zh-CN"/>
                    </w:rPr>
                    <w:t>3</w:t>
                  </w:r>
                  <w:r>
                    <w:rPr>
                      <w:rFonts w:hint="eastAsia" w:ascii="Times New Roman" w:hAnsi="Times New Roman" w:eastAsia="宋体" w:cs="Times New Roman"/>
                      <w:color w:val="auto"/>
                      <w:kern w:val="0"/>
                      <w:sz w:val="21"/>
                      <w:szCs w:val="21"/>
                      <w:highlight w:val="none"/>
                      <w:lang w:eastAsia="zh-CN"/>
                    </w:rPr>
                    <w:t>个，</w:t>
                  </w:r>
                  <w:r>
                    <w:rPr>
                      <w:rFonts w:hint="eastAsia" w:ascii="Times New Roman" w:hAnsi="Times New Roman" w:eastAsia="宋体" w:cs="Times New Roman"/>
                      <w:color w:val="auto"/>
                      <w:kern w:val="0"/>
                      <w:sz w:val="21"/>
                      <w:szCs w:val="21"/>
                      <w:highlight w:val="none"/>
                      <w:lang w:val="en-US" w:eastAsia="zh-CN"/>
                    </w:rPr>
                    <w:t>3200</w:t>
                  </w:r>
                  <w:r>
                    <w:rPr>
                      <w:rFonts w:hint="eastAsia" w:ascii="Times New Roman" w:hAnsi="Times New Roman" w:eastAsia="宋体" w:cs="Times New Roman"/>
                      <w:color w:val="auto"/>
                      <w:kern w:val="0"/>
                      <w:sz w:val="21"/>
                      <w:szCs w:val="21"/>
                      <w:highlight w:val="none"/>
                      <w:lang w:eastAsia="zh-CN"/>
                    </w:rPr>
                    <w:t>kW方阵</w:t>
                  </w:r>
                  <w:r>
                    <w:rPr>
                      <w:rFonts w:hint="eastAsia" w:ascii="Times New Roman" w:hAnsi="Times New Roman" w:eastAsia="宋体" w:cs="Times New Roman"/>
                      <w:color w:val="auto"/>
                      <w:kern w:val="0"/>
                      <w:sz w:val="21"/>
                      <w:szCs w:val="21"/>
                      <w:highlight w:val="none"/>
                      <w:lang w:val="en-US" w:eastAsia="zh-CN"/>
                    </w:rPr>
                    <w:t>7</w:t>
                  </w:r>
                  <w:r>
                    <w:rPr>
                      <w:rFonts w:hint="eastAsia" w:ascii="Times New Roman" w:hAnsi="Times New Roman" w:eastAsia="宋体" w:cs="Times New Roman"/>
                      <w:color w:val="auto"/>
                      <w:kern w:val="0"/>
                      <w:sz w:val="21"/>
                      <w:szCs w:val="21"/>
                      <w:highlight w:val="none"/>
                      <w:lang w:eastAsia="zh-CN"/>
                    </w:rPr>
                    <w:t>个，</w:t>
                  </w:r>
                  <w:r>
                    <w:rPr>
                      <w:rFonts w:hint="eastAsia" w:ascii="Times New Roman" w:hAnsi="Times New Roman" w:eastAsia="宋体" w:cs="Times New Roman"/>
                      <w:color w:val="auto"/>
                      <w:kern w:val="0"/>
                      <w:sz w:val="21"/>
                      <w:szCs w:val="21"/>
                      <w:highlight w:val="none"/>
                      <w:lang w:val="en-US" w:eastAsia="zh-CN"/>
                    </w:rPr>
                    <w:t>3600</w:t>
                  </w:r>
                  <w:r>
                    <w:rPr>
                      <w:rFonts w:hint="eastAsia" w:ascii="Times New Roman" w:hAnsi="Times New Roman" w:eastAsia="宋体" w:cs="Times New Roman"/>
                      <w:color w:val="auto"/>
                      <w:kern w:val="0"/>
                      <w:sz w:val="21"/>
                      <w:szCs w:val="21"/>
                      <w:highlight w:val="none"/>
                      <w:lang w:eastAsia="zh-CN"/>
                    </w:rPr>
                    <w:t>kW方阵</w:t>
                  </w:r>
                  <w:r>
                    <w:rPr>
                      <w:rFonts w:hint="eastAsia" w:ascii="Times New Roman" w:hAnsi="Times New Roman" w:eastAsia="宋体" w:cs="Times New Roman"/>
                      <w:color w:val="auto"/>
                      <w:kern w:val="0"/>
                      <w:sz w:val="21"/>
                      <w:szCs w:val="21"/>
                      <w:highlight w:val="none"/>
                      <w:lang w:val="en-US" w:eastAsia="zh-CN"/>
                    </w:rPr>
                    <w:t>6</w:t>
                  </w:r>
                  <w:r>
                    <w:rPr>
                      <w:rFonts w:hint="eastAsia" w:ascii="Times New Roman" w:hAnsi="Times New Roman" w:eastAsia="宋体" w:cs="Times New Roman"/>
                      <w:color w:val="auto"/>
                      <w:kern w:val="0"/>
                      <w:sz w:val="21"/>
                      <w:szCs w:val="21"/>
                      <w:highlight w:val="none"/>
                      <w:lang w:eastAsia="zh-CN"/>
                    </w:rPr>
                    <w:t>个</w:t>
                  </w:r>
                  <w:r>
                    <w:rPr>
                      <w:rFonts w:hint="default" w:ascii="Times New Roman" w:hAnsi="Times New Roman" w:eastAsia="宋体" w:cs="Times New Roman"/>
                      <w:color w:val="auto"/>
                      <w:kern w:val="0"/>
                      <w:sz w:val="21"/>
                      <w:szCs w:val="21"/>
                      <w:highlight w:val="none"/>
                    </w:rPr>
                    <w:t>组成，</w:t>
                  </w:r>
                  <w:r>
                    <w:rPr>
                      <w:rFonts w:hint="eastAsia" w:ascii="Times New Roman" w:hAnsi="Times New Roman" w:eastAsia="宋体" w:cs="Times New Roman"/>
                      <w:color w:val="auto"/>
                      <w:kern w:val="0"/>
                      <w:sz w:val="21"/>
                      <w:szCs w:val="21"/>
                      <w:highlight w:val="none"/>
                    </w:rPr>
                    <w:t>采用</w:t>
                  </w:r>
                  <w:r>
                    <w:rPr>
                      <w:rFonts w:hint="eastAsia" w:ascii="Times New Roman" w:hAnsi="Times New Roman" w:eastAsia="宋体" w:cs="Times New Roman"/>
                      <w:color w:val="auto"/>
                      <w:kern w:val="0"/>
                      <w:sz w:val="21"/>
                      <w:szCs w:val="21"/>
                      <w:highlight w:val="none"/>
                      <w:lang w:val="en-US" w:eastAsia="zh-CN"/>
                    </w:rPr>
                    <w:t>108888块</w:t>
                  </w:r>
                  <w:r>
                    <w:rPr>
                      <w:rFonts w:hint="eastAsia" w:ascii="Times New Roman" w:hAnsi="Times New Roman" w:eastAsia="宋体" w:cs="Times New Roman"/>
                      <w:color w:val="auto"/>
                      <w:kern w:val="0"/>
                      <w:sz w:val="21"/>
                      <w:szCs w:val="21"/>
                      <w:highlight w:val="none"/>
                    </w:rPr>
                    <w:t>峰值功率为</w:t>
                  </w:r>
                  <w:r>
                    <w:rPr>
                      <w:rFonts w:hint="eastAsia" w:ascii="Times New Roman" w:hAnsi="Times New Roman" w:eastAsia="宋体" w:cs="Times New Roman"/>
                      <w:color w:val="auto"/>
                      <w:kern w:val="0"/>
                      <w:sz w:val="21"/>
                      <w:szCs w:val="21"/>
                      <w:highlight w:val="none"/>
                      <w:lang w:eastAsia="zh-CN"/>
                    </w:rPr>
                    <w:t>590Wp单晶硅N型光伏组件</w:t>
                  </w:r>
                  <w:r>
                    <w:rPr>
                      <w:rFonts w:hint="eastAsia" w:ascii="Times New Roman" w:hAnsi="Times New Roman" w:eastAsia="宋体" w:cs="Times New Roman"/>
                      <w:color w:val="auto"/>
                      <w:kern w:val="0"/>
                      <w:sz w:val="21"/>
                      <w:szCs w:val="21"/>
                      <w:highlight w:val="none"/>
                    </w:rPr>
                    <w:t>。光伏支架由</w:t>
                  </w:r>
                  <w:r>
                    <w:rPr>
                      <w:rFonts w:hint="default" w:ascii="Times New Roman" w:hAnsi="Times New Roman" w:eastAsia="宋体" w:cs="Times New Roman"/>
                      <w:color w:val="auto"/>
                      <w:kern w:val="0"/>
                      <w:sz w:val="21"/>
                      <w:szCs w:val="21"/>
                      <w:highlight w:val="none"/>
                    </w:rPr>
                    <w:t>2</w:t>
                  </w:r>
                  <w:r>
                    <w:rPr>
                      <w:rFonts w:hint="eastAsia" w:ascii="Times New Roman" w:hAnsi="Times New Roman" w:eastAsia="宋体" w:cs="Times New Roman"/>
                      <w:color w:val="auto"/>
                      <w:kern w:val="0"/>
                      <w:sz w:val="21"/>
                      <w:szCs w:val="21"/>
                      <w:highlight w:val="none"/>
                      <w:lang w:val="en-US" w:eastAsia="zh-CN"/>
                    </w:rPr>
                    <w:t>6</w:t>
                  </w:r>
                  <w:r>
                    <w:rPr>
                      <w:rFonts w:hint="eastAsia" w:ascii="Times New Roman" w:hAnsi="Times New Roman" w:eastAsia="宋体" w:cs="Times New Roman"/>
                      <w:color w:val="auto"/>
                      <w:kern w:val="0"/>
                      <w:sz w:val="21"/>
                      <w:szCs w:val="21"/>
                      <w:highlight w:val="none"/>
                    </w:rPr>
                    <w:t>块</w:t>
                  </w:r>
                  <w:r>
                    <w:rPr>
                      <w:rFonts w:hint="default" w:ascii="Times New Roman" w:hAnsi="Times New Roman" w:eastAsia="宋体" w:cs="Times New Roman"/>
                      <w:color w:val="auto"/>
                      <w:kern w:val="0"/>
                      <w:sz w:val="21"/>
                      <w:szCs w:val="21"/>
                      <w:highlight w:val="none"/>
                      <w:lang w:val="en-US" w:eastAsia="zh-CN"/>
                    </w:rPr>
                    <w:t>2278mm×1134mm</w:t>
                  </w:r>
                  <w:r>
                    <w:rPr>
                      <w:rFonts w:hint="eastAsia" w:ascii="Times New Roman" w:hAnsi="Times New Roman" w:eastAsia="宋体" w:cs="Times New Roman"/>
                      <w:color w:val="auto"/>
                      <w:kern w:val="0"/>
                      <w:sz w:val="21"/>
                      <w:szCs w:val="21"/>
                      <w:highlight w:val="none"/>
                    </w:rPr>
                    <w:t>单晶硅光伏组件按</w:t>
                  </w:r>
                  <w:r>
                    <w:rPr>
                      <w:rFonts w:hint="default" w:ascii="Times New Roman" w:hAnsi="Times New Roman" w:eastAsia="宋体" w:cs="Times New Roman"/>
                      <w:color w:val="auto"/>
                      <w:kern w:val="0"/>
                      <w:sz w:val="21"/>
                      <w:szCs w:val="21"/>
                      <w:highlight w:val="none"/>
                    </w:rPr>
                    <w:t>2</w:t>
                  </w:r>
                  <w:r>
                    <w:rPr>
                      <w:rFonts w:hint="eastAsia" w:ascii="Times New Roman" w:hAnsi="Times New Roman" w:eastAsia="宋体" w:cs="Times New Roman"/>
                      <w:color w:val="auto"/>
                      <w:kern w:val="0"/>
                      <w:sz w:val="21"/>
                      <w:szCs w:val="21"/>
                      <w:highlight w:val="none"/>
                    </w:rPr>
                    <w:t>（行）×</w:t>
                  </w: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val="en-US" w:eastAsia="zh-CN"/>
                    </w:rPr>
                    <w:t>3</w:t>
                  </w:r>
                  <w:r>
                    <w:rPr>
                      <w:rFonts w:hint="eastAsia" w:ascii="Times New Roman" w:hAnsi="Times New Roman" w:eastAsia="宋体" w:cs="Times New Roman"/>
                      <w:color w:val="auto"/>
                      <w:kern w:val="0"/>
                      <w:sz w:val="21"/>
                      <w:szCs w:val="21"/>
                      <w:highlight w:val="none"/>
                    </w:rPr>
                    <w:t>（列）的布置方式组成一个支架单元，共有光伏支架</w:t>
                  </w:r>
                  <w:r>
                    <w:rPr>
                      <w:rFonts w:hint="eastAsia" w:ascii="Times New Roman" w:hAnsi="Times New Roman" w:eastAsia="宋体" w:cs="Times New Roman"/>
                      <w:color w:val="auto"/>
                      <w:kern w:val="0"/>
                      <w:sz w:val="21"/>
                      <w:szCs w:val="21"/>
                      <w:highlight w:val="none"/>
                      <w:lang w:val="en-US" w:eastAsia="zh-CN"/>
                    </w:rPr>
                    <w:t>4188</w:t>
                  </w:r>
                  <w:r>
                    <w:rPr>
                      <w:rFonts w:hint="eastAsia" w:ascii="Times New Roman" w:hAnsi="Times New Roman" w:eastAsia="宋体" w:cs="Times New Roman"/>
                      <w:color w:val="auto"/>
                      <w:kern w:val="0"/>
                      <w:sz w:val="21"/>
                      <w:szCs w:val="21"/>
                      <w:highlight w:val="none"/>
                    </w:rPr>
                    <w:t>个，支架倾角为</w:t>
                  </w:r>
                  <w:r>
                    <w:rPr>
                      <w:rFonts w:hint="eastAsia" w:ascii="Times New Roman" w:hAnsi="Times New Roman" w:eastAsia="宋体" w:cs="Times New Roman"/>
                      <w:color w:val="auto"/>
                      <w:kern w:val="0"/>
                      <w:sz w:val="21"/>
                      <w:szCs w:val="21"/>
                      <w:highlight w:val="none"/>
                      <w:lang w:val="en-US" w:eastAsia="zh-CN"/>
                    </w:rPr>
                    <w:t>22°</w:t>
                  </w:r>
                  <w:r>
                    <w:rPr>
                      <w:rFonts w:hint="eastAsia" w:ascii="Times New Roman" w:hAnsi="Times New Roman" w:eastAsia="宋体" w:cs="Times New Roman"/>
                      <w:color w:val="auto"/>
                      <w:kern w:val="0"/>
                      <w:sz w:val="21"/>
                      <w:szCs w:val="21"/>
                      <w:highlight w:val="none"/>
                    </w:rPr>
                    <w:t>，光伏支架采用单立柱钢支架结构，组件离地高度2.5m。</w:t>
                  </w:r>
                </w:p>
              </w:tc>
              <w:tc>
                <w:tcPr>
                  <w:tcW w:w="511" w:type="pct"/>
                  <w:vAlign w:val="center"/>
                </w:tcPr>
                <w:p w14:paraId="0F91F60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r w14:paraId="1A3E9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trPr>
              <w:tc>
                <w:tcPr>
                  <w:tcW w:w="490" w:type="pct"/>
                  <w:vMerge w:val="continue"/>
                  <w:vAlign w:val="center"/>
                </w:tcPr>
                <w:p w14:paraId="188682D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sz w:val="21"/>
                      <w:szCs w:val="21"/>
                      <w:highlight w:val="none"/>
                    </w:rPr>
                  </w:pPr>
                </w:p>
              </w:tc>
              <w:tc>
                <w:tcPr>
                  <w:tcW w:w="783" w:type="pct"/>
                  <w:vAlign w:val="center"/>
                </w:tcPr>
                <w:p w14:paraId="35F16F6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逆变器</w:t>
                  </w:r>
                </w:p>
              </w:tc>
              <w:tc>
                <w:tcPr>
                  <w:tcW w:w="3214" w:type="pct"/>
                  <w:vAlign w:val="center"/>
                </w:tcPr>
                <w:p w14:paraId="658539D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光伏厂区设置</w:t>
                  </w:r>
                  <w:r>
                    <w:rPr>
                      <w:rFonts w:hint="eastAsia" w:cs="Times New Roman"/>
                      <w:color w:val="auto"/>
                      <w:kern w:val="2"/>
                      <w:sz w:val="21"/>
                      <w:szCs w:val="21"/>
                      <w:highlight w:val="none"/>
                      <w:lang w:val="en-US" w:eastAsia="zh-CN" w:bidi="ar-SA"/>
                    </w:rPr>
                    <w:t>157台</w:t>
                  </w: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0kW组串式逆变器</w:t>
                  </w:r>
                  <w:r>
                    <w:rPr>
                      <w:rFonts w:hint="eastAsia" w:ascii="Times New Roman" w:hAnsi="Times New Roman" w:eastAsia="宋体" w:cs="Times New Roman"/>
                      <w:color w:val="auto"/>
                      <w:kern w:val="2"/>
                      <w:sz w:val="21"/>
                      <w:szCs w:val="21"/>
                      <w:highlight w:val="none"/>
                      <w:lang w:val="en-US" w:eastAsia="zh-CN" w:bidi="ar-SA"/>
                    </w:rPr>
                    <w:t>，组串式逆变器不单独做基础，逆变器托架采用连接件及抱箍固定于光伏支架立柱上，采用IP6</w:t>
                  </w:r>
                  <w:r>
                    <w:rPr>
                      <w:rFonts w:hint="eastAsia"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防护等级</w:t>
                  </w:r>
                  <w:r>
                    <w:rPr>
                      <w:rFonts w:hint="eastAsia" w:ascii="Times New Roman" w:hAnsi="Times New Roman" w:cs="Times New Roman"/>
                      <w:color w:val="auto"/>
                      <w:kern w:val="2"/>
                      <w:sz w:val="21"/>
                      <w:szCs w:val="21"/>
                      <w:highlight w:val="none"/>
                      <w:lang w:val="en-US" w:eastAsia="zh-CN" w:bidi="ar-SA"/>
                    </w:rPr>
                    <w:t>。</w:t>
                  </w:r>
                </w:p>
              </w:tc>
              <w:tc>
                <w:tcPr>
                  <w:tcW w:w="511" w:type="pct"/>
                  <w:vAlign w:val="center"/>
                </w:tcPr>
                <w:p w14:paraId="703083EE">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2B080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05" w:hRule="atLeast"/>
              </w:trPr>
              <w:tc>
                <w:tcPr>
                  <w:tcW w:w="490" w:type="pct"/>
                  <w:vMerge w:val="continue"/>
                  <w:vAlign w:val="center"/>
                </w:tcPr>
                <w:p w14:paraId="736DF3B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highlight w:val="none"/>
                    </w:rPr>
                  </w:pPr>
                </w:p>
              </w:tc>
              <w:tc>
                <w:tcPr>
                  <w:tcW w:w="783" w:type="pct"/>
                  <w:vAlign w:val="center"/>
                </w:tcPr>
                <w:p w14:paraId="6422DCC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eastAsia" w:ascii="宋体" w:hAnsi="宋体" w:eastAsia="宋体" w:cs="宋体"/>
                      <w:color w:val="auto"/>
                      <w:kern w:val="0"/>
                      <w:sz w:val="21"/>
                      <w:szCs w:val="21"/>
                      <w:highlight w:val="none"/>
                      <w:lang w:val="en-US" w:eastAsia="zh-CN" w:bidi="ar"/>
                    </w:rPr>
                    <w:t>箱式</w:t>
                  </w:r>
                  <w:r>
                    <w:rPr>
                      <w:rFonts w:hint="eastAsia" w:eastAsia="宋体"/>
                      <w:color w:val="auto"/>
                      <w:sz w:val="21"/>
                      <w:szCs w:val="21"/>
                      <w:highlight w:val="none"/>
                    </w:rPr>
                    <w:t>变压器</w:t>
                  </w:r>
                </w:p>
              </w:tc>
              <w:tc>
                <w:tcPr>
                  <w:tcW w:w="3214" w:type="pct"/>
                  <w:vAlign w:val="center"/>
                </w:tcPr>
                <w:p w14:paraId="59D38831">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项目共</w:t>
                  </w: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lang w:val="en-US" w:eastAsia="zh-CN"/>
                    </w:rPr>
                    <w:t>台箱变</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其中3</w:t>
                  </w:r>
                  <w:r>
                    <w:rPr>
                      <w:rFonts w:hint="default" w:ascii="Times New Roman" w:hAnsi="Times New Roman" w:eastAsia="宋体" w:cs="Times New Roman"/>
                      <w:color w:val="auto"/>
                      <w:sz w:val="21"/>
                      <w:szCs w:val="21"/>
                      <w:highlight w:val="none"/>
                      <w:lang w:val="en-US" w:eastAsia="zh-CN"/>
                    </w:rPr>
                    <w:t>台2</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00kVA箱变、</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台3</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00kVA箱变</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3600</w:t>
                  </w:r>
                  <w:r>
                    <w:rPr>
                      <w:rFonts w:hint="default" w:ascii="Times New Roman" w:hAnsi="Times New Roman" w:eastAsia="宋体" w:cs="Times New Roman"/>
                      <w:color w:val="auto"/>
                      <w:sz w:val="21"/>
                      <w:szCs w:val="21"/>
                      <w:highlight w:val="none"/>
                      <w:lang w:val="en-US" w:eastAsia="zh-CN"/>
                    </w:rPr>
                    <w:t>kVA箱变</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箱式变压器</w:t>
                  </w:r>
                  <w:r>
                    <w:rPr>
                      <w:rFonts w:hint="eastAsia" w:cs="Times New Roman"/>
                      <w:color w:val="auto"/>
                      <w:kern w:val="2"/>
                      <w:sz w:val="21"/>
                      <w:szCs w:val="21"/>
                      <w:highlight w:val="none"/>
                      <w:lang w:val="en-US" w:eastAsia="zh-CN" w:bidi="ar-SA"/>
                    </w:rPr>
                    <w:t>均</w:t>
                  </w:r>
                  <w:r>
                    <w:rPr>
                      <w:rFonts w:hint="eastAsia" w:ascii="Times New Roman" w:hAnsi="Times New Roman" w:eastAsia="宋体" w:cs="Times New Roman"/>
                      <w:color w:val="auto"/>
                      <w:kern w:val="2"/>
                      <w:sz w:val="21"/>
                      <w:szCs w:val="21"/>
                      <w:highlight w:val="none"/>
                      <w:lang w:val="en-US" w:eastAsia="zh-CN" w:bidi="ar-SA"/>
                    </w:rPr>
                    <w:t>为油浸式，就近采用混凝土基础安装于方阵中部区域。箱变基础为灌注桩+钢筋混凝土平台结构，灌注桩桩径为300mm，总长约4米。</w:t>
                  </w:r>
                </w:p>
              </w:tc>
              <w:tc>
                <w:tcPr>
                  <w:tcW w:w="511" w:type="pct"/>
                  <w:vAlign w:val="center"/>
                </w:tcPr>
                <w:p w14:paraId="2998317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新建</w:t>
                  </w:r>
                </w:p>
              </w:tc>
            </w:tr>
            <w:tr w14:paraId="51A66B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90" w:type="pct"/>
                  <w:vMerge w:val="continue"/>
                  <w:vAlign w:val="center"/>
                </w:tcPr>
                <w:p w14:paraId="5E26EDB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sz w:val="21"/>
                      <w:szCs w:val="21"/>
                      <w:highlight w:val="none"/>
                    </w:rPr>
                  </w:pPr>
                </w:p>
              </w:tc>
              <w:tc>
                <w:tcPr>
                  <w:tcW w:w="783" w:type="pct"/>
                  <w:vAlign w:val="center"/>
                </w:tcPr>
                <w:p w14:paraId="54ACDC1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集电线路</w:t>
                  </w:r>
                </w:p>
              </w:tc>
              <w:tc>
                <w:tcPr>
                  <w:tcW w:w="3214" w:type="pct"/>
                  <w:vAlign w:val="center"/>
                </w:tcPr>
                <w:p w14:paraId="2F93BCA9">
                  <w:pPr>
                    <w:keepNext w:val="0"/>
                    <w:keepLines w:val="0"/>
                    <w:pageBreakBefore w:val="0"/>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每26块电池组件之间采用组件自带电缆串联成1个组串，每串采用2根型号为H1Z2Z2-K-1×6mm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的光伏电缆接入逆变器；电缆敷设方式为槽盒敷设，逆变器出线电缆推荐选用ZC-YJLHV22-1.8/3-3×240mm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电缆，长34.54km；</w:t>
                  </w:r>
                  <w:r>
                    <w:rPr>
                      <w:rFonts w:hint="default" w:ascii="Times New Roman" w:hAnsi="Times New Roman" w:eastAsia="宋体" w:cs="Times New Roman"/>
                      <w:color w:val="auto"/>
                      <w:kern w:val="0"/>
                      <w:sz w:val="21"/>
                      <w:szCs w:val="21"/>
                      <w:highlight w:val="none"/>
                      <w:lang w:val="en-US" w:eastAsia="zh-CN" w:bidi="ar"/>
                    </w:rPr>
                    <w:t>ZC-YJV22-0.6/1kV-4x4</w:t>
                  </w:r>
                  <w:r>
                    <w:rPr>
                      <w:rFonts w:hint="eastAsia"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1kV</w:t>
                  </w:r>
                  <w:r>
                    <w:rPr>
                      <w:rFonts w:hint="eastAsia" w:ascii="宋体" w:hAnsi="宋体" w:eastAsia="宋体" w:cs="宋体"/>
                      <w:color w:val="auto"/>
                      <w:kern w:val="0"/>
                      <w:sz w:val="21"/>
                      <w:szCs w:val="21"/>
                      <w:highlight w:val="none"/>
                      <w:lang w:val="en-US" w:eastAsia="zh-CN" w:bidi="ar"/>
                    </w:rPr>
                    <w:t>动力电缆</w:t>
                  </w:r>
                  <w:r>
                    <w:rPr>
                      <w:rFonts w:hint="eastAsia"/>
                      <w:color w:val="auto"/>
                      <w:sz w:val="21"/>
                      <w:szCs w:val="21"/>
                      <w:highlight w:val="none"/>
                      <w:lang w:val="en-US" w:eastAsia="zh-CN"/>
                    </w:rPr>
                    <w:t>长0.5km；</w:t>
                  </w:r>
                  <w:r>
                    <w:rPr>
                      <w:rFonts w:hint="default" w:ascii="Times New Roman" w:hAnsi="Times New Roman" w:eastAsia="宋体" w:cs="Times New Roman"/>
                      <w:color w:val="auto"/>
                      <w:kern w:val="0"/>
                      <w:sz w:val="21"/>
                      <w:szCs w:val="21"/>
                      <w:highlight w:val="none"/>
                      <w:lang w:val="en-US" w:eastAsia="zh-CN" w:bidi="ar"/>
                    </w:rPr>
                    <w:t>ZC-YJV22-1.8/3kV-3x16</w:t>
                  </w:r>
                  <w:r>
                    <w:rPr>
                      <w:rFonts w:hint="eastAsia" w:ascii="宋体" w:hAnsi="宋体" w:eastAsia="宋体" w:cs="宋体"/>
                      <w:color w:val="auto"/>
                      <w:kern w:val="0"/>
                      <w:sz w:val="21"/>
                      <w:szCs w:val="21"/>
                      <w:highlight w:val="none"/>
                      <w:lang w:val="en-US" w:eastAsia="zh-CN" w:bidi="ar"/>
                    </w:rPr>
                    <w:t>低压电力电缆</w:t>
                  </w:r>
                  <w:r>
                    <w:rPr>
                      <w:rFonts w:hint="eastAsia"/>
                      <w:color w:val="auto"/>
                      <w:sz w:val="21"/>
                      <w:szCs w:val="21"/>
                      <w:highlight w:val="none"/>
                      <w:lang w:val="en-US" w:eastAsia="zh-CN"/>
                    </w:rPr>
                    <w:t>长0.5km。</w:t>
                  </w:r>
                </w:p>
              </w:tc>
              <w:tc>
                <w:tcPr>
                  <w:tcW w:w="511" w:type="pct"/>
                  <w:vAlign w:val="center"/>
                </w:tcPr>
                <w:p w14:paraId="16E1064B">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新建</w:t>
                  </w:r>
                </w:p>
              </w:tc>
            </w:tr>
            <w:tr w14:paraId="388700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5" w:hRule="atLeast"/>
              </w:trPr>
              <w:tc>
                <w:tcPr>
                  <w:tcW w:w="490" w:type="pct"/>
                  <w:vMerge w:val="restart"/>
                  <w:vAlign w:val="center"/>
                </w:tcPr>
                <w:p w14:paraId="4FEC80CD">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公用工程</w:t>
                  </w:r>
                </w:p>
              </w:tc>
              <w:tc>
                <w:tcPr>
                  <w:tcW w:w="783" w:type="pct"/>
                  <w:vAlign w:val="center"/>
                </w:tcPr>
                <w:p w14:paraId="35C34B7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围栏</w:t>
                  </w:r>
                </w:p>
              </w:tc>
              <w:tc>
                <w:tcPr>
                  <w:tcW w:w="3214" w:type="pct"/>
                  <w:vAlign w:val="center"/>
                </w:tcPr>
                <w:p w14:paraId="3003257B">
                  <w:pPr>
                    <w:keepNext w:val="0"/>
                    <w:keepLines w:val="0"/>
                    <w:pageBreakBefore w:val="0"/>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olor w:val="auto"/>
                      <w:sz w:val="21"/>
                      <w:szCs w:val="21"/>
                      <w:highlight w:val="none"/>
                      <w:lang w:val="en-US" w:eastAsia="zh-CN"/>
                    </w:rPr>
                    <w:t>外缘设置</w:t>
                  </w:r>
                  <w:r>
                    <w:rPr>
                      <w:rFonts w:hint="default"/>
                      <w:color w:val="auto"/>
                      <w:sz w:val="21"/>
                      <w:szCs w:val="21"/>
                      <w:highlight w:val="none"/>
                      <w:lang w:val="en-US" w:eastAsia="zh-CN"/>
                    </w:rPr>
                    <w:t>1.8m高包塑铁丝围栏，围栏内设置4.5m宽的防火隔离带，围栏总长度</w:t>
                  </w:r>
                  <w:r>
                    <w:rPr>
                      <w:rFonts w:hint="eastAsia"/>
                      <w:color w:val="auto"/>
                      <w:sz w:val="21"/>
                      <w:szCs w:val="21"/>
                      <w:highlight w:val="none"/>
                      <w:lang w:val="en-US" w:eastAsia="zh-CN"/>
                    </w:rPr>
                    <w:t>28.5</w:t>
                  </w:r>
                  <w:r>
                    <w:rPr>
                      <w:rFonts w:hint="default"/>
                      <w:color w:val="auto"/>
                      <w:sz w:val="21"/>
                      <w:szCs w:val="21"/>
                      <w:highlight w:val="none"/>
                      <w:lang w:val="en-US" w:eastAsia="zh-CN"/>
                    </w:rPr>
                    <w:t>km</w:t>
                  </w:r>
                </w:p>
              </w:tc>
              <w:tc>
                <w:tcPr>
                  <w:tcW w:w="511" w:type="pct"/>
                  <w:vAlign w:val="center"/>
                </w:tcPr>
                <w:p w14:paraId="001786FC">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2"/>
                      <w:sz w:val="21"/>
                      <w:szCs w:val="21"/>
                      <w:highlight w:val="none"/>
                      <w:lang w:val="en-US" w:eastAsia="zh-CN" w:bidi="ar-SA"/>
                    </w:rPr>
                    <w:t>新建</w:t>
                  </w:r>
                </w:p>
              </w:tc>
            </w:tr>
            <w:tr w14:paraId="2F51C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 w:hRule="atLeast"/>
              </w:trPr>
              <w:tc>
                <w:tcPr>
                  <w:tcW w:w="490" w:type="pct"/>
                  <w:vMerge w:val="continue"/>
                  <w:vAlign w:val="center"/>
                </w:tcPr>
                <w:p w14:paraId="1ACA62A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p>
              </w:tc>
              <w:tc>
                <w:tcPr>
                  <w:tcW w:w="783" w:type="pct"/>
                  <w:vAlign w:val="center"/>
                </w:tcPr>
                <w:p w14:paraId="41F3FAFE">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none"/>
                    </w:rPr>
                  </w:pPr>
                  <w:r>
                    <w:rPr>
                      <w:rFonts w:hint="default" w:eastAsia="宋体"/>
                      <w:color w:val="auto"/>
                      <w:kern w:val="0"/>
                      <w:sz w:val="21"/>
                      <w:szCs w:val="21"/>
                      <w:highlight w:val="none"/>
                    </w:rPr>
                    <w:t>供水</w:t>
                  </w:r>
                </w:p>
              </w:tc>
              <w:tc>
                <w:tcPr>
                  <w:tcW w:w="3214" w:type="pct"/>
                  <w:vAlign w:val="center"/>
                </w:tcPr>
                <w:p w14:paraId="4BD1B66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eastAsia="宋体"/>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本项目生产、生活用水</w:t>
                  </w:r>
                  <w:r>
                    <w:rPr>
                      <w:rFonts w:hint="eastAsia" w:cs="Times New Roman"/>
                      <w:color w:val="auto"/>
                      <w:kern w:val="0"/>
                      <w:sz w:val="21"/>
                      <w:szCs w:val="21"/>
                      <w:highlight w:val="none"/>
                      <w:lang w:val="en-US" w:eastAsia="zh-CN" w:bidi="ar"/>
                    </w:rPr>
                    <w:t>引自附近村庄</w:t>
                  </w:r>
                  <w:r>
                    <w:rPr>
                      <w:rFonts w:hint="eastAsia" w:ascii="Times New Roman" w:hAnsi="Times New Roman" w:eastAsia="宋体" w:cs="Times New Roman"/>
                      <w:color w:val="auto"/>
                      <w:kern w:val="0"/>
                      <w:sz w:val="21"/>
                      <w:szCs w:val="21"/>
                      <w:highlight w:val="none"/>
                      <w:lang w:val="en-US" w:eastAsia="zh-CN" w:bidi="ar"/>
                    </w:rPr>
                    <w:t>。运营期光伏板清洁水</w:t>
                  </w:r>
                  <w:r>
                    <w:rPr>
                      <w:rFonts w:hint="default"/>
                      <w:color w:val="auto"/>
                      <w:spacing w:val="-1"/>
                      <w:sz w:val="21"/>
                      <w:szCs w:val="21"/>
                      <w:highlight w:val="none"/>
                    </w:rPr>
                    <w:t>定期利用水车从站外运水进行原地清洗。</w:t>
                  </w:r>
                </w:p>
              </w:tc>
              <w:tc>
                <w:tcPr>
                  <w:tcW w:w="511" w:type="pct"/>
                  <w:vAlign w:val="center"/>
                </w:tcPr>
                <w:p w14:paraId="186A71C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新建</w:t>
                  </w:r>
                </w:p>
              </w:tc>
            </w:tr>
            <w:tr w14:paraId="5DEE7C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 w:hRule="atLeast"/>
              </w:trPr>
              <w:tc>
                <w:tcPr>
                  <w:tcW w:w="490" w:type="pct"/>
                  <w:vMerge w:val="continue"/>
                  <w:vAlign w:val="center"/>
                </w:tcPr>
                <w:p w14:paraId="07C947C1">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p>
              </w:tc>
              <w:tc>
                <w:tcPr>
                  <w:tcW w:w="783" w:type="pct"/>
                  <w:vAlign w:val="center"/>
                </w:tcPr>
                <w:p w14:paraId="0E53B17C">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none"/>
                    </w:rPr>
                  </w:pPr>
                  <w:r>
                    <w:rPr>
                      <w:rFonts w:hint="eastAsia" w:eastAsia="宋体"/>
                      <w:color w:val="auto"/>
                      <w:kern w:val="0"/>
                      <w:sz w:val="21"/>
                      <w:szCs w:val="21"/>
                      <w:highlight w:val="none"/>
                    </w:rPr>
                    <w:t>排水</w:t>
                  </w:r>
                </w:p>
              </w:tc>
              <w:tc>
                <w:tcPr>
                  <w:tcW w:w="3214" w:type="pct"/>
                  <w:vAlign w:val="center"/>
                </w:tcPr>
                <w:p w14:paraId="617D5E48">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.运营期产生的</w:t>
                  </w:r>
                  <w:r>
                    <w:rPr>
                      <w:rFonts w:hint="default" w:ascii="Times New Roman" w:hAnsi="Times New Roman" w:cs="Times New Roman"/>
                      <w:color w:val="auto"/>
                      <w:kern w:val="0"/>
                      <w:sz w:val="21"/>
                      <w:szCs w:val="21"/>
                      <w:highlight w:val="none"/>
                      <w:lang w:val="en-US" w:eastAsia="zh-CN" w:bidi="ar"/>
                    </w:rPr>
                    <w:t>生活污水纳</w:t>
                  </w:r>
                  <w:r>
                    <w:rPr>
                      <w:rFonts w:hint="default" w:ascii="Times New Roman" w:hAnsi="Times New Roman" w:eastAsia="宋体" w:cs="Times New Roman"/>
                      <w:color w:val="auto"/>
                      <w:kern w:val="0"/>
                      <w:sz w:val="21"/>
                      <w:szCs w:val="21"/>
                      <w:highlight w:val="none"/>
                      <w:lang w:val="en-US" w:eastAsia="zh-CN" w:bidi="ar"/>
                    </w:rPr>
                    <w:t>入</w:t>
                  </w:r>
                  <w:r>
                    <w:rPr>
                      <w:rFonts w:hint="eastAsia" w:cs="Times New Roman"/>
                      <w:color w:val="auto"/>
                      <w:kern w:val="0"/>
                      <w:sz w:val="21"/>
                      <w:szCs w:val="21"/>
                      <w:highlight w:val="none"/>
                      <w:lang w:val="en-US" w:eastAsia="zh-CN" w:bidi="ar"/>
                    </w:rPr>
                    <w:t>竹园沟光伏发电项目升压站拟建的</w:t>
                  </w:r>
                  <w:r>
                    <w:rPr>
                      <w:rFonts w:hint="default" w:ascii="Times New Roman" w:hAnsi="Times New Roman" w:eastAsia="宋体" w:cs="Times New Roman"/>
                      <w:color w:val="auto"/>
                      <w:kern w:val="0"/>
                      <w:sz w:val="21"/>
                      <w:szCs w:val="21"/>
                      <w:highlight w:val="none"/>
                      <w:lang w:val="en-US" w:eastAsia="zh-CN" w:bidi="ar"/>
                    </w:rPr>
                    <w:t>污水处理设施处理</w:t>
                  </w:r>
                  <w:r>
                    <w:rPr>
                      <w:rFonts w:hint="eastAsia" w:cs="Times New Roman"/>
                      <w:color w:val="auto"/>
                      <w:kern w:val="0"/>
                      <w:sz w:val="21"/>
                      <w:szCs w:val="21"/>
                      <w:highlight w:val="none"/>
                      <w:lang w:val="en-US" w:eastAsia="zh-CN" w:bidi="ar"/>
                    </w:rPr>
                    <w:t>，无新增人员</w:t>
                  </w:r>
                  <w:r>
                    <w:rPr>
                      <w:rFonts w:hint="default" w:ascii="Times New Roman" w:hAnsi="Times New Roman" w:eastAsia="宋体" w:cs="Times New Roman"/>
                      <w:color w:val="auto"/>
                      <w:kern w:val="0"/>
                      <w:sz w:val="21"/>
                      <w:szCs w:val="21"/>
                      <w:highlight w:val="none"/>
                      <w:lang w:val="en-US" w:eastAsia="zh-CN" w:bidi="ar"/>
                    </w:rPr>
                    <w:t>。</w:t>
                  </w:r>
                </w:p>
                <w:p w14:paraId="4D482CDD">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光伏组件清洁产生的废水顺电池组件倾斜角度直接淋洒于下方林草植被上，用于林草植被生长。</w:t>
                  </w:r>
                </w:p>
              </w:tc>
              <w:tc>
                <w:tcPr>
                  <w:tcW w:w="511" w:type="pct"/>
                  <w:vAlign w:val="center"/>
                </w:tcPr>
                <w:p w14:paraId="28F4C87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14:paraId="374CD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 w:hRule="atLeast"/>
              </w:trPr>
              <w:tc>
                <w:tcPr>
                  <w:tcW w:w="490" w:type="pct"/>
                  <w:vMerge w:val="restart"/>
                  <w:vAlign w:val="center"/>
                </w:tcPr>
                <w:p w14:paraId="1839A65B">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环保工程</w:t>
                  </w:r>
                </w:p>
              </w:tc>
              <w:tc>
                <w:tcPr>
                  <w:tcW w:w="783" w:type="pct"/>
                  <w:vAlign w:val="center"/>
                </w:tcPr>
                <w:p w14:paraId="0A80A2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eastAsia="zh-CN"/>
                    </w:rPr>
                    <w:t>噪声</w:t>
                  </w:r>
                </w:p>
              </w:tc>
              <w:tc>
                <w:tcPr>
                  <w:tcW w:w="3214" w:type="pct"/>
                  <w:vAlign w:val="center"/>
                </w:tcPr>
                <w:p w14:paraId="2B484E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vertAlign w:val="baseline"/>
                      <w:lang w:eastAsia="zh-CN"/>
                    </w:rPr>
                    <w:t>设备基础减振、购买低噪声设备。</w:t>
                  </w:r>
                </w:p>
              </w:tc>
              <w:tc>
                <w:tcPr>
                  <w:tcW w:w="511" w:type="pct"/>
                  <w:vAlign w:val="center"/>
                </w:tcPr>
                <w:p w14:paraId="5BD2E4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s="Times New Roman"/>
                      <w:color w:val="auto"/>
                      <w:kern w:val="0"/>
                      <w:sz w:val="21"/>
                      <w:szCs w:val="21"/>
                      <w:highlight w:val="none"/>
                      <w:lang w:val="en-US" w:eastAsia="zh-CN"/>
                    </w:rPr>
                  </w:pPr>
                  <w:r>
                    <w:rPr>
                      <w:rFonts w:hint="eastAsia" w:eastAsia="宋体"/>
                      <w:color w:val="auto"/>
                      <w:kern w:val="0"/>
                      <w:sz w:val="21"/>
                      <w:szCs w:val="21"/>
                      <w:highlight w:val="none"/>
                      <w:lang w:val="en-US" w:eastAsia="zh-CN"/>
                    </w:rPr>
                    <w:t>新建</w:t>
                  </w:r>
                </w:p>
              </w:tc>
            </w:tr>
            <w:tr w14:paraId="06ED0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90" w:type="pct"/>
                  <w:vMerge w:val="continue"/>
                  <w:vAlign w:val="center"/>
                </w:tcPr>
                <w:p w14:paraId="744AE312">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p>
              </w:tc>
              <w:tc>
                <w:tcPr>
                  <w:tcW w:w="783" w:type="pct"/>
                  <w:vAlign w:val="center"/>
                </w:tcPr>
                <w:p w14:paraId="6E97DCB4">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eastAsia" w:ascii="Times New Roman" w:hAnsi="Times New Roman" w:eastAsia="宋体" w:cs="Times New Roman"/>
                      <w:color w:val="auto"/>
                      <w:sz w:val="21"/>
                      <w:szCs w:val="21"/>
                      <w:highlight w:val="none"/>
                      <w:shd w:val="clear" w:color="auto" w:fill="auto"/>
                      <w:lang w:val="en-US" w:eastAsia="zh-CN"/>
                    </w:rPr>
                    <w:t>风险防范</w:t>
                  </w:r>
                </w:p>
              </w:tc>
              <w:tc>
                <w:tcPr>
                  <w:tcW w:w="3214" w:type="pct"/>
                  <w:vAlign w:val="center"/>
                </w:tcPr>
                <w:p w14:paraId="54FCD0E6">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default" w:eastAsia="宋体"/>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在</w:t>
                  </w:r>
                  <w:r>
                    <w:rPr>
                      <w:rFonts w:hint="default" w:ascii="Times New Roman" w:hAnsi="Times New Roman" w:eastAsia="宋体" w:cs="Times New Roman"/>
                      <w:color w:val="auto"/>
                      <w:sz w:val="21"/>
                      <w:szCs w:val="21"/>
                      <w:highlight w:val="none"/>
                      <w:lang w:val="en-US" w:eastAsia="zh-CN"/>
                    </w:rPr>
                    <w:t>光伏方阵区每个</w:t>
                  </w:r>
                  <w:r>
                    <w:rPr>
                      <w:rFonts w:hint="default" w:ascii="Times New Roman" w:hAnsi="Times New Roman" w:eastAsia="宋体" w:cs="Times New Roman"/>
                      <w:color w:val="auto"/>
                      <w:sz w:val="21"/>
                      <w:szCs w:val="21"/>
                      <w:highlight w:val="none"/>
                    </w:rPr>
                    <w:t>箱式变压器</w:t>
                  </w:r>
                  <w:r>
                    <w:rPr>
                      <w:rFonts w:hint="default" w:ascii="Times New Roman" w:hAnsi="Times New Roman" w:eastAsia="宋体" w:cs="Times New Roman"/>
                      <w:color w:val="auto"/>
                      <w:sz w:val="21"/>
                      <w:szCs w:val="21"/>
                      <w:highlight w:val="none"/>
                      <w:lang w:val="en-US" w:eastAsia="zh-CN"/>
                    </w:rPr>
                    <w:t>下方</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事故</w:t>
                  </w:r>
                  <w:r>
                    <w:rPr>
                      <w:rFonts w:hint="default" w:ascii="Times New Roman" w:hAnsi="Times New Roman" w:eastAsia="宋体" w:cs="Times New Roman"/>
                      <w:color w:val="auto"/>
                      <w:sz w:val="21"/>
                      <w:szCs w:val="21"/>
                      <w:highlight w:val="none"/>
                    </w:rPr>
                    <w:t>油池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共</w:t>
                  </w:r>
                  <w:r>
                    <w:rPr>
                      <w:rFonts w:hint="eastAsia"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其中</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个容积不低于</w:t>
                  </w:r>
                  <w:r>
                    <w:rPr>
                      <w:rFonts w:hint="eastAsia"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个容积不低于2.</w:t>
                  </w:r>
                  <w:r>
                    <w:rPr>
                      <w:rFonts w:hint="eastAsia" w:eastAsia="宋体" w:cs="Times New Roman"/>
                      <w:color w:val="auto"/>
                      <w:sz w:val="21"/>
                      <w:szCs w:val="21"/>
                      <w:highlight w:val="none"/>
                      <w:lang w:val="en-US" w:eastAsia="zh-CN"/>
                    </w:rPr>
                    <w:t>85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个容积不低于</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c>
                <w:tcPr>
                  <w:tcW w:w="511" w:type="pct"/>
                  <w:vAlign w:val="center"/>
                </w:tcPr>
                <w:p w14:paraId="58279F89">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新建</w:t>
                  </w:r>
                </w:p>
              </w:tc>
            </w:tr>
            <w:tr w14:paraId="22C82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490" w:type="pct"/>
                  <w:vMerge w:val="continue"/>
                  <w:vAlign w:val="center"/>
                </w:tcPr>
                <w:p w14:paraId="3165C118">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p>
              </w:tc>
              <w:tc>
                <w:tcPr>
                  <w:tcW w:w="783" w:type="pct"/>
                  <w:vAlign w:val="center"/>
                </w:tcPr>
                <w:p w14:paraId="720C7AD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sz w:val="21"/>
                      <w:szCs w:val="21"/>
                      <w:highlight w:val="none"/>
                      <w:shd w:val="clear" w:color="auto" w:fill="auto"/>
                      <w:lang w:val="en-US" w:eastAsia="zh-CN"/>
                    </w:rPr>
                    <w:t>地下水、土壤</w:t>
                  </w:r>
                </w:p>
              </w:tc>
              <w:tc>
                <w:tcPr>
                  <w:tcW w:w="3214" w:type="pct"/>
                  <w:vAlign w:val="center"/>
                </w:tcPr>
                <w:p w14:paraId="663F6107">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both"/>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rPr>
                    <w:t>事故油池</w:t>
                  </w:r>
                  <w:r>
                    <w:rPr>
                      <w:rFonts w:hint="eastAsia" w:eastAsia="宋体"/>
                      <w:color w:val="auto"/>
                      <w:kern w:val="0"/>
                      <w:sz w:val="21"/>
                      <w:szCs w:val="21"/>
                      <w:highlight w:val="none"/>
                      <w:lang w:eastAsia="zh-CN"/>
                    </w:rPr>
                    <w:t>严格按照</w:t>
                  </w:r>
                  <w:r>
                    <w:rPr>
                      <w:rFonts w:hint="default" w:ascii="Times New Roman" w:hAnsi="Times New Roman" w:eastAsia="宋体" w:cs="Times New Roman"/>
                      <w:color w:val="auto"/>
                      <w:kern w:val="0"/>
                      <w:sz w:val="21"/>
                      <w:szCs w:val="21"/>
                      <w:highlight w:val="none"/>
                    </w:rPr>
                    <w:t>《危险废物贮存污染控制标准》（GB</w:t>
                  </w:r>
                  <w:r>
                    <w:rPr>
                      <w:rFonts w:hint="eastAsia" w:ascii="Times New Roman" w:hAnsi="Times New Roman" w:eastAsia="宋体"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18597-20</w:t>
                  </w:r>
                  <w:r>
                    <w:rPr>
                      <w:rFonts w:hint="default"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rPr>
                    <w:t>）</w:t>
                  </w:r>
                  <w:r>
                    <w:rPr>
                      <w:rFonts w:hint="eastAsia" w:eastAsia="宋体" w:cs="Times New Roman"/>
                      <w:color w:val="auto"/>
                      <w:kern w:val="0"/>
                      <w:sz w:val="21"/>
                      <w:szCs w:val="21"/>
                      <w:highlight w:val="none"/>
                      <w:lang w:val="en-US" w:eastAsia="zh-CN"/>
                    </w:rPr>
                    <w:t>重点防渗进行</w:t>
                  </w:r>
                  <w:r>
                    <w:rPr>
                      <w:rFonts w:hint="eastAsia" w:eastAsia="宋体"/>
                      <w:color w:val="auto"/>
                      <w:kern w:val="0"/>
                      <w:sz w:val="21"/>
                      <w:szCs w:val="21"/>
                      <w:highlight w:val="none"/>
                      <w:lang w:eastAsia="zh-CN"/>
                    </w:rPr>
                    <w:t>设计建设：</w:t>
                  </w:r>
                  <w:r>
                    <w:rPr>
                      <w:rFonts w:hint="eastAsia" w:eastAsia="宋体" w:cs="Times New Roman"/>
                      <w:color w:val="auto"/>
                      <w:sz w:val="21"/>
                      <w:szCs w:val="21"/>
                      <w:highlight w:val="none"/>
                      <w:lang w:val="en-US" w:eastAsia="zh-CN"/>
                    </w:rPr>
                    <w:t>基础必须进行防渗，防渗层至少为1m厚粘土层（渗透系数</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zh-CN"/>
                    </w:rPr>
                    <w:t>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lang w:val="zh-CN"/>
                    </w:rPr>
                    <w:t>cm/s</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或2mm厚高密度聚乙烯，或至少2mm厚的其他人工材料，渗透系数≤</w:t>
                  </w:r>
                  <w:r>
                    <w:rPr>
                      <w:rFonts w:hint="eastAsia" w:eastAsia="宋体"/>
                      <w:color w:val="auto"/>
                      <w:kern w:val="0"/>
                      <w:sz w:val="21"/>
                      <w:szCs w:val="21"/>
                      <w:highlight w:val="none"/>
                      <w:lang w:eastAsia="zh-CN"/>
                    </w:rPr>
                    <w:t>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eastAsia" w:eastAsia="宋体"/>
                      <w:color w:val="auto"/>
                      <w:kern w:val="0"/>
                      <w:sz w:val="21"/>
                      <w:szCs w:val="21"/>
                      <w:highlight w:val="none"/>
                      <w:lang w:eastAsia="zh-CN"/>
                    </w:rPr>
                    <w:t>。</w:t>
                  </w:r>
                </w:p>
              </w:tc>
              <w:tc>
                <w:tcPr>
                  <w:tcW w:w="511" w:type="pct"/>
                  <w:vAlign w:val="center"/>
                </w:tcPr>
                <w:p w14:paraId="34F1BE9B">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新建</w:t>
                  </w:r>
                </w:p>
              </w:tc>
            </w:tr>
            <w:tr w14:paraId="524F4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3" w:hRule="atLeast"/>
              </w:trPr>
              <w:tc>
                <w:tcPr>
                  <w:tcW w:w="490" w:type="pct"/>
                  <w:vMerge w:val="continue"/>
                  <w:vAlign w:val="center"/>
                </w:tcPr>
                <w:p w14:paraId="3B5856F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p>
              </w:tc>
              <w:tc>
                <w:tcPr>
                  <w:tcW w:w="783" w:type="pct"/>
                  <w:vAlign w:val="center"/>
                </w:tcPr>
                <w:p w14:paraId="27E7B0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val="en-US" w:eastAsia="zh-CN"/>
                    </w:rPr>
                    <w:t>生态恢复措施</w:t>
                  </w:r>
                </w:p>
              </w:tc>
              <w:tc>
                <w:tcPr>
                  <w:tcW w:w="3214" w:type="pct"/>
                  <w:vAlign w:val="center"/>
                </w:tcPr>
                <w:p w14:paraId="585DB6BD">
                  <w:pPr>
                    <w:keepNext w:val="0"/>
                    <w:keepLines w:val="0"/>
                    <w:pageBreakBefore w:val="0"/>
                    <w:numPr>
                      <w:ilvl w:val="0"/>
                      <w:numId w:val="4"/>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植物措施：（施工生产生活区）撒播灌草植被恢复0.25hm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p>
                <w:p w14:paraId="63EDA4FA">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工程量：植被恢复面积0.25hm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，场地平整0.25hm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，撒播灌草0.25hm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，幼林抚育0.25hm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，需车桑子5.50kg，黑麦草5.50kg，白车轴草11.00kg。</w:t>
                  </w:r>
                </w:p>
                <w:p w14:paraId="1A398D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2、临时措施：（1）光伏发电系统区：临时覆盖2000m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；（2）施工生产生活区：临时排水沟232m，沉砂池2座，临时覆盖1000m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，临时铺垫2500m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p>
                <w:p w14:paraId="564CE0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工程量：土石方开挖46.12m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，M7.5浆砌砖5.4m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，M7.5砂浆抹面30m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，铺土工膜255.04m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，铺设无纺布5500m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p>
              </w:tc>
              <w:tc>
                <w:tcPr>
                  <w:tcW w:w="511" w:type="pct"/>
                  <w:vAlign w:val="center"/>
                </w:tcPr>
                <w:p w14:paraId="0B17654E">
                  <w:pPr>
                    <w:pStyle w:val="73"/>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kern w:val="0"/>
                      <w:sz w:val="21"/>
                      <w:szCs w:val="21"/>
                      <w:highlight w:val="none"/>
                      <w:shd w:val="clear" w:color="auto" w:fill="auto"/>
                      <w:lang w:val="en-US" w:eastAsia="zh-CN"/>
                    </w:rPr>
                  </w:pPr>
                  <w:r>
                    <w:rPr>
                      <w:rFonts w:hint="eastAsia" w:eastAsia="宋体"/>
                      <w:color w:val="auto"/>
                      <w:kern w:val="0"/>
                      <w:sz w:val="21"/>
                      <w:szCs w:val="21"/>
                      <w:highlight w:val="none"/>
                      <w:shd w:val="clear" w:color="auto" w:fill="auto"/>
                      <w:lang w:val="en-US" w:eastAsia="zh-CN"/>
                    </w:rPr>
                    <w:t>新建</w:t>
                  </w:r>
                </w:p>
              </w:tc>
            </w:tr>
            <w:tr w14:paraId="2A81C6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490" w:type="pct"/>
                  <w:vMerge w:val="restart"/>
                  <w:vAlign w:val="center"/>
                </w:tcPr>
                <w:p w14:paraId="7490D94F">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依托工程</w:t>
                  </w:r>
                </w:p>
              </w:tc>
              <w:tc>
                <w:tcPr>
                  <w:tcW w:w="783" w:type="pct"/>
                  <w:vAlign w:val="center"/>
                </w:tcPr>
                <w:p w14:paraId="1A83E536">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kern w:val="0"/>
                      <w:sz w:val="21"/>
                      <w:szCs w:val="21"/>
                      <w:highlight w:val="none"/>
                      <w:lang w:val="en-US" w:eastAsia="zh-CN" w:bidi="ar"/>
                    </w:rPr>
                    <w:t>升压站</w:t>
                  </w:r>
                </w:p>
              </w:tc>
              <w:tc>
                <w:tcPr>
                  <w:tcW w:w="3214" w:type="pct"/>
                  <w:vAlign w:val="center"/>
                </w:tcPr>
                <w:p w14:paraId="1E8FE36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升压站配置两台主变，主变规模1×300MW+1×200MW，</w:t>
                  </w:r>
                  <w:r>
                    <w:rPr>
                      <w:rFonts w:hint="eastAsia"/>
                      <w:b w:val="0"/>
                      <w:bCs w:val="0"/>
                      <w:color w:val="auto"/>
                      <w:kern w:val="0"/>
                      <w:sz w:val="21"/>
                      <w:szCs w:val="21"/>
                      <w:highlight w:val="none"/>
                      <w:shd w:val="clear" w:color="auto" w:fill="auto"/>
                      <w:lang w:val="en-US" w:eastAsia="zh-CN"/>
                    </w:rPr>
                    <w:t>已考虑</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s="Times New Roman"/>
                      <w:b w:val="0"/>
                      <w:bCs w:val="0"/>
                      <w:color w:val="auto"/>
                      <w:sz w:val="21"/>
                      <w:szCs w:val="21"/>
                      <w:highlight w:val="none"/>
                      <w:lang w:val="en-US" w:eastAsia="zh-CN"/>
                    </w:rPr>
                    <w:t>300MW、石崖光伏发电项目</w:t>
                  </w:r>
                  <w:r>
                    <w:rPr>
                      <w:rFonts w:hint="eastAsia"/>
                      <w:b w:val="0"/>
                      <w:bCs w:val="0"/>
                      <w:color w:val="auto"/>
                      <w:kern w:val="0"/>
                      <w:sz w:val="21"/>
                      <w:szCs w:val="21"/>
                      <w:highlight w:val="none"/>
                      <w:shd w:val="clear" w:color="auto" w:fill="auto"/>
                      <w:lang w:val="en-US" w:eastAsia="zh-CN"/>
                    </w:rPr>
                    <w:t>100</w:t>
                  </w:r>
                  <w:r>
                    <w:rPr>
                      <w:rFonts w:hint="eastAsia"/>
                      <w:b w:val="0"/>
                      <w:bCs w:val="0"/>
                      <w:color w:val="auto"/>
                      <w:kern w:val="0"/>
                      <w:sz w:val="21"/>
                      <w:szCs w:val="21"/>
                      <w:highlight w:val="none"/>
                      <w:shd w:val="clear" w:color="auto" w:fill="auto"/>
                    </w:rPr>
                    <w:t>MW</w:t>
                  </w:r>
                  <w:r>
                    <w:rPr>
                      <w:rFonts w:hint="eastAsia"/>
                      <w:b w:val="0"/>
                      <w:bCs w:val="0"/>
                      <w:color w:val="auto"/>
                      <w:kern w:val="0"/>
                      <w:sz w:val="21"/>
                      <w:szCs w:val="21"/>
                      <w:highlight w:val="none"/>
                      <w:shd w:val="clear" w:color="auto" w:fill="auto"/>
                      <w:lang w:eastAsia="zh-CN"/>
                    </w:rPr>
                    <w:t>、</w:t>
                  </w:r>
                  <w:r>
                    <w:rPr>
                      <w:rFonts w:hint="eastAsia" w:cs="Times New Roman"/>
                      <w:b w:val="0"/>
                      <w:bCs w:val="0"/>
                      <w:color w:val="auto"/>
                      <w:sz w:val="21"/>
                      <w:szCs w:val="21"/>
                      <w:highlight w:val="none"/>
                      <w:lang w:val="en-US" w:eastAsia="zh-CN"/>
                    </w:rPr>
                    <w:t>白石岩光伏发电项目45</w:t>
                  </w:r>
                  <w:r>
                    <w:rPr>
                      <w:rFonts w:hint="eastAsia"/>
                      <w:b w:val="0"/>
                      <w:bCs w:val="0"/>
                      <w:color w:val="auto"/>
                      <w:kern w:val="0"/>
                      <w:sz w:val="21"/>
                      <w:szCs w:val="21"/>
                      <w:highlight w:val="none"/>
                      <w:shd w:val="clear" w:color="auto" w:fill="auto"/>
                    </w:rPr>
                    <w:t>MW</w:t>
                  </w:r>
                  <w:r>
                    <w:rPr>
                      <w:rFonts w:hint="eastAsia"/>
                      <w:b w:val="0"/>
                      <w:bCs w:val="0"/>
                      <w:color w:val="auto"/>
                      <w:kern w:val="0"/>
                      <w:sz w:val="21"/>
                      <w:szCs w:val="21"/>
                      <w:highlight w:val="none"/>
                      <w:shd w:val="clear" w:color="auto" w:fill="auto"/>
                      <w:lang w:eastAsia="zh-CN"/>
                    </w:rPr>
                    <w:t>、巨龙梁风电场扩建项目124MW</w:t>
                  </w:r>
                  <w:r>
                    <w:rPr>
                      <w:rFonts w:hint="eastAsia"/>
                      <w:b w:val="0"/>
                      <w:bCs w:val="0"/>
                      <w:color w:val="auto"/>
                      <w:kern w:val="0"/>
                      <w:sz w:val="21"/>
                      <w:szCs w:val="21"/>
                      <w:highlight w:val="none"/>
                      <w:shd w:val="clear" w:color="auto" w:fill="auto"/>
                      <w:lang w:val="en-US" w:eastAsia="zh-CN"/>
                    </w:rPr>
                    <w:t>和本项目50MW容量</w:t>
                  </w:r>
                  <w:r>
                    <w:rPr>
                      <w:rFonts w:hint="eastAsia"/>
                      <w:color w:val="auto"/>
                      <w:sz w:val="21"/>
                      <w:szCs w:val="21"/>
                      <w:highlight w:val="none"/>
                      <w:lang w:val="en-US" w:eastAsia="zh-CN"/>
                    </w:rPr>
                    <w:t>，升压站占地面积1.125hm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sz w:val="21"/>
                      <w:szCs w:val="21"/>
                      <w:highlight w:val="none"/>
                      <w:lang w:val="zh-CN" w:eastAsia="zh-CN"/>
                    </w:rPr>
                    <w:t>升压站西北侧布置综合楼及附属用房，中部布置生产楼、主变、事故油池、</w:t>
                  </w:r>
                  <w:r>
                    <w:rPr>
                      <w:rFonts w:hint="eastAsia"/>
                      <w:color w:val="auto"/>
                      <w:sz w:val="21"/>
                      <w:szCs w:val="21"/>
                      <w:highlight w:val="none"/>
                      <w:lang w:val="en-US" w:eastAsia="zh-CN"/>
                    </w:rPr>
                    <w:t>危废贮存库、</w:t>
                  </w:r>
                  <w:r>
                    <w:rPr>
                      <w:rFonts w:hint="eastAsia"/>
                      <w:color w:val="auto"/>
                      <w:sz w:val="21"/>
                      <w:szCs w:val="21"/>
                      <w:highlight w:val="none"/>
                      <w:lang w:val="zh-CN" w:eastAsia="zh-CN"/>
                    </w:rPr>
                    <w:t>无功装置及室外GIS，东南侧</w:t>
                  </w:r>
                  <w:r>
                    <w:rPr>
                      <w:rFonts w:hint="eastAsia"/>
                      <w:color w:val="auto"/>
                      <w:sz w:val="21"/>
                      <w:szCs w:val="21"/>
                      <w:highlight w:val="none"/>
                      <w:lang w:val="en-US" w:eastAsia="zh-CN"/>
                    </w:rPr>
                    <w:t>预留储能用地。升压站采用户外布置。升压站在</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建设时同步</w:t>
                  </w:r>
                  <w:r>
                    <w:rPr>
                      <w:rFonts w:hint="eastAsia" w:ascii="Times New Roman" w:hAnsi="Times New Roman" w:eastAsia="宋体" w:cs="Times New Roman"/>
                      <w:color w:val="auto"/>
                      <w:sz w:val="21"/>
                      <w:szCs w:val="21"/>
                      <w:highlight w:val="none"/>
                      <w:lang w:val="en-US" w:eastAsia="zh-CN"/>
                    </w:rPr>
                    <w:t>建成。</w:t>
                  </w:r>
                </w:p>
              </w:tc>
              <w:tc>
                <w:tcPr>
                  <w:tcW w:w="511" w:type="pct"/>
                  <w:vAlign w:val="center"/>
                </w:tcPr>
                <w:p w14:paraId="02F489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3CC2F4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490" w:type="pct"/>
                  <w:vMerge w:val="continue"/>
                  <w:vAlign w:val="center"/>
                </w:tcPr>
                <w:p w14:paraId="26D1AEB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783" w:type="pct"/>
                  <w:vAlign w:val="center"/>
                </w:tcPr>
                <w:p w14:paraId="654D176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生活区</w:t>
                  </w:r>
                </w:p>
              </w:tc>
              <w:tc>
                <w:tcPr>
                  <w:tcW w:w="3214" w:type="pct"/>
                  <w:vAlign w:val="center"/>
                </w:tcPr>
                <w:p w14:paraId="1A51E1EB">
                  <w:pPr>
                    <w:keepNext w:val="0"/>
                    <w:keepLines w:val="0"/>
                    <w:widowControl/>
                    <w:suppressLineNumbers w:val="0"/>
                    <w:spacing w:before="0" w:beforeAutospacing="0" w:after="0" w:afterAutospacing="0"/>
                    <w:ind w:left="0" w:leftChars="0" w:right="0" w:rightChars="0"/>
                    <w:jc w:val="left"/>
                    <w:rPr>
                      <w:rFonts w:hint="eastAsia" w:cs="Times New Roman"/>
                      <w:b w:val="0"/>
                      <w:bCs w:val="0"/>
                      <w:color w:val="auto"/>
                      <w:sz w:val="21"/>
                      <w:szCs w:val="21"/>
                      <w:highlight w:val="none"/>
                      <w:lang w:val="en-US" w:eastAsia="zh-CN"/>
                    </w:rPr>
                  </w:pPr>
                  <w:r>
                    <w:rPr>
                      <w:rFonts w:hint="eastAsia" w:cs="Times New Roman"/>
                      <w:color w:val="auto"/>
                      <w:kern w:val="0"/>
                      <w:sz w:val="21"/>
                      <w:szCs w:val="21"/>
                      <w:highlight w:val="none"/>
                      <w:vertAlign w:val="baseline"/>
                      <w:lang w:val="en-US" w:eastAsia="zh-CN"/>
                    </w:rPr>
                    <w:t>依托</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s="Times New Roman"/>
                      <w:color w:val="auto"/>
                      <w:kern w:val="0"/>
                      <w:sz w:val="21"/>
                      <w:szCs w:val="21"/>
                      <w:highlight w:val="none"/>
                      <w:vertAlign w:val="baseline"/>
                      <w:lang w:val="en-US" w:eastAsia="zh-CN"/>
                    </w:rPr>
                    <w:t>，</w:t>
                  </w:r>
                  <w:r>
                    <w:rPr>
                      <w:rFonts w:hint="eastAsia" w:ascii="Times New Roman" w:hAnsi="Times New Roman" w:eastAsia="宋体" w:cs="Times New Roman"/>
                      <w:color w:val="auto"/>
                      <w:kern w:val="0"/>
                      <w:sz w:val="21"/>
                      <w:szCs w:val="21"/>
                      <w:highlight w:val="none"/>
                      <w:vertAlign w:val="baseline"/>
                      <w:lang w:val="en-US" w:eastAsia="zh-CN"/>
                    </w:rPr>
                    <w:t>生活区位于</w:t>
                  </w:r>
                  <w:r>
                    <w:rPr>
                      <w:rFonts w:hint="eastAsia" w:cs="Times New Roman"/>
                      <w:color w:val="auto"/>
                      <w:kern w:val="0"/>
                      <w:sz w:val="21"/>
                      <w:szCs w:val="21"/>
                      <w:highlight w:val="none"/>
                      <w:vertAlign w:val="baseline"/>
                      <w:lang w:val="en-US" w:eastAsia="zh-CN"/>
                    </w:rPr>
                    <w:t>升压站</w:t>
                  </w:r>
                  <w:r>
                    <w:rPr>
                      <w:rFonts w:hint="eastAsia" w:ascii="Times New Roman" w:hAnsi="Times New Roman" w:eastAsia="宋体"/>
                      <w:color w:val="auto"/>
                      <w:kern w:val="0"/>
                      <w:sz w:val="21"/>
                      <w:szCs w:val="21"/>
                      <w:highlight w:val="none"/>
                      <w:lang w:eastAsia="zh-CN"/>
                    </w:rPr>
                    <w:t>西</w:t>
                  </w:r>
                  <w:r>
                    <w:rPr>
                      <w:rFonts w:hint="eastAsia"/>
                      <w:color w:val="auto"/>
                      <w:kern w:val="0"/>
                      <w:sz w:val="21"/>
                      <w:szCs w:val="21"/>
                      <w:highlight w:val="none"/>
                      <w:lang w:val="en-US" w:eastAsia="zh-CN"/>
                    </w:rPr>
                    <w:t>南部</w:t>
                  </w:r>
                  <w:r>
                    <w:rPr>
                      <w:rFonts w:hint="eastAsia" w:ascii="Times New Roman" w:hAnsi="Times New Roman" w:eastAsia="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为</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层框架剪力墙结构，一层布置有主控室（含消防控制）、档案室、工器具室、厨房、餐厅、卫生间、宿舍、门厅等，层高</w:t>
                  </w:r>
                  <w:r>
                    <w:rPr>
                      <w:rFonts w:hint="default" w:ascii="Times New Roman" w:hAnsi="Times New Roman" w:eastAsia="宋体" w:cs="Times New Roman"/>
                      <w:color w:val="auto"/>
                      <w:kern w:val="0"/>
                      <w:sz w:val="21"/>
                      <w:szCs w:val="21"/>
                      <w:highlight w:val="none"/>
                      <w:lang w:val="en-US" w:eastAsia="zh-CN" w:bidi="ar"/>
                    </w:rPr>
                    <w:t>3.9m</w:t>
                  </w:r>
                  <w:r>
                    <w:rPr>
                      <w:rFonts w:hint="eastAsia" w:ascii="宋体" w:hAnsi="宋体" w:eastAsia="宋体" w:cs="宋体"/>
                      <w:color w:val="auto"/>
                      <w:kern w:val="0"/>
                      <w:sz w:val="21"/>
                      <w:szCs w:val="21"/>
                      <w:highlight w:val="none"/>
                      <w:lang w:val="en-US" w:eastAsia="zh-CN" w:bidi="ar"/>
                    </w:rPr>
                    <w:t>；二层布置有办公室、会议室、值班室、宿舍、卫生间等，层高</w:t>
                  </w:r>
                  <w:r>
                    <w:rPr>
                      <w:rFonts w:hint="default" w:ascii="Times New Roman" w:hAnsi="Times New Roman" w:eastAsia="宋体" w:cs="Times New Roman"/>
                      <w:color w:val="auto"/>
                      <w:kern w:val="0"/>
                      <w:sz w:val="21"/>
                      <w:szCs w:val="21"/>
                      <w:highlight w:val="none"/>
                      <w:lang w:val="en-US" w:eastAsia="zh-CN" w:bidi="ar"/>
                    </w:rPr>
                    <w:t>3.9m</w:t>
                  </w:r>
                  <w:r>
                    <w:rPr>
                      <w:rFonts w:hint="eastAsia" w:ascii="宋体" w:hAnsi="宋体" w:eastAsia="宋体" w:cs="宋体"/>
                      <w:color w:val="auto"/>
                      <w:kern w:val="0"/>
                      <w:sz w:val="21"/>
                      <w:szCs w:val="21"/>
                      <w:highlight w:val="none"/>
                      <w:lang w:val="en-US" w:eastAsia="zh-CN" w:bidi="ar"/>
                    </w:rPr>
                    <w:t>；三层布置有办公室、员工活动室、宿舍、卫生间等，层高</w:t>
                  </w:r>
                  <w:r>
                    <w:rPr>
                      <w:rFonts w:hint="default" w:ascii="Times New Roman" w:hAnsi="Times New Roman" w:eastAsia="宋体" w:cs="Times New Roman"/>
                      <w:color w:val="auto"/>
                      <w:kern w:val="0"/>
                      <w:sz w:val="21"/>
                      <w:szCs w:val="21"/>
                      <w:highlight w:val="none"/>
                      <w:lang w:val="en-US" w:eastAsia="zh-CN" w:bidi="ar"/>
                    </w:rPr>
                    <w:t>3.9m</w:t>
                  </w:r>
                  <w:r>
                    <w:rPr>
                      <w:rFonts w:hint="eastAsia" w:ascii="宋体" w:hAnsi="宋体" w:eastAsia="宋体" w:cs="宋体"/>
                      <w:color w:val="auto"/>
                      <w:kern w:val="0"/>
                      <w:sz w:val="21"/>
                      <w:szCs w:val="21"/>
                      <w:highlight w:val="none"/>
                      <w:lang w:val="en-US" w:eastAsia="zh-CN" w:bidi="ar"/>
                    </w:rPr>
                    <w:t>。占地面积</w:t>
                  </w:r>
                  <w:r>
                    <w:rPr>
                      <w:rFonts w:hint="default" w:ascii="Times New Roman" w:hAnsi="Times New Roman" w:eastAsia="宋体" w:cs="Times New Roman"/>
                      <w:color w:val="auto"/>
                      <w:kern w:val="0"/>
                      <w:sz w:val="21"/>
                      <w:szCs w:val="21"/>
                      <w:highlight w:val="none"/>
                      <w:lang w:val="en-US" w:eastAsia="zh-CN" w:bidi="ar"/>
                    </w:rPr>
                    <w:t>为</w:t>
                  </w:r>
                  <w:r>
                    <w:rPr>
                      <w:rFonts w:hint="eastAsia" w:cs="Times New Roman"/>
                      <w:color w:val="auto"/>
                      <w:kern w:val="0"/>
                      <w:sz w:val="21"/>
                      <w:szCs w:val="21"/>
                      <w:highlight w:val="none"/>
                      <w:lang w:val="en-US" w:eastAsia="zh-CN" w:bidi="ar"/>
                    </w:rPr>
                    <w:t>591.67</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eastAsia="宋体"/>
                      <w:color w:val="auto"/>
                      <w:kern w:val="0"/>
                      <w:sz w:val="21"/>
                      <w:szCs w:val="21"/>
                      <w:highlight w:val="none"/>
                    </w:rPr>
                    <w:t>建筑面积</w:t>
                  </w:r>
                  <w:r>
                    <w:rPr>
                      <w:rFonts w:hint="eastAsia"/>
                      <w:color w:val="auto"/>
                      <w:kern w:val="0"/>
                      <w:sz w:val="21"/>
                      <w:szCs w:val="21"/>
                      <w:highlight w:val="none"/>
                      <w:lang w:val="en-US" w:eastAsia="zh-CN"/>
                    </w:rPr>
                    <w:t>1775</w:t>
                  </w:r>
                  <w:r>
                    <w:rPr>
                      <w:rFonts w:hint="default" w:eastAsia="宋体"/>
                      <w:color w:val="auto"/>
                      <w:kern w:val="0"/>
                      <w:sz w:val="21"/>
                      <w:szCs w:val="21"/>
                      <w:highlight w:val="none"/>
                    </w:rPr>
                    <w:t>m</w:t>
                  </w:r>
                  <w:r>
                    <w:rPr>
                      <w:rFonts w:hint="default" w:eastAsia="宋体"/>
                      <w:color w:val="auto"/>
                      <w:kern w:val="0"/>
                      <w:sz w:val="21"/>
                      <w:szCs w:val="21"/>
                      <w:highlight w:val="none"/>
                      <w:vertAlign w:val="superscript"/>
                    </w:rPr>
                    <w:t>2</w:t>
                  </w:r>
                  <w:r>
                    <w:rPr>
                      <w:rFonts w:hint="default" w:eastAsia="宋体"/>
                      <w:color w:val="auto"/>
                      <w:spacing w:val="4"/>
                      <w:sz w:val="21"/>
                      <w:szCs w:val="21"/>
                      <w:highlight w:val="none"/>
                    </w:rPr>
                    <w:t>。</w:t>
                  </w:r>
                </w:p>
              </w:tc>
              <w:tc>
                <w:tcPr>
                  <w:tcW w:w="511" w:type="pct"/>
                  <w:vAlign w:val="center"/>
                </w:tcPr>
                <w:p w14:paraId="1989F9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3"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依托</w:t>
                  </w:r>
                </w:p>
              </w:tc>
            </w:tr>
            <w:tr w14:paraId="0C72A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490" w:type="pct"/>
                  <w:vMerge w:val="continue"/>
                  <w:vAlign w:val="center"/>
                </w:tcPr>
                <w:p w14:paraId="3C22642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783" w:type="pct"/>
                  <w:vAlign w:val="center"/>
                </w:tcPr>
                <w:p w14:paraId="4EDF5C30">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一般固废暂存间</w:t>
                  </w:r>
                </w:p>
              </w:tc>
              <w:tc>
                <w:tcPr>
                  <w:tcW w:w="3214" w:type="pct"/>
                  <w:vAlign w:val="center"/>
                </w:tcPr>
                <w:p w14:paraId="7B42AE39">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竹园沟</w:t>
                  </w:r>
                  <w:r>
                    <w:rPr>
                      <w:rFonts w:hint="default"/>
                      <w:color w:val="auto"/>
                      <w:sz w:val="21"/>
                      <w:szCs w:val="21"/>
                      <w:highlight w:val="none"/>
                      <w:lang w:val="en-US" w:eastAsia="zh-CN"/>
                    </w:rPr>
                    <w:t>光伏发电项目</w:t>
                  </w:r>
                  <w:r>
                    <w:rPr>
                      <w:rFonts w:hint="eastAsia"/>
                      <w:color w:val="auto"/>
                      <w:sz w:val="21"/>
                      <w:szCs w:val="21"/>
                      <w:highlight w:val="none"/>
                      <w:lang w:val="zh-CN" w:eastAsia="zh-CN"/>
                    </w:rPr>
                    <w:t>在综合楼内设置</w:t>
                  </w:r>
                  <w:r>
                    <w:rPr>
                      <w:rFonts w:hint="eastAsia"/>
                      <w:color w:val="auto"/>
                      <w:sz w:val="21"/>
                      <w:szCs w:val="21"/>
                      <w:highlight w:val="none"/>
                      <w:lang w:val="en-US" w:eastAsia="zh-CN"/>
                    </w:rPr>
                    <w:t>1间10</w:t>
                  </w:r>
                  <w:r>
                    <w:rPr>
                      <w:rFonts w:hint="default"/>
                      <w:color w:val="auto"/>
                      <w:sz w:val="21"/>
                      <w:szCs w:val="21"/>
                      <w:highlight w:val="none"/>
                      <w:lang w:val="en-US" w:eastAsia="zh-CN"/>
                    </w:rPr>
                    <w:t>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的一般工业固废暂存间。</w:t>
                  </w:r>
                </w:p>
              </w:tc>
              <w:tc>
                <w:tcPr>
                  <w:tcW w:w="511" w:type="pct"/>
                  <w:vAlign w:val="center"/>
                </w:tcPr>
                <w:p w14:paraId="479C62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依托</w:t>
                  </w:r>
                </w:p>
              </w:tc>
            </w:tr>
            <w:tr w14:paraId="2B4ED2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 w:hRule="atLeast"/>
              </w:trPr>
              <w:tc>
                <w:tcPr>
                  <w:tcW w:w="490" w:type="pct"/>
                  <w:vMerge w:val="continue"/>
                  <w:vAlign w:val="center"/>
                </w:tcPr>
                <w:p w14:paraId="2FE7C75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sz w:val="21"/>
                      <w:szCs w:val="21"/>
                      <w:highlight w:val="none"/>
                      <w:lang w:val="en-US" w:eastAsia="zh-CN"/>
                    </w:rPr>
                  </w:pPr>
                </w:p>
              </w:tc>
              <w:tc>
                <w:tcPr>
                  <w:tcW w:w="783" w:type="pct"/>
                  <w:vAlign w:val="center"/>
                </w:tcPr>
                <w:p w14:paraId="096C84FA">
                  <w:pPr>
                    <w:keepNext w:val="0"/>
                    <w:keepLines w:val="0"/>
                    <w:pageBreakBefore w:val="0"/>
                    <w:widowControl/>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危废贮存库</w:t>
                  </w:r>
                </w:p>
              </w:tc>
              <w:tc>
                <w:tcPr>
                  <w:tcW w:w="3214" w:type="pct"/>
                  <w:vAlign w:val="center"/>
                </w:tcPr>
                <w:p w14:paraId="0D154B27">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竹园沟光伏发电项目</w:t>
                  </w:r>
                  <w:r>
                    <w:rPr>
                      <w:rFonts w:hint="default" w:ascii="Times New Roman" w:hAnsi="Times New Roman" w:eastAsia="宋体" w:cs="Times New Roman"/>
                      <w:color w:val="auto"/>
                      <w:kern w:val="2"/>
                      <w:sz w:val="21"/>
                      <w:szCs w:val="21"/>
                      <w:highlight w:val="none"/>
                      <w:lang w:val="en-US" w:eastAsia="zh-CN" w:bidi="ar-SA"/>
                    </w:rPr>
                    <w:t>在升压站</w:t>
                  </w:r>
                  <w:r>
                    <w:rPr>
                      <w:rFonts w:hint="default" w:ascii="Times New Roman" w:hAnsi="Times New Roman" w:eastAsia="宋体" w:cs="Times New Roman"/>
                      <w:color w:val="auto"/>
                      <w:kern w:val="0"/>
                      <w:sz w:val="21"/>
                      <w:szCs w:val="21"/>
                      <w:highlight w:val="none"/>
                      <w:lang w:eastAsia="zh-CN"/>
                    </w:rPr>
                    <w:t>西</w:t>
                  </w:r>
                  <w:r>
                    <w:rPr>
                      <w:rFonts w:hint="default" w:ascii="Times New Roman" w:hAnsi="Times New Roman" w:eastAsia="宋体" w:cs="Times New Roman"/>
                      <w:color w:val="auto"/>
                      <w:kern w:val="0"/>
                      <w:sz w:val="21"/>
                      <w:szCs w:val="21"/>
                      <w:highlight w:val="none"/>
                      <w:lang w:val="en-US" w:eastAsia="zh-CN"/>
                    </w:rPr>
                    <w:t>部设置1间</w:t>
                  </w:r>
                  <w:r>
                    <w:rPr>
                      <w:rFonts w:hint="eastAsia" w:eastAsia="宋体" w:cs="Times New Roman"/>
                      <w:color w:val="auto"/>
                      <w:kern w:val="0"/>
                      <w:sz w:val="21"/>
                      <w:szCs w:val="21"/>
                      <w:highlight w:val="none"/>
                      <w:lang w:val="en-US" w:eastAsia="zh-CN"/>
                    </w:rPr>
                    <w:t>42.25</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为单层钢筋混凝土框架结构，层高3.</w:t>
                  </w:r>
                  <w:r>
                    <w:rPr>
                      <w:rFonts w:hint="eastAsia" w:eastAsia="宋体"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sz w:val="21"/>
                      <w:szCs w:val="21"/>
                      <w:highlight w:val="none"/>
                      <w:lang w:val="en-US" w:eastAsia="zh-CN"/>
                    </w:rPr>
                    <w:t>危废贮存库</w:t>
                  </w:r>
                  <w:r>
                    <w:rPr>
                      <w:rFonts w:hint="default" w:ascii="Times New Roman" w:hAnsi="Times New Roman" w:eastAsia="宋体" w:cs="Times New Roman"/>
                      <w:color w:val="auto"/>
                      <w:kern w:val="2"/>
                      <w:sz w:val="21"/>
                      <w:szCs w:val="21"/>
                      <w:highlight w:val="none"/>
                      <w:lang w:val="en-US" w:eastAsia="zh-CN" w:bidi="ar-SA"/>
                    </w:rPr>
                    <w:t>应严格按照《危险废物储存污染控制标准》（GB18597-2023）要求进行建设，地面用C30混凝土浇筑20cm进行硬化，同时地面和四周墙体须用防渗材料进行处理，墙体处理高度为1m左右，使渗透系数≤10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c>
                <w:tcPr>
                  <w:tcW w:w="511" w:type="pct"/>
                  <w:vAlign w:val="center"/>
                </w:tcPr>
                <w:p w14:paraId="11CA41AA">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依托</w:t>
                  </w:r>
                </w:p>
              </w:tc>
            </w:tr>
            <w:tr w14:paraId="4DDCD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26" w:hRule="atLeast"/>
              </w:trPr>
              <w:tc>
                <w:tcPr>
                  <w:tcW w:w="490" w:type="pct"/>
                  <w:vAlign w:val="center"/>
                </w:tcPr>
                <w:p w14:paraId="10467C23">
                  <w:pPr>
                    <w:pStyle w:val="7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default" w:eastAsia="宋体"/>
                      <w:color w:val="auto"/>
                      <w:sz w:val="21"/>
                      <w:szCs w:val="21"/>
                      <w:highlight w:val="none"/>
                    </w:rPr>
                  </w:pPr>
                  <w:r>
                    <w:rPr>
                      <w:rFonts w:hint="default" w:eastAsia="宋体"/>
                      <w:color w:val="auto"/>
                      <w:sz w:val="21"/>
                      <w:szCs w:val="21"/>
                      <w:highlight w:val="none"/>
                    </w:rPr>
                    <w:t>临时工程</w:t>
                  </w:r>
                </w:p>
              </w:tc>
              <w:tc>
                <w:tcPr>
                  <w:tcW w:w="783" w:type="pct"/>
                  <w:vAlign w:val="center"/>
                </w:tcPr>
                <w:p w14:paraId="3FDE58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eastAsia="zh-CN"/>
                    </w:rPr>
                    <w:t>施工营地</w:t>
                  </w:r>
                </w:p>
              </w:tc>
              <w:tc>
                <w:tcPr>
                  <w:tcW w:w="3214" w:type="pct"/>
                  <w:vAlign w:val="center"/>
                </w:tcPr>
                <w:p w14:paraId="143825A0">
                  <w:pPr>
                    <w:pStyle w:val="140"/>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284" w:lineRule="exact"/>
                    <w:ind w:left="0" w:leftChars="0" w:right="0" w:rightChars="0" w:firstLine="0" w:firstLineChars="0"/>
                    <w:textAlignment w:val="auto"/>
                    <w:rPr>
                      <w:rFonts w:hint="eastAsia" w:ascii="宋体" w:hAnsi="宋体" w:eastAsia="宋体" w:cs="宋体"/>
                      <w:color w:val="auto"/>
                      <w:kern w:val="0"/>
                      <w:sz w:val="21"/>
                      <w:szCs w:val="21"/>
                      <w:highlight w:val="none"/>
                      <w:vertAlign w:val="baseline"/>
                      <w:lang w:val="en-US" w:eastAsia="zh-CN" w:bidi="ar"/>
                    </w:rPr>
                  </w:pPr>
                  <w:r>
                    <w:rPr>
                      <w:rFonts w:hint="default"/>
                      <w:color w:val="auto"/>
                      <w:highlight w:val="none"/>
                    </w:rPr>
                    <w:t>位于13#太阳能光伏阵列东侧平缓区域内</w:t>
                  </w:r>
                  <w:r>
                    <w:rPr>
                      <w:rFonts w:hint="eastAsia"/>
                      <w:color w:val="auto"/>
                      <w:highlight w:val="none"/>
                      <w:lang w:eastAsia="zh-CN"/>
                    </w:rPr>
                    <w:t>，</w:t>
                  </w:r>
                  <w:r>
                    <w:rPr>
                      <w:rFonts w:hint="default"/>
                      <w:color w:val="auto"/>
                      <w:highlight w:val="none"/>
                    </w:rPr>
                    <w:t>占地面积约0.25hm</w:t>
                  </w:r>
                  <w:r>
                    <w:rPr>
                      <w:rFonts w:hint="default"/>
                      <w:color w:val="auto"/>
                      <w:highlight w:val="none"/>
                      <w:vertAlign w:val="superscript"/>
                    </w:rPr>
                    <w:t>2</w:t>
                  </w:r>
                  <w:r>
                    <w:rPr>
                      <w:rFonts w:hint="eastAsia"/>
                      <w:color w:val="auto"/>
                      <w:highlight w:val="none"/>
                      <w:vertAlign w:val="baseline"/>
                      <w:lang w:eastAsia="zh-CN"/>
                    </w:rPr>
                    <w:t>。主要用作仓库、钢结构加工</w:t>
                  </w:r>
                  <w:r>
                    <w:rPr>
                      <w:rFonts w:hint="eastAsia"/>
                      <w:color w:val="auto"/>
                      <w:sz w:val="21"/>
                      <w:szCs w:val="21"/>
                      <w:lang w:eastAsia="zh-CN"/>
                    </w:rPr>
                    <w:t>（</w:t>
                  </w:r>
                  <w:r>
                    <w:rPr>
                      <w:rFonts w:hint="eastAsia"/>
                      <w:color w:val="auto"/>
                      <w:sz w:val="21"/>
                      <w:szCs w:val="21"/>
                      <w:lang w:val="en-US" w:eastAsia="zh-CN"/>
                    </w:rPr>
                    <w:t>仅涉及调直、剪切、折弯工段</w:t>
                  </w:r>
                  <w:r>
                    <w:rPr>
                      <w:rFonts w:hint="eastAsia"/>
                      <w:color w:val="auto"/>
                      <w:sz w:val="21"/>
                      <w:szCs w:val="21"/>
                      <w:lang w:eastAsia="zh-CN"/>
                    </w:rPr>
                    <w:t>）</w:t>
                  </w:r>
                  <w:r>
                    <w:rPr>
                      <w:rFonts w:hint="eastAsia"/>
                      <w:color w:val="auto"/>
                      <w:highlight w:val="none"/>
                      <w:vertAlign w:val="baseline"/>
                      <w:lang w:eastAsia="zh-CN"/>
                    </w:rPr>
                    <w:t>及堆放、太阳电池组件堆放，材料加工。</w:t>
                  </w:r>
                </w:p>
              </w:tc>
              <w:tc>
                <w:tcPr>
                  <w:tcW w:w="511" w:type="pct"/>
                  <w:vAlign w:val="center"/>
                </w:tcPr>
                <w:p w14:paraId="0D1AB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84" w:lineRule="exact"/>
                    <w:ind w:left="0" w:leftChars="0" w:right="0" w:rightChars="0" w:firstLine="0" w:firstLineChars="0"/>
                    <w:jc w:val="center"/>
                    <w:textAlignment w:val="auto"/>
                    <w:rPr>
                      <w:rFonts w:hint="eastAsia"/>
                      <w:color w:val="auto"/>
                      <w:sz w:val="21"/>
                      <w:szCs w:val="21"/>
                      <w:highlight w:val="none"/>
                    </w:rPr>
                  </w:pPr>
                  <w:r>
                    <w:rPr>
                      <w:rFonts w:hint="eastAsia" w:cs="Times New Roman"/>
                      <w:color w:val="auto"/>
                      <w:kern w:val="2"/>
                      <w:sz w:val="21"/>
                      <w:szCs w:val="21"/>
                      <w:highlight w:val="none"/>
                      <w:lang w:val="en-US" w:eastAsia="zh-CN" w:bidi="ar-SA"/>
                    </w:rPr>
                    <w:t>新建</w:t>
                  </w:r>
                </w:p>
              </w:tc>
            </w:tr>
          </w:tbl>
          <w:p w14:paraId="6C0E2B7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eastAsia"/>
                <w:b/>
                <w:bCs/>
                <w:color w:val="auto"/>
                <w:kern w:val="0"/>
                <w:sz w:val="24"/>
                <w:highlight w:val="none"/>
                <w:shd w:val="clear" w:color="auto" w:fill="auto"/>
              </w:rPr>
            </w:pPr>
            <w:r>
              <w:rPr>
                <w:rFonts w:hint="eastAsia"/>
                <w:b/>
                <w:bCs/>
                <w:color w:val="auto"/>
                <w:kern w:val="0"/>
                <w:sz w:val="24"/>
                <w:highlight w:val="none"/>
                <w:lang w:val="en-US" w:eastAsia="zh-CN"/>
              </w:rPr>
              <w:t>（一）光伏阵列区</w:t>
            </w:r>
          </w:p>
          <w:p w14:paraId="354F0BDB">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rPr>
              <w:t>1、</w:t>
            </w:r>
            <w:r>
              <w:rPr>
                <w:rFonts w:hint="default" w:ascii="Times New Roman" w:hAnsi="Times New Roman" w:cs="Times New Roman"/>
                <w:b/>
                <w:bCs/>
                <w:color w:val="auto"/>
                <w:kern w:val="0"/>
                <w:sz w:val="24"/>
                <w:szCs w:val="24"/>
                <w:highlight w:val="none"/>
                <w:shd w:val="clear" w:color="auto" w:fill="auto"/>
                <w:lang w:eastAsia="zh-CN"/>
              </w:rPr>
              <w:t>光伏</w:t>
            </w:r>
            <w:r>
              <w:rPr>
                <w:rFonts w:hint="eastAsia" w:cs="Times New Roman"/>
                <w:b/>
                <w:bCs/>
                <w:color w:val="auto"/>
                <w:kern w:val="0"/>
                <w:sz w:val="24"/>
                <w:szCs w:val="24"/>
                <w:highlight w:val="none"/>
                <w:shd w:val="clear" w:color="auto" w:fill="auto"/>
                <w:lang w:val="en-US" w:eastAsia="zh-CN"/>
              </w:rPr>
              <w:t>阵列</w:t>
            </w:r>
          </w:p>
          <w:p w14:paraId="5331E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本项目规划装机容量为</w:t>
            </w:r>
            <w:r>
              <w:rPr>
                <w:rFonts w:hint="eastAsia"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MW</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采用</w:t>
            </w:r>
            <w:r>
              <w:rPr>
                <w:rFonts w:hint="eastAsia" w:cs="Times New Roman"/>
                <w:color w:val="auto"/>
                <w:sz w:val="24"/>
                <w:szCs w:val="24"/>
                <w:highlight w:val="none"/>
                <w:lang w:val="en-US" w:eastAsia="zh-CN"/>
              </w:rPr>
              <w:t>108888块590Wp单晶硅N型光伏组件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本项目共设计</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个光伏发电单元。</w:t>
            </w:r>
          </w:p>
          <w:p w14:paraId="299DC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电池组件尺寸2278×1134×</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mm，电池组件固定支架结合组件排列方式布置，支架倾斜角度为</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，采用横向檩条，纵向支架布置方案。一个结构单元内有4榀支架，支架由立柱、横梁及斜撑（或拉梁）组成。</w:t>
            </w:r>
          </w:p>
          <w:p w14:paraId="5596366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光伏支架采用单立柱钢支架结构，组件最小离地高度为2.5m。支架基础采用混凝土灌注桩基础及岩石锚杆基础。灌注桩基础桩基采用直径为300mm，桩深2.0m的混凝土灌注桩，桩顶高出地面0.5m，上部预埋钢管与支架立柱采用螺栓连接。岩石锚杆基础钻孔直径为70mm，锚杆为直径20的三级钢，锚杆锚入岩石的有效长度不小于800mm，每根立柱下设置3根锚杆，通过混凝土承台与支架立柱连接。</w:t>
            </w:r>
          </w:p>
          <w:p w14:paraId="56615FB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经比选，本项目拟采用</w:t>
            </w:r>
            <w:r>
              <w:rPr>
                <w:rFonts w:hint="eastAsia" w:cs="Times New Roman"/>
                <w:color w:val="auto"/>
                <w:sz w:val="24"/>
                <w:szCs w:val="24"/>
                <w:highlight w:val="none"/>
                <w:lang w:val="en-US" w:eastAsia="zh-CN"/>
              </w:rPr>
              <w:t>590Wp</w:t>
            </w:r>
            <w:r>
              <w:rPr>
                <w:rFonts w:hint="default" w:ascii="Times New Roman" w:hAnsi="Times New Roman" w:eastAsia="宋体" w:cs="Times New Roman"/>
                <w:color w:val="auto"/>
                <w:sz w:val="24"/>
                <w:szCs w:val="24"/>
                <w:highlight w:val="none"/>
                <w:lang w:val="en-US" w:eastAsia="zh-CN"/>
              </w:rPr>
              <w:t>的单晶硅双面光伏组件</w:t>
            </w:r>
            <w:r>
              <w:rPr>
                <w:rFonts w:hint="default" w:ascii="Times New Roman" w:hAnsi="Times New Roman" w:eastAsia="宋体" w:cs="Times New Roman"/>
                <w:color w:val="auto"/>
                <w:sz w:val="24"/>
                <w:szCs w:val="24"/>
                <w:highlight w:val="none"/>
                <w:lang w:eastAsia="zh-CN"/>
              </w:rPr>
              <w:t>进行光伏发电的系统设计。</w:t>
            </w:r>
          </w:p>
          <w:p w14:paraId="1067E16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kern w:val="0"/>
                <w:sz w:val="21"/>
                <w:szCs w:val="21"/>
                <w:highlight w:val="none"/>
                <w:shd w:val="clear" w:color="auto" w:fill="auto"/>
                <w:lang w:eastAsia="zh-CN"/>
              </w:rPr>
            </w:pPr>
            <w:r>
              <w:rPr>
                <w:rFonts w:hint="default" w:ascii="Times New Roman" w:hAnsi="Times New Roman" w:cs="Times New Roman"/>
                <w:b/>
                <w:bCs/>
                <w:color w:val="auto"/>
                <w:kern w:val="0"/>
                <w:sz w:val="21"/>
                <w:szCs w:val="21"/>
                <w:highlight w:val="none"/>
                <w:shd w:val="clear" w:color="auto" w:fill="auto"/>
                <w:lang w:eastAsia="zh-CN"/>
              </w:rPr>
              <w:t>表</w:t>
            </w:r>
            <w:r>
              <w:rPr>
                <w:rFonts w:hint="eastAsia" w:ascii="Times New Roman" w:hAnsi="Times New Roman" w:cs="Times New Roman"/>
                <w:b/>
                <w:bCs/>
                <w:color w:val="auto"/>
                <w:kern w:val="0"/>
                <w:sz w:val="21"/>
                <w:szCs w:val="21"/>
                <w:highlight w:val="none"/>
                <w:shd w:val="clear" w:color="auto" w:fill="auto"/>
                <w:lang w:val="en-US" w:eastAsia="zh-CN"/>
              </w:rPr>
              <w:t>2-</w:t>
            </w:r>
            <w:r>
              <w:rPr>
                <w:rFonts w:hint="eastAsia" w:cs="Times New Roman"/>
                <w:b/>
                <w:bCs/>
                <w:color w:val="auto"/>
                <w:kern w:val="0"/>
                <w:sz w:val="21"/>
                <w:szCs w:val="21"/>
                <w:highlight w:val="none"/>
                <w:shd w:val="clear" w:color="auto" w:fill="auto"/>
                <w:lang w:val="en-US" w:eastAsia="zh-CN"/>
              </w:rPr>
              <w:t>2</w:t>
            </w:r>
            <w:r>
              <w:rPr>
                <w:rFonts w:hint="eastAsia" w:ascii="Times New Roman" w:hAnsi="Times New Roman" w:cs="Times New Roman"/>
                <w:b/>
                <w:bCs/>
                <w:color w:val="auto"/>
                <w:kern w:val="0"/>
                <w:sz w:val="21"/>
                <w:szCs w:val="21"/>
                <w:highlight w:val="none"/>
                <w:shd w:val="clear" w:color="auto" w:fill="auto"/>
                <w:lang w:val="en-US" w:eastAsia="zh-CN"/>
              </w:rPr>
              <w:t xml:space="preserve"> </w:t>
            </w:r>
            <w:r>
              <w:rPr>
                <w:rFonts w:hint="eastAsia" w:cs="Times New Roman"/>
                <w:b/>
                <w:bCs/>
                <w:color w:val="auto"/>
                <w:kern w:val="0"/>
                <w:sz w:val="21"/>
                <w:szCs w:val="21"/>
                <w:highlight w:val="none"/>
                <w:shd w:val="clear" w:color="auto" w:fill="auto"/>
                <w:lang w:val="en-US" w:eastAsia="zh-CN"/>
              </w:rPr>
              <w:t xml:space="preserve"> </w:t>
            </w:r>
            <w:r>
              <w:rPr>
                <w:rFonts w:hint="eastAsia" w:cs="Times New Roman"/>
                <w:b/>
                <w:bCs/>
                <w:color w:val="auto"/>
                <w:kern w:val="0"/>
                <w:sz w:val="21"/>
                <w:szCs w:val="21"/>
                <w:highlight w:val="none"/>
                <w:shd w:val="clear" w:color="auto" w:fill="auto"/>
                <w:lang w:eastAsia="zh-CN"/>
              </w:rPr>
              <w:t>590Wp</w:t>
            </w:r>
            <w:r>
              <w:rPr>
                <w:rFonts w:hint="default" w:ascii="Times New Roman" w:hAnsi="Times New Roman" w:cs="Times New Roman"/>
                <w:b/>
                <w:bCs/>
                <w:color w:val="auto"/>
                <w:kern w:val="0"/>
                <w:sz w:val="21"/>
                <w:szCs w:val="21"/>
                <w:highlight w:val="none"/>
                <w:shd w:val="clear" w:color="auto" w:fill="auto"/>
                <w:lang w:eastAsia="zh-CN"/>
              </w:rPr>
              <w:t>单晶</w:t>
            </w:r>
            <w:r>
              <w:rPr>
                <w:rFonts w:hint="eastAsia" w:cs="Times New Roman"/>
                <w:b/>
                <w:bCs/>
                <w:color w:val="auto"/>
                <w:kern w:val="0"/>
                <w:sz w:val="21"/>
                <w:szCs w:val="21"/>
                <w:highlight w:val="none"/>
                <w:shd w:val="clear" w:color="auto" w:fill="auto"/>
                <w:lang w:eastAsia="zh-CN"/>
              </w:rPr>
              <w:t>太阳能电池组件主要性能</w:t>
            </w:r>
            <w:r>
              <w:rPr>
                <w:rFonts w:hint="default" w:ascii="Times New Roman" w:hAnsi="Times New Roman" w:cs="Times New Roman"/>
                <w:b/>
                <w:bCs/>
                <w:color w:val="auto"/>
                <w:kern w:val="0"/>
                <w:sz w:val="21"/>
                <w:szCs w:val="21"/>
                <w:highlight w:val="none"/>
                <w:shd w:val="clear" w:color="auto" w:fill="auto"/>
                <w:lang w:eastAsia="zh-CN"/>
              </w:rPr>
              <w:t>参数</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8"/>
              <w:gridCol w:w="1582"/>
              <w:gridCol w:w="2159"/>
              <w:gridCol w:w="1889"/>
            </w:tblGrid>
            <w:tr w14:paraId="3B75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60" w:type="pct"/>
                  <w:noWrap w:val="0"/>
                  <w:vAlign w:val="center"/>
                </w:tcPr>
                <w:p w14:paraId="1C7BCEE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highlight w:val="none"/>
                      <w:vertAlign w:val="baseline"/>
                      <w:lang w:eastAsia="zh-CN"/>
                    </w:rPr>
                  </w:pPr>
                  <w:r>
                    <w:rPr>
                      <w:rFonts w:hint="eastAsia" w:ascii="Times New Roman" w:hAnsi="Times New Roman" w:cs="Times New Roman"/>
                      <w:b/>
                      <w:bCs/>
                      <w:color w:val="auto"/>
                      <w:kern w:val="0"/>
                      <w:sz w:val="21"/>
                      <w:szCs w:val="21"/>
                      <w:highlight w:val="none"/>
                      <w:vertAlign w:val="baseline"/>
                      <w:lang w:eastAsia="zh-CN"/>
                    </w:rPr>
                    <w:t>项目</w:t>
                  </w:r>
                </w:p>
              </w:tc>
              <w:tc>
                <w:tcPr>
                  <w:tcW w:w="1050" w:type="pct"/>
                  <w:noWrap w:val="0"/>
                  <w:vAlign w:val="center"/>
                </w:tcPr>
                <w:p w14:paraId="02B4D8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b/>
                      <w:bCs/>
                      <w:color w:val="auto"/>
                      <w:kern w:val="0"/>
                      <w:sz w:val="21"/>
                      <w:szCs w:val="21"/>
                      <w:highlight w:val="none"/>
                      <w:vertAlign w:val="baseline"/>
                      <w:lang w:eastAsia="zh-CN"/>
                    </w:rPr>
                  </w:pPr>
                  <w:r>
                    <w:rPr>
                      <w:rFonts w:hint="eastAsia" w:ascii="Times New Roman" w:hAnsi="Times New Roman" w:cs="Times New Roman"/>
                      <w:b/>
                      <w:bCs/>
                      <w:color w:val="auto"/>
                      <w:kern w:val="0"/>
                      <w:sz w:val="21"/>
                      <w:szCs w:val="21"/>
                      <w:highlight w:val="none"/>
                      <w:vertAlign w:val="baseline"/>
                      <w:lang w:eastAsia="zh-CN"/>
                    </w:rPr>
                    <w:t>参数</w:t>
                  </w:r>
                </w:p>
              </w:tc>
              <w:tc>
                <w:tcPr>
                  <w:tcW w:w="1433" w:type="pct"/>
                  <w:noWrap w:val="0"/>
                  <w:vAlign w:val="center"/>
                </w:tcPr>
                <w:p w14:paraId="76E039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ascii="Times New Roman" w:hAnsi="Times New Roman" w:cs="Times New Roman"/>
                      <w:b/>
                      <w:bCs/>
                      <w:color w:val="auto"/>
                      <w:kern w:val="0"/>
                      <w:sz w:val="21"/>
                      <w:szCs w:val="21"/>
                      <w:highlight w:val="none"/>
                      <w:vertAlign w:val="baseline"/>
                      <w:lang w:eastAsia="zh-CN"/>
                    </w:rPr>
                    <w:t>项目</w:t>
                  </w:r>
                </w:p>
              </w:tc>
              <w:tc>
                <w:tcPr>
                  <w:tcW w:w="1254" w:type="pct"/>
                  <w:noWrap w:val="0"/>
                  <w:vAlign w:val="center"/>
                </w:tcPr>
                <w:p w14:paraId="5B1C35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bCs/>
                      <w:color w:val="auto"/>
                      <w:kern w:val="0"/>
                      <w:sz w:val="21"/>
                      <w:szCs w:val="21"/>
                      <w:highlight w:val="none"/>
                      <w:vertAlign w:val="baseline"/>
                      <w:lang w:val="en-US" w:eastAsia="zh-CN" w:bidi="ar-SA"/>
                    </w:rPr>
                  </w:pPr>
                  <w:r>
                    <w:rPr>
                      <w:rFonts w:hint="eastAsia" w:ascii="Times New Roman" w:hAnsi="Times New Roman" w:cs="Times New Roman"/>
                      <w:b/>
                      <w:bCs/>
                      <w:color w:val="auto"/>
                      <w:kern w:val="0"/>
                      <w:sz w:val="21"/>
                      <w:szCs w:val="21"/>
                      <w:highlight w:val="none"/>
                      <w:vertAlign w:val="baseline"/>
                      <w:lang w:eastAsia="zh-CN"/>
                    </w:rPr>
                    <w:t>参数</w:t>
                  </w:r>
                </w:p>
              </w:tc>
            </w:tr>
            <w:tr w14:paraId="1161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08FBCF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eastAsia="zh-CN"/>
                    </w:rPr>
                  </w:pPr>
                  <w:r>
                    <w:rPr>
                      <w:rFonts w:hint="eastAsia" w:ascii="Times New Roman" w:hAnsi="Times New Roman" w:cs="Times New Roman"/>
                      <w:color w:val="auto"/>
                      <w:kern w:val="0"/>
                      <w:sz w:val="21"/>
                      <w:szCs w:val="21"/>
                      <w:highlight w:val="none"/>
                      <w:vertAlign w:val="baseline"/>
                      <w:lang w:eastAsia="zh-CN"/>
                    </w:rPr>
                    <w:t>功率（</w:t>
                  </w:r>
                  <w:r>
                    <w:rPr>
                      <w:rFonts w:hint="eastAsia" w:ascii="Times New Roman" w:hAnsi="Times New Roman" w:cs="Times New Roman"/>
                      <w:color w:val="auto"/>
                      <w:kern w:val="0"/>
                      <w:sz w:val="21"/>
                      <w:szCs w:val="21"/>
                      <w:highlight w:val="none"/>
                      <w:vertAlign w:val="baseline"/>
                      <w:lang w:val="en-US" w:eastAsia="zh-CN"/>
                    </w:rPr>
                    <w:t>Pmax</w:t>
                  </w:r>
                  <w:r>
                    <w:rPr>
                      <w:rFonts w:hint="eastAsia" w:ascii="Times New Roman" w:hAnsi="Times New Roman" w:cs="Times New Roman"/>
                      <w:color w:val="auto"/>
                      <w:kern w:val="0"/>
                      <w:sz w:val="21"/>
                      <w:szCs w:val="21"/>
                      <w:highlight w:val="none"/>
                      <w:vertAlign w:val="baseline"/>
                      <w:lang w:eastAsia="zh-CN"/>
                    </w:rPr>
                    <w:t>）</w:t>
                  </w:r>
                </w:p>
              </w:tc>
              <w:tc>
                <w:tcPr>
                  <w:tcW w:w="1050" w:type="pct"/>
                  <w:noWrap w:val="0"/>
                  <w:vAlign w:val="center"/>
                </w:tcPr>
                <w:p w14:paraId="5194C5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590Wp</w:t>
                  </w:r>
                </w:p>
              </w:tc>
              <w:tc>
                <w:tcPr>
                  <w:tcW w:w="1433" w:type="pct"/>
                  <w:noWrap w:val="0"/>
                  <w:vAlign w:val="center"/>
                </w:tcPr>
                <w:p w14:paraId="3F29D3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eastAsia="zh-CN"/>
                    </w:rPr>
                    <w:t>组件尺寸（</w:t>
                  </w:r>
                  <w:r>
                    <w:rPr>
                      <w:rFonts w:hint="eastAsia" w:ascii="Times New Roman" w:hAnsi="Times New Roman" w:cs="Times New Roman"/>
                      <w:color w:val="auto"/>
                      <w:kern w:val="0"/>
                      <w:sz w:val="21"/>
                      <w:szCs w:val="21"/>
                      <w:highlight w:val="none"/>
                      <w:vertAlign w:val="baseline"/>
                      <w:lang w:val="en-US" w:eastAsia="zh-CN"/>
                    </w:rPr>
                    <w:t>mm</w:t>
                  </w:r>
                  <w:r>
                    <w:rPr>
                      <w:rFonts w:hint="eastAsia" w:ascii="Times New Roman" w:hAnsi="Times New Roman" w:cs="Times New Roman"/>
                      <w:color w:val="auto"/>
                      <w:kern w:val="0"/>
                      <w:sz w:val="21"/>
                      <w:szCs w:val="21"/>
                      <w:highlight w:val="none"/>
                      <w:vertAlign w:val="baseline"/>
                      <w:lang w:eastAsia="zh-CN"/>
                    </w:rPr>
                    <w:t>）</w:t>
                  </w:r>
                </w:p>
              </w:tc>
              <w:tc>
                <w:tcPr>
                  <w:tcW w:w="1254" w:type="pct"/>
                  <w:noWrap w:val="0"/>
                  <w:vAlign w:val="center"/>
                </w:tcPr>
                <w:p w14:paraId="35B2E91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2278×1134×3</w:t>
                  </w:r>
                  <w:r>
                    <w:rPr>
                      <w:rFonts w:hint="eastAsia" w:cs="Times New Roman"/>
                      <w:color w:val="auto"/>
                      <w:kern w:val="0"/>
                      <w:sz w:val="21"/>
                      <w:szCs w:val="21"/>
                      <w:highlight w:val="none"/>
                      <w:vertAlign w:val="baseline"/>
                      <w:lang w:val="en-US" w:eastAsia="zh-CN"/>
                    </w:rPr>
                    <w:t>0</w:t>
                  </w:r>
                </w:p>
              </w:tc>
            </w:tr>
            <w:tr w14:paraId="6CEA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CBCD22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eastAsia="zh-CN"/>
                    </w:rPr>
                  </w:pPr>
                  <w:r>
                    <w:rPr>
                      <w:rFonts w:hint="eastAsia" w:ascii="Times New Roman" w:hAnsi="Times New Roman" w:cs="Times New Roman"/>
                      <w:color w:val="auto"/>
                      <w:kern w:val="0"/>
                      <w:sz w:val="21"/>
                      <w:szCs w:val="21"/>
                      <w:highlight w:val="none"/>
                      <w:vertAlign w:val="baseline"/>
                      <w:lang w:eastAsia="zh-CN"/>
                    </w:rPr>
                    <w:t>开路电压（</w:t>
                  </w:r>
                  <w:r>
                    <w:rPr>
                      <w:rFonts w:hint="eastAsia" w:ascii="Times New Roman" w:hAnsi="Times New Roman" w:cs="Times New Roman"/>
                      <w:color w:val="auto"/>
                      <w:kern w:val="0"/>
                      <w:sz w:val="21"/>
                      <w:szCs w:val="21"/>
                      <w:highlight w:val="none"/>
                      <w:vertAlign w:val="baseline"/>
                      <w:lang w:val="en-US" w:eastAsia="zh-CN"/>
                    </w:rPr>
                    <w:t>Voc</w:t>
                  </w:r>
                  <w:r>
                    <w:rPr>
                      <w:rFonts w:hint="eastAsia" w:ascii="Times New Roman" w:hAnsi="Times New Roman" w:cs="Times New Roman"/>
                      <w:color w:val="auto"/>
                      <w:kern w:val="0"/>
                      <w:sz w:val="21"/>
                      <w:szCs w:val="21"/>
                      <w:highlight w:val="none"/>
                      <w:vertAlign w:val="baseline"/>
                      <w:lang w:eastAsia="zh-CN"/>
                    </w:rPr>
                    <w:t>）</w:t>
                  </w:r>
                </w:p>
              </w:tc>
              <w:tc>
                <w:tcPr>
                  <w:tcW w:w="1050" w:type="pct"/>
                  <w:noWrap w:val="0"/>
                  <w:vAlign w:val="center"/>
                </w:tcPr>
                <w:p w14:paraId="6F21FC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52.7</w:t>
                  </w:r>
                  <w:r>
                    <w:rPr>
                      <w:rFonts w:hint="eastAsia" w:ascii="Times New Roman" w:hAnsi="Times New Roman" w:cs="Times New Roman"/>
                      <w:color w:val="auto"/>
                      <w:kern w:val="0"/>
                      <w:sz w:val="21"/>
                      <w:szCs w:val="21"/>
                      <w:highlight w:val="none"/>
                      <w:vertAlign w:val="baseline"/>
                      <w:lang w:val="en-US" w:eastAsia="zh-CN"/>
                    </w:rPr>
                    <w:t>V</w:t>
                  </w:r>
                </w:p>
              </w:tc>
              <w:tc>
                <w:tcPr>
                  <w:tcW w:w="1433" w:type="pct"/>
                  <w:noWrap w:val="0"/>
                  <w:vAlign w:val="center"/>
                </w:tcPr>
                <w:p w14:paraId="056F232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工作电压</w:t>
                  </w:r>
                  <w:r>
                    <w:rPr>
                      <w:rFonts w:hint="eastAsia" w:cs="Times New Roman"/>
                      <w:color w:val="auto"/>
                      <w:kern w:val="0"/>
                      <w:sz w:val="21"/>
                      <w:szCs w:val="21"/>
                      <w:highlight w:val="none"/>
                      <w:vertAlign w:val="baseline"/>
                      <w:lang w:eastAsia="zh-CN"/>
                    </w:rPr>
                    <w:t>（</w:t>
                  </w:r>
                  <w:r>
                    <w:rPr>
                      <w:rFonts w:hint="default" w:ascii="Times New Roman" w:hAnsi="Times New Roman" w:cs="Times New Roman"/>
                      <w:color w:val="auto"/>
                      <w:kern w:val="0"/>
                      <w:sz w:val="21"/>
                      <w:szCs w:val="21"/>
                      <w:highlight w:val="none"/>
                      <w:vertAlign w:val="baseline"/>
                      <w:lang w:eastAsia="zh-CN"/>
                    </w:rPr>
                    <w:t>Vmp</w:t>
                  </w:r>
                  <w:r>
                    <w:rPr>
                      <w:rFonts w:hint="eastAsia" w:cs="Times New Roman"/>
                      <w:color w:val="auto"/>
                      <w:kern w:val="0"/>
                      <w:sz w:val="21"/>
                      <w:szCs w:val="21"/>
                      <w:highlight w:val="none"/>
                      <w:vertAlign w:val="baseline"/>
                      <w:lang w:eastAsia="zh-CN"/>
                    </w:rPr>
                    <w:t>）</w:t>
                  </w:r>
                </w:p>
              </w:tc>
              <w:tc>
                <w:tcPr>
                  <w:tcW w:w="1254" w:type="pct"/>
                  <w:noWrap w:val="0"/>
                  <w:vAlign w:val="center"/>
                </w:tcPr>
                <w:p w14:paraId="4B3C2D1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44.27</w:t>
                  </w:r>
                  <w:r>
                    <w:rPr>
                      <w:rFonts w:hint="eastAsia" w:ascii="Times New Roman" w:hAnsi="Times New Roman" w:cs="Times New Roman"/>
                      <w:color w:val="auto"/>
                      <w:kern w:val="0"/>
                      <w:sz w:val="21"/>
                      <w:szCs w:val="21"/>
                      <w:highlight w:val="none"/>
                      <w:vertAlign w:val="baseline"/>
                      <w:lang w:val="en-US" w:eastAsia="zh-CN"/>
                    </w:rPr>
                    <w:t>V</w:t>
                  </w:r>
                </w:p>
              </w:tc>
            </w:tr>
            <w:tr w14:paraId="6223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4F4BD5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eastAsia="zh-CN"/>
                    </w:rPr>
                  </w:pPr>
                  <w:r>
                    <w:rPr>
                      <w:rFonts w:hint="eastAsia" w:ascii="Times New Roman" w:hAnsi="Times New Roman" w:cs="Times New Roman"/>
                      <w:color w:val="auto"/>
                      <w:kern w:val="0"/>
                      <w:sz w:val="21"/>
                      <w:szCs w:val="21"/>
                      <w:highlight w:val="none"/>
                      <w:vertAlign w:val="baseline"/>
                      <w:lang w:eastAsia="zh-CN"/>
                    </w:rPr>
                    <w:t>短路电流（</w:t>
                  </w:r>
                  <w:r>
                    <w:rPr>
                      <w:rFonts w:hint="eastAsia" w:ascii="Times New Roman" w:hAnsi="Times New Roman" w:cs="Times New Roman"/>
                      <w:color w:val="auto"/>
                      <w:kern w:val="0"/>
                      <w:sz w:val="21"/>
                      <w:szCs w:val="21"/>
                      <w:highlight w:val="none"/>
                      <w:vertAlign w:val="baseline"/>
                      <w:lang w:val="en-US" w:eastAsia="zh-CN"/>
                    </w:rPr>
                    <w:t>Isc</w:t>
                  </w:r>
                  <w:r>
                    <w:rPr>
                      <w:rFonts w:hint="eastAsia" w:ascii="Times New Roman" w:hAnsi="Times New Roman" w:cs="Times New Roman"/>
                      <w:color w:val="auto"/>
                      <w:kern w:val="0"/>
                      <w:sz w:val="21"/>
                      <w:szCs w:val="21"/>
                      <w:highlight w:val="none"/>
                      <w:vertAlign w:val="baseline"/>
                      <w:lang w:eastAsia="zh-CN"/>
                    </w:rPr>
                    <w:t>）</w:t>
                  </w:r>
                </w:p>
              </w:tc>
              <w:tc>
                <w:tcPr>
                  <w:tcW w:w="1050" w:type="pct"/>
                  <w:noWrap w:val="0"/>
                  <w:vAlign w:val="center"/>
                </w:tcPr>
                <w:p w14:paraId="04CDCBC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13.95</w:t>
                  </w:r>
                  <w:r>
                    <w:rPr>
                      <w:rFonts w:hint="eastAsia" w:ascii="Times New Roman" w:hAnsi="Times New Roman" w:cs="Times New Roman"/>
                      <w:color w:val="auto"/>
                      <w:kern w:val="0"/>
                      <w:sz w:val="21"/>
                      <w:szCs w:val="21"/>
                      <w:highlight w:val="none"/>
                      <w:vertAlign w:val="baseline"/>
                      <w:lang w:val="en-US" w:eastAsia="zh-CN"/>
                    </w:rPr>
                    <w:t>A</w:t>
                  </w:r>
                </w:p>
              </w:tc>
              <w:tc>
                <w:tcPr>
                  <w:tcW w:w="1433" w:type="pct"/>
                  <w:noWrap w:val="0"/>
                  <w:vAlign w:val="center"/>
                </w:tcPr>
                <w:p w14:paraId="7809B44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工作电流</w:t>
                  </w:r>
                  <w:r>
                    <w:rPr>
                      <w:rFonts w:hint="eastAsia" w:cs="Times New Roman"/>
                      <w:color w:val="auto"/>
                      <w:kern w:val="0"/>
                      <w:sz w:val="21"/>
                      <w:szCs w:val="21"/>
                      <w:highlight w:val="none"/>
                      <w:vertAlign w:val="baseline"/>
                      <w:lang w:eastAsia="zh-CN"/>
                    </w:rPr>
                    <w:t>（</w:t>
                  </w:r>
                  <w:r>
                    <w:rPr>
                      <w:rFonts w:hint="default" w:ascii="Times New Roman" w:hAnsi="Times New Roman" w:cs="Times New Roman"/>
                      <w:color w:val="auto"/>
                      <w:kern w:val="0"/>
                      <w:sz w:val="21"/>
                      <w:szCs w:val="21"/>
                      <w:highlight w:val="none"/>
                      <w:vertAlign w:val="baseline"/>
                      <w:lang w:eastAsia="zh-CN"/>
                    </w:rPr>
                    <w:t>Imp</w:t>
                  </w:r>
                  <w:r>
                    <w:rPr>
                      <w:rFonts w:hint="eastAsia" w:cs="Times New Roman"/>
                      <w:color w:val="auto"/>
                      <w:kern w:val="0"/>
                      <w:sz w:val="21"/>
                      <w:szCs w:val="21"/>
                      <w:highlight w:val="none"/>
                      <w:vertAlign w:val="baseline"/>
                      <w:lang w:eastAsia="zh-CN"/>
                    </w:rPr>
                    <w:t>）</w:t>
                  </w:r>
                </w:p>
              </w:tc>
              <w:tc>
                <w:tcPr>
                  <w:tcW w:w="1254" w:type="pct"/>
                  <w:noWrap w:val="0"/>
                  <w:vAlign w:val="center"/>
                </w:tcPr>
                <w:p w14:paraId="775C68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13.33</w:t>
                  </w:r>
                  <w:r>
                    <w:rPr>
                      <w:rFonts w:hint="eastAsia" w:ascii="Times New Roman" w:hAnsi="Times New Roman" w:cs="Times New Roman"/>
                      <w:color w:val="auto"/>
                      <w:kern w:val="0"/>
                      <w:sz w:val="21"/>
                      <w:szCs w:val="21"/>
                      <w:highlight w:val="none"/>
                      <w:vertAlign w:val="baseline"/>
                      <w:lang w:val="en-US" w:eastAsia="zh-CN"/>
                    </w:rPr>
                    <w:t>A</w:t>
                  </w:r>
                </w:p>
              </w:tc>
            </w:tr>
            <w:tr w14:paraId="7831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0CDB37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eastAsia="zh-CN"/>
                    </w:rPr>
                    <w:t>开路电压温度系数</w:t>
                  </w:r>
                </w:p>
              </w:tc>
              <w:tc>
                <w:tcPr>
                  <w:tcW w:w="1050" w:type="pct"/>
                  <w:noWrap w:val="0"/>
                  <w:vAlign w:val="center"/>
                </w:tcPr>
                <w:p w14:paraId="2F9836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-0.25%/℃</w:t>
                  </w:r>
                </w:p>
              </w:tc>
              <w:tc>
                <w:tcPr>
                  <w:tcW w:w="1433" w:type="pct"/>
                  <w:noWrap w:val="0"/>
                  <w:vAlign w:val="center"/>
                </w:tcPr>
                <w:p w14:paraId="197929E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eastAsia="zh-CN"/>
                    </w:rPr>
                    <w:t>短路电流温度系数</w:t>
                  </w:r>
                </w:p>
              </w:tc>
              <w:tc>
                <w:tcPr>
                  <w:tcW w:w="1254" w:type="pct"/>
                  <w:noWrap w:val="0"/>
                  <w:vAlign w:val="center"/>
                </w:tcPr>
                <w:p w14:paraId="0A03171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+0.046</w:t>
                  </w:r>
                  <w:r>
                    <w:rPr>
                      <w:rFonts w:hint="eastAsia" w:ascii="Times New Roman" w:hAnsi="Times New Roman" w:cs="Times New Roman"/>
                      <w:color w:val="auto"/>
                      <w:kern w:val="0"/>
                      <w:sz w:val="21"/>
                      <w:szCs w:val="21"/>
                      <w:highlight w:val="none"/>
                      <w:vertAlign w:val="baseline"/>
                      <w:lang w:val="en-US" w:eastAsia="zh-CN"/>
                    </w:rPr>
                    <w:t>%/℃</w:t>
                  </w:r>
                </w:p>
              </w:tc>
            </w:tr>
            <w:tr w14:paraId="3D9F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29778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最大功率</w:t>
                  </w:r>
                  <w:r>
                    <w:rPr>
                      <w:rFonts w:hint="eastAsia" w:ascii="Times New Roman" w:hAnsi="Times New Roman" w:cs="Times New Roman"/>
                      <w:color w:val="auto"/>
                      <w:kern w:val="0"/>
                      <w:sz w:val="21"/>
                      <w:szCs w:val="21"/>
                      <w:highlight w:val="none"/>
                      <w:vertAlign w:val="baseline"/>
                      <w:lang w:eastAsia="zh-CN"/>
                    </w:rPr>
                    <w:t>温度系数</w:t>
                  </w:r>
                </w:p>
              </w:tc>
              <w:tc>
                <w:tcPr>
                  <w:tcW w:w="1050" w:type="pct"/>
                  <w:noWrap w:val="0"/>
                  <w:vAlign w:val="center"/>
                </w:tcPr>
                <w:p w14:paraId="637864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-0.29</w:t>
                  </w:r>
                  <w:r>
                    <w:rPr>
                      <w:rFonts w:hint="eastAsia" w:ascii="Times New Roman" w:hAnsi="Times New Roman" w:cs="Times New Roman"/>
                      <w:color w:val="auto"/>
                      <w:kern w:val="0"/>
                      <w:sz w:val="21"/>
                      <w:szCs w:val="21"/>
                      <w:highlight w:val="none"/>
                      <w:vertAlign w:val="baseline"/>
                      <w:lang w:val="en-US" w:eastAsia="zh-CN"/>
                    </w:rPr>
                    <w:t>%/℃</w:t>
                  </w:r>
                </w:p>
              </w:tc>
              <w:tc>
                <w:tcPr>
                  <w:tcW w:w="1433" w:type="pct"/>
                  <w:noWrap w:val="0"/>
                  <w:vAlign w:val="center"/>
                </w:tcPr>
                <w:p w14:paraId="1F7B7B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工作温度范围</w:t>
                  </w:r>
                </w:p>
              </w:tc>
              <w:tc>
                <w:tcPr>
                  <w:tcW w:w="1254" w:type="pct"/>
                  <w:noWrap w:val="0"/>
                  <w:vAlign w:val="center"/>
                </w:tcPr>
                <w:p w14:paraId="342ECA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-40</w:t>
                  </w:r>
                  <w:r>
                    <w:rPr>
                      <w:rFonts w:hint="eastAsia" w:cs="Times New Roman"/>
                      <w:color w:val="auto"/>
                      <w:kern w:val="0"/>
                      <w:sz w:val="21"/>
                      <w:szCs w:val="21"/>
                      <w:highlight w:val="none"/>
                      <w:vertAlign w:val="baseline"/>
                      <w:lang w:val="en-US" w:eastAsia="zh-CN"/>
                    </w:rPr>
                    <w:t>~</w:t>
                  </w:r>
                  <w:r>
                    <w:rPr>
                      <w:rFonts w:hint="eastAsia" w:ascii="Times New Roman" w:hAnsi="Times New Roman" w:cs="Times New Roman"/>
                      <w:color w:val="auto"/>
                      <w:kern w:val="0"/>
                      <w:sz w:val="21"/>
                      <w:szCs w:val="21"/>
                      <w:highlight w:val="none"/>
                      <w:vertAlign w:val="baseline"/>
                      <w:lang w:val="en-US" w:eastAsia="zh-CN"/>
                    </w:rPr>
                    <w:t>+85℃</w:t>
                  </w:r>
                </w:p>
              </w:tc>
            </w:tr>
            <w:tr w14:paraId="3EF9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pct"/>
                  <w:noWrap w:val="0"/>
                  <w:vAlign w:val="center"/>
                </w:tcPr>
                <w:p w14:paraId="573F27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eastAsia="zh-CN"/>
                    </w:rPr>
                    <w:t>组件效率</w:t>
                  </w:r>
                </w:p>
              </w:tc>
              <w:tc>
                <w:tcPr>
                  <w:tcW w:w="1050" w:type="pct"/>
                  <w:noWrap w:val="0"/>
                  <w:vAlign w:val="center"/>
                </w:tcPr>
                <w:p w14:paraId="0488BFC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22.8</w:t>
                  </w:r>
                  <w:r>
                    <w:rPr>
                      <w:rFonts w:hint="eastAsia" w:ascii="Times New Roman" w:hAnsi="Times New Roman" w:cs="Times New Roman"/>
                      <w:color w:val="auto"/>
                      <w:kern w:val="0"/>
                      <w:sz w:val="21"/>
                      <w:szCs w:val="21"/>
                      <w:highlight w:val="none"/>
                      <w:vertAlign w:val="baseline"/>
                      <w:lang w:val="en-US" w:eastAsia="zh-CN"/>
                    </w:rPr>
                    <w:t>%</w:t>
                  </w:r>
                </w:p>
              </w:tc>
              <w:tc>
                <w:tcPr>
                  <w:tcW w:w="1433" w:type="pct"/>
                  <w:noWrap w:val="0"/>
                  <w:vAlign w:val="center"/>
                </w:tcPr>
                <w:p w14:paraId="38DFAD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重量</w:t>
                  </w:r>
                </w:p>
              </w:tc>
              <w:tc>
                <w:tcPr>
                  <w:tcW w:w="1254" w:type="pct"/>
                  <w:noWrap w:val="0"/>
                  <w:vAlign w:val="center"/>
                </w:tcPr>
                <w:p w14:paraId="289C2EF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31.5</w:t>
                  </w:r>
                  <w:r>
                    <w:rPr>
                      <w:rFonts w:hint="eastAsia" w:ascii="Times New Roman" w:hAnsi="Times New Roman" w:cs="Times New Roman"/>
                      <w:color w:val="auto"/>
                      <w:kern w:val="0"/>
                      <w:sz w:val="21"/>
                      <w:szCs w:val="21"/>
                      <w:highlight w:val="none"/>
                      <w:vertAlign w:val="baseline"/>
                      <w:lang w:val="en-US" w:eastAsia="zh-CN" w:bidi="ar-SA"/>
                    </w:rPr>
                    <w:t>kg</w:t>
                  </w:r>
                </w:p>
              </w:tc>
            </w:tr>
          </w:tbl>
          <w:p w14:paraId="5650AF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157" w:beforeLines="50" w:beforeAutospacing="0" w:after="0" w:afterAutospacing="0" w:line="360" w:lineRule="auto"/>
              <w:ind w:left="0" w:right="0" w:firstLine="482" w:firstLineChars="200"/>
              <w:jc w:val="both"/>
              <w:textAlignment w:val="auto"/>
              <w:rPr>
                <w:rFonts w:hint="eastAsia" w:ascii="Times New Roman" w:hAnsi="Times New Roman" w:cs="Times New Roman"/>
                <w:color w:val="auto"/>
                <w:kern w:val="0"/>
                <w:sz w:val="24"/>
                <w:szCs w:val="24"/>
                <w:highlight w:val="none"/>
                <w:shd w:val="clear" w:color="auto" w:fill="auto"/>
                <w:lang w:eastAsia="zh-CN"/>
              </w:rPr>
            </w:pPr>
            <w:r>
              <w:rPr>
                <w:rFonts w:hint="eastAsia"/>
                <w:b/>
                <w:bCs/>
                <w:color w:val="auto"/>
                <w:kern w:val="0"/>
                <w:sz w:val="24"/>
                <w:highlight w:val="none"/>
                <w:lang w:val="en-US" w:eastAsia="zh-CN"/>
              </w:rPr>
              <w:t>2</w:t>
            </w:r>
            <w:r>
              <w:rPr>
                <w:rFonts w:hint="eastAsia"/>
                <w:b/>
                <w:bCs/>
                <w:color w:val="auto"/>
                <w:kern w:val="0"/>
                <w:sz w:val="24"/>
                <w:highlight w:val="none"/>
              </w:rPr>
              <w:t>、</w:t>
            </w:r>
            <w:r>
              <w:rPr>
                <w:rFonts w:hint="eastAsia"/>
                <w:b/>
                <w:bCs/>
                <w:color w:val="auto"/>
                <w:kern w:val="0"/>
                <w:sz w:val="24"/>
                <w:highlight w:val="none"/>
                <w:lang w:val="en-US" w:eastAsia="zh-CN"/>
              </w:rPr>
              <w:t>组串式逆变器+箱式变压器</w:t>
            </w:r>
          </w:p>
          <w:p w14:paraId="4B3DD46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w:t>
            </w:r>
            <w:r>
              <w:rPr>
                <w:rFonts w:hint="default"/>
                <w:color w:val="auto"/>
                <w:sz w:val="24"/>
                <w:szCs w:val="24"/>
                <w:highlight w:val="none"/>
                <w:lang w:val="en-US" w:eastAsia="zh-CN"/>
              </w:rPr>
              <w:t>中逆变器最大尺寸为</w:t>
            </w:r>
            <w:r>
              <w:rPr>
                <w:rFonts w:hint="eastAsia"/>
                <w:color w:val="auto"/>
                <w:sz w:val="24"/>
                <w:szCs w:val="24"/>
                <w:highlight w:val="none"/>
                <w:lang w:val="en-US" w:eastAsia="zh-CN"/>
              </w:rPr>
              <w:t>1134</w:t>
            </w:r>
            <w:r>
              <w:rPr>
                <w:rFonts w:hint="default"/>
                <w:color w:val="auto"/>
                <w:sz w:val="24"/>
                <w:szCs w:val="24"/>
                <w:highlight w:val="none"/>
                <w:lang w:val="en-US" w:eastAsia="zh-CN"/>
              </w:rPr>
              <w:t>mm</w:t>
            </w:r>
            <w:r>
              <w:rPr>
                <w:rFonts w:hint="eastAsia"/>
                <w:color w:val="auto"/>
                <w:sz w:val="24"/>
                <w:szCs w:val="24"/>
                <w:highlight w:val="none"/>
                <w:lang w:val="en-US" w:eastAsia="zh-CN"/>
              </w:rPr>
              <w:t>（</w:t>
            </w:r>
            <w:r>
              <w:rPr>
                <w:rFonts w:hint="default"/>
                <w:color w:val="auto"/>
                <w:sz w:val="24"/>
                <w:szCs w:val="24"/>
                <w:highlight w:val="none"/>
                <w:lang w:val="en-US" w:eastAsia="zh-CN"/>
              </w:rPr>
              <w:t>宽</w:t>
            </w:r>
            <w:r>
              <w:rPr>
                <w:rFonts w:hint="eastAsia"/>
                <w:color w:val="auto"/>
                <w:sz w:val="24"/>
                <w:szCs w:val="24"/>
                <w:highlight w:val="none"/>
                <w:lang w:val="en-US" w:eastAsia="zh-CN"/>
              </w:rPr>
              <w:t>）</w:t>
            </w:r>
            <w:r>
              <w:rPr>
                <w:rFonts w:hint="default"/>
                <w:color w:val="auto"/>
                <w:sz w:val="24"/>
                <w:szCs w:val="24"/>
                <w:highlight w:val="none"/>
                <w:lang w:val="en-US" w:eastAsia="zh-CN"/>
              </w:rPr>
              <w:t>×</w:t>
            </w:r>
            <w:r>
              <w:rPr>
                <w:rFonts w:hint="eastAsia"/>
                <w:color w:val="auto"/>
                <w:sz w:val="24"/>
                <w:szCs w:val="24"/>
                <w:highlight w:val="none"/>
                <w:lang w:val="en-US" w:eastAsia="zh-CN"/>
              </w:rPr>
              <w:t>870</w:t>
            </w:r>
            <w:r>
              <w:rPr>
                <w:rFonts w:hint="default"/>
                <w:color w:val="auto"/>
                <w:sz w:val="24"/>
                <w:szCs w:val="24"/>
                <w:highlight w:val="none"/>
                <w:lang w:val="en-US" w:eastAsia="zh-CN"/>
              </w:rPr>
              <w:t>mm</w:t>
            </w:r>
            <w:r>
              <w:rPr>
                <w:rFonts w:hint="eastAsia"/>
                <w:color w:val="auto"/>
                <w:sz w:val="24"/>
                <w:szCs w:val="24"/>
                <w:highlight w:val="none"/>
                <w:lang w:val="en-US" w:eastAsia="zh-CN"/>
              </w:rPr>
              <w:t>（</w:t>
            </w:r>
            <w:r>
              <w:rPr>
                <w:rFonts w:hint="default"/>
                <w:color w:val="auto"/>
                <w:sz w:val="24"/>
                <w:szCs w:val="24"/>
                <w:highlight w:val="none"/>
                <w:lang w:val="en-US" w:eastAsia="zh-CN"/>
              </w:rPr>
              <w:t>高</w:t>
            </w:r>
            <w:r>
              <w:rPr>
                <w:rFonts w:hint="eastAsia"/>
                <w:color w:val="auto"/>
                <w:sz w:val="24"/>
                <w:szCs w:val="24"/>
                <w:highlight w:val="none"/>
                <w:lang w:val="en-US" w:eastAsia="zh-CN"/>
              </w:rPr>
              <w:t>）</w:t>
            </w:r>
            <w:r>
              <w:rPr>
                <w:rFonts w:hint="default"/>
                <w:color w:val="auto"/>
                <w:sz w:val="24"/>
                <w:szCs w:val="24"/>
                <w:highlight w:val="none"/>
                <w:lang w:val="en-US" w:eastAsia="zh-CN"/>
              </w:rPr>
              <w:t>×36</w:t>
            </w:r>
            <w:r>
              <w:rPr>
                <w:rFonts w:hint="eastAsia"/>
                <w:color w:val="auto"/>
                <w:sz w:val="24"/>
                <w:szCs w:val="24"/>
                <w:highlight w:val="none"/>
                <w:lang w:val="en-US" w:eastAsia="zh-CN"/>
              </w:rPr>
              <w:t>1</w:t>
            </w:r>
            <w:r>
              <w:rPr>
                <w:rFonts w:hint="default"/>
                <w:color w:val="auto"/>
                <w:sz w:val="24"/>
                <w:szCs w:val="24"/>
                <w:highlight w:val="none"/>
                <w:lang w:val="en-US" w:eastAsia="zh-CN"/>
              </w:rPr>
              <w:t>mm</w:t>
            </w:r>
            <w:r>
              <w:rPr>
                <w:rFonts w:hint="eastAsia"/>
                <w:color w:val="auto"/>
                <w:sz w:val="24"/>
                <w:szCs w:val="24"/>
                <w:highlight w:val="none"/>
                <w:lang w:val="en-US" w:eastAsia="zh-CN"/>
              </w:rPr>
              <w:t>（</w:t>
            </w:r>
            <w:r>
              <w:rPr>
                <w:rFonts w:hint="default"/>
                <w:color w:val="auto"/>
                <w:sz w:val="24"/>
                <w:szCs w:val="24"/>
                <w:highlight w:val="none"/>
                <w:lang w:val="en-US" w:eastAsia="zh-CN"/>
              </w:rPr>
              <w:t>深</w:t>
            </w:r>
            <w:r>
              <w:rPr>
                <w:rFonts w:hint="eastAsia"/>
                <w:color w:val="auto"/>
                <w:sz w:val="24"/>
                <w:szCs w:val="24"/>
                <w:highlight w:val="none"/>
                <w:lang w:val="en-US" w:eastAsia="zh-CN"/>
              </w:rPr>
              <w:t>）</w:t>
            </w:r>
            <w:r>
              <w:rPr>
                <w:rFonts w:hint="default"/>
                <w:color w:val="auto"/>
                <w:sz w:val="24"/>
                <w:szCs w:val="24"/>
                <w:highlight w:val="none"/>
                <w:lang w:val="en-US" w:eastAsia="zh-CN"/>
              </w:rPr>
              <w:t>，含挂架的重量为11</w:t>
            </w:r>
            <w:r>
              <w:rPr>
                <w:rFonts w:hint="eastAsia"/>
                <w:color w:val="auto"/>
                <w:sz w:val="24"/>
                <w:szCs w:val="24"/>
                <w:highlight w:val="none"/>
                <w:lang w:val="en-US" w:eastAsia="zh-CN"/>
              </w:rPr>
              <w:t>6</w:t>
            </w:r>
            <w:r>
              <w:rPr>
                <w:rFonts w:hint="default"/>
                <w:color w:val="auto"/>
                <w:sz w:val="24"/>
                <w:szCs w:val="24"/>
                <w:highlight w:val="none"/>
                <w:lang w:val="en-US" w:eastAsia="zh-CN"/>
              </w:rPr>
              <w:t>kg。由于荷载不大，不考虑设置逆变器基础。根据现场实际情况，通过螺栓将逆变器固定在光伏支架上。本项目共设置</w:t>
            </w:r>
            <w:r>
              <w:rPr>
                <w:rFonts w:hint="eastAsia" w:cs="Times New Roman"/>
                <w:color w:val="auto"/>
                <w:sz w:val="24"/>
                <w:szCs w:val="24"/>
                <w:highlight w:val="none"/>
                <w:shd w:val="clear" w:color="auto" w:fill="auto"/>
                <w:lang w:val="en-US" w:eastAsia="zh-CN"/>
              </w:rPr>
              <w:t>157台</w:t>
            </w:r>
            <w:r>
              <w:rPr>
                <w:rFonts w:hint="default"/>
                <w:color w:val="auto"/>
                <w:sz w:val="24"/>
                <w:szCs w:val="24"/>
                <w:highlight w:val="none"/>
                <w:lang w:val="en-US" w:eastAsia="zh-CN"/>
              </w:rPr>
              <w:t>320kW组串式逆变器。</w:t>
            </w:r>
          </w:p>
          <w:p w14:paraId="4B3167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项目共布设16台</w:t>
            </w:r>
            <w:r>
              <w:rPr>
                <w:rFonts w:hint="default"/>
                <w:color w:val="auto"/>
                <w:sz w:val="24"/>
                <w:szCs w:val="24"/>
                <w:highlight w:val="none"/>
                <w:lang w:val="en-US" w:eastAsia="zh-CN"/>
              </w:rPr>
              <w:t>35kV</w:t>
            </w:r>
            <w:r>
              <w:rPr>
                <w:rFonts w:hint="eastAsia"/>
                <w:color w:val="auto"/>
                <w:sz w:val="24"/>
                <w:szCs w:val="24"/>
                <w:highlight w:val="none"/>
                <w:lang w:val="en-US" w:eastAsia="zh-CN"/>
              </w:rPr>
              <w:t>箱变（其中3台2300kVA箱变、7台3200kVA箱变、6台3600kVA箱），</w:t>
            </w:r>
            <w:r>
              <w:rPr>
                <w:rFonts w:hint="default"/>
                <w:color w:val="auto"/>
                <w:sz w:val="24"/>
                <w:szCs w:val="24"/>
                <w:highlight w:val="none"/>
                <w:lang w:val="en-US" w:eastAsia="zh-CN"/>
              </w:rPr>
              <w:t>35kV</w:t>
            </w:r>
            <w:r>
              <w:rPr>
                <w:rFonts w:hint="eastAsia"/>
                <w:color w:val="auto"/>
                <w:sz w:val="24"/>
                <w:szCs w:val="24"/>
                <w:highlight w:val="none"/>
                <w:lang w:val="en-US" w:eastAsia="zh-CN"/>
              </w:rPr>
              <w:t>箱变</w:t>
            </w:r>
            <w:r>
              <w:rPr>
                <w:rFonts w:hint="eastAsia" w:ascii="Times New Roman" w:hAnsi="Times New Roman" w:eastAsia="宋体" w:cs="Times New Roman"/>
                <w:color w:val="auto"/>
                <w:kern w:val="2"/>
                <w:sz w:val="24"/>
                <w:szCs w:val="24"/>
                <w:highlight w:val="none"/>
                <w:lang w:val="en-US" w:eastAsia="zh-CN" w:bidi="ar-SA"/>
              </w:rPr>
              <w:t>就近采用混凝土基础安装于方阵中部区域</w:t>
            </w:r>
            <w:r>
              <w:rPr>
                <w:rFonts w:hint="eastAsia"/>
                <w:color w:val="auto"/>
                <w:sz w:val="24"/>
                <w:szCs w:val="24"/>
                <w:highlight w:val="none"/>
                <w:lang w:val="en-US" w:eastAsia="zh-CN"/>
              </w:rPr>
              <w:t>，基础按天然地基上的浅基础进行设计，采用箱形基础。</w:t>
            </w:r>
          </w:p>
          <w:p w14:paraId="2B23DDAF">
            <w:pPr>
              <w:keepNext w:val="0"/>
              <w:keepLines w:val="0"/>
              <w:suppressLineNumbers w:val="0"/>
              <w:adjustRightInd w:val="0"/>
              <w:snapToGrid w:val="0"/>
              <w:spacing w:before="0" w:beforeAutospacing="0" w:after="0" w:afterAutospacing="0" w:line="360" w:lineRule="auto"/>
              <w:ind w:left="0" w:right="0" w:firstLine="482" w:firstLineChars="200"/>
              <w:rPr>
                <w:rFonts w:hint="default"/>
                <w:color w:val="auto"/>
                <w:kern w:val="0"/>
                <w:sz w:val="24"/>
                <w:highlight w:val="none"/>
                <w:lang w:val="en-US"/>
              </w:rPr>
            </w:pPr>
            <w:r>
              <w:rPr>
                <w:rFonts w:hint="eastAsia" w:cs="Times New Roman"/>
                <w:b/>
                <w:bCs/>
                <w:color w:val="auto"/>
                <w:kern w:val="0"/>
                <w:sz w:val="24"/>
                <w:szCs w:val="24"/>
                <w:highlight w:val="none"/>
                <w:lang w:val="en-US" w:eastAsia="zh-CN"/>
              </w:rPr>
              <w:t>3、围栏</w:t>
            </w:r>
          </w:p>
          <w:p w14:paraId="4E0DB04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光伏电站外缘设置</w:t>
            </w:r>
            <w:r>
              <w:rPr>
                <w:rFonts w:hint="default"/>
                <w:color w:val="auto"/>
                <w:sz w:val="24"/>
                <w:szCs w:val="24"/>
                <w:highlight w:val="none"/>
                <w:lang w:val="en-US" w:eastAsia="zh-CN"/>
              </w:rPr>
              <w:t>1.8m高包塑铁丝围栏，围栏内设置4.5m宽的防火隔离带，围栏总长度</w:t>
            </w:r>
            <w:r>
              <w:rPr>
                <w:rFonts w:hint="eastAsia"/>
                <w:color w:val="auto"/>
                <w:sz w:val="24"/>
                <w:szCs w:val="24"/>
                <w:highlight w:val="none"/>
                <w:lang w:val="en-US" w:eastAsia="zh-CN"/>
              </w:rPr>
              <w:t>28.5</w:t>
            </w:r>
            <w:r>
              <w:rPr>
                <w:rFonts w:hint="default"/>
                <w:color w:val="auto"/>
                <w:sz w:val="24"/>
                <w:szCs w:val="24"/>
                <w:highlight w:val="none"/>
                <w:lang w:val="en-US" w:eastAsia="zh-CN"/>
              </w:rPr>
              <w:t>km</w:t>
            </w:r>
            <w:r>
              <w:rPr>
                <w:rFonts w:hint="eastAsia"/>
                <w:color w:val="auto"/>
                <w:sz w:val="24"/>
                <w:szCs w:val="24"/>
                <w:highlight w:val="none"/>
                <w:lang w:val="en-US" w:eastAsia="zh-CN"/>
              </w:rPr>
              <w:t>。</w:t>
            </w:r>
          </w:p>
          <w:p w14:paraId="674992C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lang w:val="en-US"/>
              </w:rPr>
            </w:pPr>
            <w:r>
              <w:rPr>
                <w:rFonts w:hint="eastAsia"/>
                <w:b/>
                <w:bCs/>
                <w:color w:val="auto"/>
                <w:kern w:val="0"/>
                <w:sz w:val="24"/>
                <w:highlight w:val="none"/>
                <w:shd w:val="clear" w:color="auto" w:fill="auto"/>
                <w:lang w:val="en-US" w:eastAsia="zh-CN"/>
              </w:rPr>
              <w:t>（二）</w:t>
            </w:r>
            <w:r>
              <w:rPr>
                <w:rFonts w:hint="eastAsia" w:eastAsia="宋体" w:cs="Times New Roman"/>
                <w:b/>
                <w:bCs/>
                <w:color w:val="auto"/>
                <w:kern w:val="0"/>
                <w:sz w:val="24"/>
                <w:szCs w:val="24"/>
                <w:highlight w:val="none"/>
                <w:shd w:val="clear" w:color="auto" w:fill="auto"/>
                <w:lang w:val="en-US" w:eastAsia="zh-CN"/>
              </w:rPr>
              <w:t>集电线路区</w:t>
            </w:r>
          </w:p>
          <w:p w14:paraId="093D78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lang w:val="en-US" w:eastAsia="zh-CN"/>
              </w:rPr>
              <w:t>场区内采用电缆串接各箱变，在场区外电缆统一上塔，本次评价不含</w:t>
            </w:r>
            <w:r>
              <w:rPr>
                <w:rFonts w:hint="default" w:ascii="Times New Roman" w:hAnsi="Times New Roman" w:cs="Times New Roman"/>
                <w:color w:val="auto"/>
                <w:sz w:val="24"/>
                <w:szCs w:val="24"/>
                <w:highlight w:val="none"/>
                <w:lang w:val="en-US" w:eastAsia="zh-CN"/>
              </w:rPr>
              <w:t>35kV</w:t>
            </w:r>
            <w:r>
              <w:rPr>
                <w:rFonts w:hint="eastAsia" w:ascii="Times New Roman" w:hAnsi="Times New Roman" w:cs="Times New Roman"/>
                <w:color w:val="auto"/>
                <w:sz w:val="24"/>
                <w:szCs w:val="24"/>
                <w:highlight w:val="none"/>
                <w:lang w:val="en-US" w:eastAsia="zh-CN"/>
              </w:rPr>
              <w:t>架空集电线路。每26块电池组件之间采用组件自带电缆串联成1个组串，每串采用2根型号为H1Z2Z2-K-1×6mm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的光伏电缆接入逆变器；电缆敷设方式为槽盒敷设，逆变器出线电缆推荐选用ZC-YJLHV22-1.8/3-3×240mm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电缆，长34.54km；ZC-YJV22-0.6/1kV-4x4 1kV动力电缆长0.5km；ZC-YJV22-1.8/3kV-3x16低压电力电缆长0.5km。</w:t>
            </w:r>
          </w:p>
          <w:p w14:paraId="30277AF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b/>
                <w:bCs/>
                <w:color w:val="auto"/>
                <w:kern w:val="0"/>
                <w:sz w:val="24"/>
                <w:szCs w:val="24"/>
                <w:highlight w:val="none"/>
                <w:shd w:val="clear" w:color="auto" w:fill="auto"/>
                <w:lang w:eastAsia="zh-CN"/>
              </w:rPr>
              <w:t>（</w:t>
            </w:r>
            <w:r>
              <w:rPr>
                <w:rFonts w:hint="eastAsia" w:cs="Times New Roman"/>
                <w:b/>
                <w:bCs/>
                <w:color w:val="auto"/>
                <w:kern w:val="0"/>
                <w:sz w:val="24"/>
                <w:szCs w:val="24"/>
                <w:highlight w:val="none"/>
                <w:shd w:val="clear" w:color="auto" w:fill="auto"/>
                <w:lang w:val="en-US" w:eastAsia="zh-CN"/>
              </w:rPr>
              <w:t>三</w:t>
            </w:r>
            <w:r>
              <w:rPr>
                <w:rFonts w:hint="eastAsia" w:ascii="Times New Roman" w:hAnsi="Times New Roman" w:eastAsia="宋体" w:cs="Times New Roman"/>
                <w:b/>
                <w:bCs/>
                <w:color w:val="auto"/>
                <w:kern w:val="0"/>
                <w:sz w:val="24"/>
                <w:szCs w:val="24"/>
                <w:highlight w:val="none"/>
                <w:shd w:val="clear" w:color="auto" w:fill="auto"/>
                <w:lang w:eastAsia="zh-CN"/>
              </w:rPr>
              <w:t>）</w:t>
            </w:r>
            <w:r>
              <w:rPr>
                <w:rFonts w:hint="eastAsia" w:cs="Times New Roman"/>
                <w:b/>
                <w:bCs/>
                <w:color w:val="auto"/>
                <w:kern w:val="0"/>
                <w:sz w:val="24"/>
                <w:szCs w:val="24"/>
                <w:highlight w:val="none"/>
                <w:shd w:val="clear" w:color="auto" w:fill="auto"/>
                <w:lang w:val="en-US" w:eastAsia="zh-CN"/>
              </w:rPr>
              <w:t>光伏组件表面清洁</w:t>
            </w:r>
          </w:p>
          <w:p w14:paraId="553889D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电池组件表面很容易积尘，影响发电效率。必须对电池组件表面进行清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，保证电池组件的发电效率。</w:t>
            </w:r>
          </w:p>
          <w:p w14:paraId="1DDCF0E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光伏阵列的电池组件表面清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可分为定期清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3AF2ED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①</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w:t>
            </w:r>
          </w:p>
          <w:p w14:paraId="5F7051D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一般每</w:t>
            </w:r>
            <w:r>
              <w:rPr>
                <w:rFonts w:hint="eastAsia" w:cs="Times New Roman"/>
                <w:color w:val="auto"/>
                <w:kern w:val="0"/>
                <w:sz w:val="24"/>
                <w:szCs w:val="24"/>
                <w:highlight w:val="none"/>
                <w:shd w:val="clear" w:color="auto" w:fill="auto"/>
                <w:lang w:val="en-US" w:eastAsia="zh-CN"/>
              </w:rPr>
              <w:t>三</w:t>
            </w:r>
            <w:r>
              <w:rPr>
                <w:rFonts w:hint="eastAsia" w:ascii="Times New Roman" w:hAnsi="Times New Roman" w:eastAsia="宋体" w:cs="Times New Roman"/>
                <w:color w:val="auto"/>
                <w:kern w:val="0"/>
                <w:sz w:val="24"/>
                <w:szCs w:val="24"/>
                <w:highlight w:val="none"/>
                <w:shd w:val="clear" w:color="auto" w:fill="auto"/>
                <w:lang w:eastAsia="zh-CN"/>
              </w:rPr>
              <w:t>个月进行1次，制定清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路线，分片区依次清洁，每次清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约10天完成，清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时间安排在日出前或日落后。</w:t>
            </w:r>
          </w:p>
          <w:p w14:paraId="04E88ED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不定期清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分为恶劣气候后的清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和季节性清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。恶劣气候分为大风、雨雪后的清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，每次大风天气后应及时清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，雨雪后应及时巡查、对落在电池组件表面的泥点和积雪应予及时清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；季节性清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主要是对</w:t>
            </w:r>
            <w:r>
              <w:rPr>
                <w:rFonts w:hint="eastAsia" w:cs="Times New Roman"/>
                <w:color w:val="auto"/>
                <w:kern w:val="0"/>
                <w:sz w:val="24"/>
                <w:szCs w:val="24"/>
                <w:highlight w:val="none"/>
                <w:shd w:val="clear" w:color="auto" w:fill="auto"/>
                <w:lang w:val="en-US" w:eastAsia="zh-CN"/>
              </w:rPr>
              <w:t>鸟类</w:t>
            </w:r>
            <w:r>
              <w:rPr>
                <w:rFonts w:hint="eastAsia" w:ascii="Times New Roman" w:hAnsi="Times New Roman" w:eastAsia="宋体" w:cs="Times New Roman"/>
                <w:color w:val="auto"/>
                <w:kern w:val="0"/>
                <w:sz w:val="24"/>
                <w:szCs w:val="24"/>
                <w:highlight w:val="none"/>
                <w:shd w:val="clear" w:color="auto" w:fill="auto"/>
                <w:lang w:eastAsia="zh-CN"/>
              </w:rPr>
              <w:t>粪便的清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，应每天巡视，一旦发现电池组件被污染就应及时清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w:t>
            </w:r>
          </w:p>
          <w:p w14:paraId="1A48869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②</w:t>
            </w:r>
            <w:r>
              <w:rPr>
                <w:rFonts w:hint="eastAsia" w:ascii="Times New Roman" w:hAnsi="Times New Roman" w:eastAsia="宋体" w:cs="Times New Roman"/>
                <w:color w:val="auto"/>
                <w:kern w:val="0"/>
                <w:sz w:val="24"/>
                <w:szCs w:val="24"/>
                <w:highlight w:val="none"/>
                <w:shd w:val="clear" w:color="auto" w:fill="auto"/>
                <w:lang w:eastAsia="zh-CN"/>
              </w:rPr>
              <w:t>日常维护</w:t>
            </w:r>
          </w:p>
          <w:p w14:paraId="12399B9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主要是每日巡查电池组件的清洁程度。不符合要求的应及时清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，确保电池面组件的清洁。</w:t>
            </w:r>
          </w:p>
          <w:p w14:paraId="4068666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③</w:t>
            </w:r>
            <w:r>
              <w:rPr>
                <w:rFonts w:hint="eastAsia" w:ascii="Times New Roman" w:hAnsi="Times New Roman" w:eastAsia="宋体" w:cs="Times New Roman"/>
                <w:color w:val="auto"/>
                <w:kern w:val="0"/>
                <w:sz w:val="24"/>
                <w:szCs w:val="24"/>
                <w:highlight w:val="none"/>
                <w:shd w:val="clear" w:color="auto" w:fill="auto"/>
                <w:lang w:eastAsia="zh-CN"/>
              </w:rPr>
              <w:t>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水源</w:t>
            </w:r>
          </w:p>
          <w:p w14:paraId="3BDFB3C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考虑采用运水车运送至各电池组件处。</w:t>
            </w:r>
          </w:p>
          <w:p w14:paraId="239D306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cs="Times New Roman"/>
                <w:color w:val="auto"/>
                <w:kern w:val="0"/>
                <w:sz w:val="24"/>
                <w:szCs w:val="24"/>
                <w:highlight w:val="none"/>
                <w:shd w:val="clear" w:color="auto" w:fill="auto"/>
                <w:lang w:val="en-US" w:eastAsia="zh-CN"/>
              </w:rPr>
              <w:t>④</w:t>
            </w:r>
            <w:r>
              <w:rPr>
                <w:rFonts w:hint="eastAsia" w:ascii="Times New Roman" w:hAnsi="Times New Roman" w:eastAsia="宋体" w:cs="Times New Roman"/>
                <w:color w:val="auto"/>
                <w:kern w:val="0"/>
                <w:sz w:val="24"/>
                <w:szCs w:val="24"/>
                <w:highlight w:val="none"/>
                <w:shd w:val="clear" w:color="auto" w:fill="auto"/>
                <w:lang w:eastAsia="zh-CN"/>
              </w:rPr>
              <w:t>电池组件清</w:t>
            </w:r>
            <w:r>
              <w:rPr>
                <w:rFonts w:hint="eastAsia" w:cs="Times New Roman"/>
                <w:color w:val="auto"/>
                <w:kern w:val="0"/>
                <w:sz w:val="24"/>
                <w:szCs w:val="24"/>
                <w:highlight w:val="none"/>
                <w:shd w:val="clear" w:color="auto" w:fill="auto"/>
                <w:lang w:val="en-US" w:eastAsia="zh-CN"/>
              </w:rPr>
              <w:t>洁</w:t>
            </w:r>
            <w:r>
              <w:rPr>
                <w:rFonts w:hint="eastAsia" w:ascii="Times New Roman" w:hAnsi="Times New Roman" w:eastAsia="宋体" w:cs="Times New Roman"/>
                <w:color w:val="auto"/>
                <w:kern w:val="0"/>
                <w:sz w:val="24"/>
                <w:szCs w:val="24"/>
                <w:highlight w:val="none"/>
                <w:shd w:val="clear" w:color="auto" w:fill="auto"/>
                <w:lang w:eastAsia="zh-CN"/>
              </w:rPr>
              <w:t>方案</w:t>
            </w:r>
          </w:p>
          <w:p w14:paraId="5B9D7DF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太阳能电池表面是高强度钢化玻璃，易于清洁。在雨季的时候，降雨冲刷太阳能电池组件表面达到自然清洁的目的；在旱季的时候，为保证太阳能电池组件的正常工作，可通过人工擦拭，减少灰尘、杂物等对</w:t>
            </w:r>
            <w:r>
              <w:rPr>
                <w:rFonts w:hint="eastAsia" w:cs="Times New Roman"/>
                <w:color w:val="auto"/>
                <w:kern w:val="0"/>
                <w:sz w:val="24"/>
                <w:szCs w:val="24"/>
                <w:highlight w:val="none"/>
                <w:shd w:val="clear" w:color="auto" w:fill="auto"/>
                <w:lang w:eastAsia="zh-CN"/>
              </w:rPr>
              <w:t>太阳能</w:t>
            </w:r>
            <w:r>
              <w:rPr>
                <w:rFonts w:hint="eastAsia" w:ascii="Times New Roman" w:hAnsi="Times New Roman" w:eastAsia="宋体" w:cs="Times New Roman"/>
                <w:color w:val="auto"/>
                <w:kern w:val="0"/>
                <w:sz w:val="24"/>
                <w:szCs w:val="24"/>
                <w:highlight w:val="none"/>
                <w:shd w:val="clear" w:color="auto" w:fill="auto"/>
                <w:lang w:eastAsia="zh-CN"/>
              </w:rPr>
              <w:t>电池组件发电的影响。</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周期根据气候条件情况确定，</w:t>
            </w:r>
            <w:r>
              <w:rPr>
                <w:rFonts w:hint="eastAsia" w:cs="Times New Roman"/>
                <w:color w:val="auto"/>
                <w:kern w:val="0"/>
                <w:sz w:val="24"/>
                <w:szCs w:val="24"/>
                <w:highlight w:val="none"/>
                <w:shd w:val="clear" w:color="auto" w:fill="auto"/>
                <w:lang w:val="en-US" w:eastAsia="zh-CN"/>
              </w:rPr>
              <w:t>恶劣</w:t>
            </w:r>
            <w:r>
              <w:rPr>
                <w:rFonts w:hint="eastAsia" w:ascii="Times New Roman" w:hAnsi="Times New Roman" w:eastAsia="宋体" w:cs="Times New Roman"/>
                <w:color w:val="auto"/>
                <w:kern w:val="0"/>
                <w:sz w:val="24"/>
                <w:szCs w:val="24"/>
                <w:highlight w:val="none"/>
                <w:shd w:val="clear" w:color="auto" w:fill="auto"/>
                <w:lang w:val="en-US" w:eastAsia="zh-CN"/>
              </w:rPr>
              <w:t>天气情况下可适当缩短</w:t>
            </w:r>
            <w:r>
              <w:rPr>
                <w:rFonts w:hint="eastAsia" w:cs="Times New Roman"/>
                <w:color w:val="auto"/>
                <w:kern w:val="0"/>
                <w:sz w:val="24"/>
                <w:szCs w:val="24"/>
                <w:highlight w:val="none"/>
                <w:shd w:val="clear" w:color="auto" w:fill="auto"/>
                <w:lang w:val="en-US" w:eastAsia="zh-CN"/>
              </w:rPr>
              <w:t>清洁</w:t>
            </w:r>
            <w:r>
              <w:rPr>
                <w:rFonts w:hint="eastAsia" w:ascii="Times New Roman" w:hAnsi="Times New Roman" w:eastAsia="宋体" w:cs="Times New Roman"/>
                <w:color w:val="auto"/>
                <w:kern w:val="0"/>
                <w:sz w:val="24"/>
                <w:szCs w:val="24"/>
                <w:highlight w:val="none"/>
                <w:shd w:val="clear" w:color="auto" w:fill="auto"/>
                <w:lang w:val="en-US" w:eastAsia="zh-CN"/>
              </w:rPr>
              <w:t>周期。</w:t>
            </w:r>
          </w:p>
          <w:p w14:paraId="06F8D20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kern w:val="0"/>
                <w:sz w:val="24"/>
                <w:szCs w:val="24"/>
                <w:highlight w:val="none"/>
                <w:shd w:val="clear" w:color="auto" w:fill="auto"/>
                <w:lang w:eastAsia="zh-CN"/>
              </w:rPr>
            </w:pPr>
            <w:r>
              <w:rPr>
                <w:rFonts w:hint="eastAsia" w:ascii="Times New Roman" w:hAnsi="Times New Roman" w:eastAsia="宋体" w:cs="Times New Roman"/>
                <w:b/>
                <w:bCs/>
                <w:color w:val="auto"/>
                <w:kern w:val="0"/>
                <w:sz w:val="24"/>
                <w:szCs w:val="24"/>
                <w:highlight w:val="none"/>
                <w:shd w:val="clear" w:color="auto" w:fill="auto"/>
                <w:lang w:eastAsia="zh-CN"/>
              </w:rPr>
              <w:t>（</w:t>
            </w:r>
            <w:r>
              <w:rPr>
                <w:rFonts w:hint="eastAsia" w:cs="Times New Roman"/>
                <w:b/>
                <w:bCs/>
                <w:color w:val="auto"/>
                <w:kern w:val="0"/>
                <w:sz w:val="24"/>
                <w:szCs w:val="24"/>
                <w:highlight w:val="none"/>
                <w:shd w:val="clear" w:color="auto" w:fill="auto"/>
                <w:lang w:eastAsia="zh-CN"/>
              </w:rPr>
              <w:t>四</w:t>
            </w:r>
            <w:r>
              <w:rPr>
                <w:rFonts w:hint="eastAsia" w:ascii="Times New Roman" w:hAnsi="Times New Roman" w:eastAsia="宋体" w:cs="Times New Roman"/>
                <w:b/>
                <w:bCs/>
                <w:color w:val="auto"/>
                <w:kern w:val="0"/>
                <w:sz w:val="24"/>
                <w:szCs w:val="24"/>
                <w:highlight w:val="none"/>
                <w:shd w:val="clear" w:color="auto" w:fill="auto"/>
                <w:lang w:eastAsia="zh-CN"/>
              </w:rPr>
              <w:t>）光伏发电量</w:t>
            </w:r>
          </w:p>
          <w:p w14:paraId="168CB57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eastAsia="zh-CN"/>
              </w:rPr>
              <w:t>本项目规划容量</w:t>
            </w:r>
            <w:r>
              <w:rPr>
                <w:rFonts w:hint="eastAsia" w:cs="Times New Roman"/>
                <w:color w:val="auto"/>
                <w:kern w:val="0"/>
                <w:sz w:val="24"/>
                <w:szCs w:val="24"/>
                <w:highlight w:val="none"/>
                <w:shd w:val="clear" w:color="auto" w:fill="auto"/>
                <w:lang w:val="en-US" w:eastAsia="zh-CN"/>
              </w:rPr>
              <w:t>50</w:t>
            </w:r>
            <w:r>
              <w:rPr>
                <w:rFonts w:hint="eastAsia" w:ascii="Times New Roman" w:hAnsi="Times New Roman" w:eastAsia="宋体" w:cs="Times New Roman"/>
                <w:color w:val="auto"/>
                <w:kern w:val="0"/>
                <w:sz w:val="24"/>
                <w:szCs w:val="24"/>
                <w:highlight w:val="none"/>
                <w:shd w:val="clear" w:color="auto" w:fill="auto"/>
                <w:lang w:eastAsia="zh-CN"/>
              </w:rPr>
              <w:t>MW，</w:t>
            </w:r>
            <w:r>
              <w:rPr>
                <w:rFonts w:hint="default" w:ascii="Times New Roman" w:hAnsi="Times New Roman" w:eastAsia="宋体" w:cs="Times New Roman"/>
                <w:color w:val="auto"/>
                <w:kern w:val="0"/>
                <w:sz w:val="24"/>
                <w:szCs w:val="24"/>
                <w:highlight w:val="none"/>
                <w:lang w:val="en-US" w:eastAsia="zh-CN" w:bidi="ar"/>
              </w:rPr>
              <w:t>项目采用</w:t>
            </w:r>
            <w:r>
              <w:rPr>
                <w:rFonts w:hint="eastAsia" w:cs="Times New Roman"/>
                <w:color w:val="auto"/>
                <w:kern w:val="0"/>
                <w:sz w:val="24"/>
                <w:szCs w:val="24"/>
                <w:highlight w:val="none"/>
                <w:lang w:val="en-US" w:eastAsia="zh-CN" w:bidi="ar"/>
              </w:rPr>
              <w:t>590Wp单晶硅N型光伏组件</w:t>
            </w:r>
            <w:r>
              <w:rPr>
                <w:rFonts w:hint="default" w:ascii="Times New Roman" w:hAnsi="Times New Roman" w:eastAsia="宋体" w:cs="Times New Roman"/>
                <w:color w:val="auto"/>
                <w:kern w:val="0"/>
                <w:sz w:val="24"/>
                <w:szCs w:val="24"/>
                <w:highlight w:val="none"/>
                <w:lang w:val="en-US" w:eastAsia="zh-CN" w:bidi="ar"/>
              </w:rPr>
              <w:t>，组件首年衰减按照</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%，后续25年运行期内每年衰减按照0.4%，</w:t>
            </w:r>
            <w:r>
              <w:rPr>
                <w:rFonts w:hint="eastAsia" w:ascii="Times New Roman" w:hAnsi="Times New Roman" w:eastAsia="宋体" w:cs="Times New Roman"/>
                <w:color w:val="auto"/>
                <w:kern w:val="0"/>
                <w:sz w:val="24"/>
                <w:szCs w:val="24"/>
                <w:highlight w:val="none"/>
                <w:lang w:val="en-US" w:eastAsia="zh-CN" w:bidi="ar"/>
              </w:rPr>
              <w:t>则</w:t>
            </w:r>
            <w:r>
              <w:rPr>
                <w:rFonts w:hint="eastAsia" w:ascii="Times New Roman" w:hAnsi="Times New Roman" w:eastAsia="宋体" w:cs="Times New Roman"/>
                <w:color w:val="auto"/>
                <w:kern w:val="0"/>
                <w:sz w:val="24"/>
                <w:szCs w:val="24"/>
                <w:highlight w:val="none"/>
                <w:shd w:val="clear" w:color="auto" w:fill="auto"/>
                <w:lang w:eastAsia="zh-CN"/>
              </w:rPr>
              <w:t>本光伏电站</w:t>
            </w:r>
            <w:r>
              <w:rPr>
                <w:rFonts w:hint="eastAsia" w:cs="Times New Roman"/>
                <w:color w:val="auto"/>
                <w:kern w:val="0"/>
                <w:sz w:val="24"/>
                <w:szCs w:val="24"/>
                <w:highlight w:val="none"/>
                <w:shd w:val="clear" w:color="auto" w:fill="auto"/>
                <w:lang w:val="en-US" w:eastAsia="zh-CN"/>
              </w:rPr>
              <w:t>运行期25年内的总</w:t>
            </w:r>
            <w:r>
              <w:rPr>
                <w:rFonts w:hint="eastAsia" w:ascii="Times New Roman" w:hAnsi="Times New Roman" w:eastAsia="宋体" w:cs="Times New Roman"/>
                <w:color w:val="auto"/>
                <w:kern w:val="0"/>
                <w:sz w:val="24"/>
                <w:szCs w:val="24"/>
                <w:highlight w:val="none"/>
                <w:shd w:val="clear" w:color="auto" w:fill="auto"/>
                <w:lang w:eastAsia="zh-CN"/>
              </w:rPr>
              <w:t>上网电量</w:t>
            </w:r>
            <w:r>
              <w:rPr>
                <w:rFonts w:hint="eastAsia" w:cs="Times New Roman"/>
                <w:color w:val="auto"/>
                <w:kern w:val="0"/>
                <w:sz w:val="24"/>
                <w:szCs w:val="24"/>
                <w:highlight w:val="none"/>
                <w:shd w:val="clear" w:color="auto" w:fill="auto"/>
                <w:lang w:val="en-US" w:eastAsia="zh-CN"/>
              </w:rPr>
              <w:t>为2175980.3M</w:t>
            </w:r>
            <w:r>
              <w:rPr>
                <w:rFonts w:hint="eastAsia" w:ascii="Times New Roman" w:hAnsi="Times New Roman" w:eastAsia="宋体" w:cs="Times New Roman"/>
                <w:color w:val="auto"/>
                <w:kern w:val="0"/>
                <w:sz w:val="24"/>
                <w:szCs w:val="24"/>
                <w:highlight w:val="none"/>
                <w:shd w:val="clear" w:color="auto" w:fill="auto"/>
                <w:lang w:eastAsia="zh-CN"/>
              </w:rPr>
              <w:t>W</w:t>
            </w:r>
            <w:r>
              <w:rPr>
                <w:rFonts w:hint="default"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eastAsia="zh-CN"/>
              </w:rPr>
              <w:t>h</w:t>
            </w:r>
            <w:r>
              <w:rPr>
                <w:rFonts w:hint="eastAsia" w:cs="Times New Roman"/>
                <w:color w:val="auto"/>
                <w:kern w:val="0"/>
                <w:sz w:val="24"/>
                <w:szCs w:val="24"/>
                <w:highlight w:val="none"/>
                <w:shd w:val="clear" w:color="auto" w:fill="auto"/>
                <w:lang w:val="en-US" w:eastAsia="zh-CN"/>
              </w:rPr>
              <w:t>，年均上网电量约为87039.2MW•h，折合成可利用小时数约为1354.8h，其中首年利用小时数为1423.9小时。</w:t>
            </w:r>
          </w:p>
          <w:p w14:paraId="30ECC6AE">
            <w:pPr>
              <w:keepNext w:val="0"/>
              <w:keepLines w:val="0"/>
              <w:suppressLineNumbers w:val="0"/>
              <w:shd w:val="clear"/>
              <w:spacing w:before="0" w:beforeAutospacing="0" w:after="0" w:afterAutospacing="0" w:line="360" w:lineRule="auto"/>
              <w:ind w:left="0" w:right="0"/>
              <w:rPr>
                <w:rFonts w:hint="default"/>
                <w:b/>
                <w:color w:val="auto"/>
                <w:kern w:val="0"/>
                <w:szCs w:val="21"/>
                <w:highlight w:val="none"/>
                <w:shd w:val="clear" w:color="auto" w:fill="auto"/>
              </w:rPr>
            </w:pPr>
            <w:r>
              <w:rPr>
                <w:rFonts w:hint="eastAsia"/>
                <w:b/>
                <w:color w:val="auto"/>
                <w:sz w:val="24"/>
                <w:highlight w:val="none"/>
                <w:shd w:val="clear" w:color="auto" w:fill="auto"/>
                <w:lang w:val="en-US" w:eastAsia="zh-CN"/>
              </w:rPr>
              <w:t>三</w:t>
            </w:r>
            <w:r>
              <w:rPr>
                <w:rFonts w:hint="eastAsia"/>
                <w:b/>
                <w:color w:val="auto"/>
                <w:sz w:val="24"/>
                <w:highlight w:val="none"/>
                <w:shd w:val="clear" w:color="auto" w:fill="auto"/>
              </w:rPr>
              <w:t>、</w:t>
            </w:r>
            <w:r>
              <w:rPr>
                <w:rFonts w:hint="eastAsia"/>
                <w:b/>
                <w:bCs/>
                <w:color w:val="auto"/>
                <w:sz w:val="24"/>
                <w:highlight w:val="none"/>
                <w:shd w:val="clear" w:color="auto" w:fill="auto"/>
              </w:rPr>
              <w:t>项</w:t>
            </w:r>
            <w:r>
              <w:rPr>
                <w:rFonts w:hint="default"/>
                <w:b/>
                <w:bCs/>
                <w:color w:val="auto"/>
                <w:sz w:val="24"/>
                <w:highlight w:val="none"/>
                <w:shd w:val="clear" w:color="auto" w:fill="auto"/>
              </w:rPr>
              <w:t>目</w:t>
            </w:r>
            <w:r>
              <w:rPr>
                <w:rFonts w:hint="eastAsia"/>
                <w:b/>
                <w:bCs/>
                <w:color w:val="auto"/>
                <w:sz w:val="24"/>
                <w:highlight w:val="none"/>
                <w:shd w:val="clear" w:color="auto" w:fill="auto"/>
              </w:rPr>
              <w:t>主</w:t>
            </w:r>
            <w:r>
              <w:rPr>
                <w:rFonts w:hint="default"/>
                <w:b/>
                <w:bCs/>
                <w:color w:val="auto"/>
                <w:sz w:val="24"/>
                <w:highlight w:val="none"/>
                <w:shd w:val="clear" w:color="auto" w:fill="auto"/>
              </w:rPr>
              <w:t>要电气设备汇总表</w:t>
            </w:r>
          </w:p>
          <w:p w14:paraId="15DB29C7">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3</w:t>
            </w:r>
            <w:r>
              <w:rPr>
                <w:rFonts w:hint="default"/>
                <w:b/>
                <w:color w:val="auto"/>
                <w:kern w:val="0"/>
                <w:szCs w:val="21"/>
                <w:highlight w:val="none"/>
                <w:shd w:val="clear" w:color="auto" w:fill="auto"/>
              </w:rPr>
              <w:t xml:space="preserve"> </w:t>
            </w:r>
            <w:r>
              <w:rPr>
                <w:rFonts w:hint="eastAsia"/>
                <w:b/>
                <w:color w:val="auto"/>
                <w:kern w:val="0"/>
                <w:szCs w:val="21"/>
                <w:highlight w:val="none"/>
                <w:shd w:val="clear" w:color="auto" w:fill="auto"/>
              </w:rPr>
              <w:t xml:space="preserve"> 项目主要电气设备材料汇总表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179"/>
              <w:gridCol w:w="2966"/>
              <w:gridCol w:w="681"/>
              <w:gridCol w:w="1015"/>
            </w:tblGrid>
            <w:tr w14:paraId="4F8A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57" w:type="pct"/>
                  <w:vAlign w:val="center"/>
                </w:tcPr>
                <w:p w14:paraId="6587C80A">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bookmarkStart w:id="16" w:name="_Hlk73561412"/>
                  <w:r>
                    <w:rPr>
                      <w:rFonts w:hint="eastAsia"/>
                      <w:b/>
                      <w:bCs/>
                      <w:color w:val="auto"/>
                      <w:sz w:val="21"/>
                      <w:szCs w:val="21"/>
                      <w:highlight w:val="none"/>
                    </w:rPr>
                    <w:t>序号</w:t>
                  </w:r>
                </w:p>
              </w:tc>
              <w:tc>
                <w:tcPr>
                  <w:tcW w:w="1447" w:type="pct"/>
                  <w:vAlign w:val="center"/>
                </w:tcPr>
                <w:p w14:paraId="1EB3B65A">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名称</w:t>
                  </w:r>
                </w:p>
              </w:tc>
              <w:tc>
                <w:tcPr>
                  <w:tcW w:w="1969" w:type="pct"/>
                  <w:vAlign w:val="center"/>
                </w:tcPr>
                <w:p w14:paraId="5F8CEF5F">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型号及规格</w:t>
                  </w:r>
                </w:p>
              </w:tc>
              <w:tc>
                <w:tcPr>
                  <w:tcW w:w="452" w:type="pct"/>
                  <w:vAlign w:val="center"/>
                </w:tcPr>
                <w:p w14:paraId="1BAD75DF">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单位</w:t>
                  </w:r>
                </w:p>
              </w:tc>
              <w:tc>
                <w:tcPr>
                  <w:tcW w:w="672" w:type="pct"/>
                  <w:vAlign w:val="center"/>
                </w:tcPr>
                <w:p w14:paraId="5465856F">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数量</w:t>
                  </w:r>
                </w:p>
              </w:tc>
            </w:tr>
            <w:tr w14:paraId="1A58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14:paraId="1A44F10B">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b/>
                      <w:bCs/>
                      <w:color w:val="auto"/>
                      <w:sz w:val="21"/>
                      <w:szCs w:val="21"/>
                      <w:highlight w:val="none"/>
                      <w:lang w:val="en-US" w:eastAsia="zh-CN"/>
                    </w:rPr>
                    <w:t>第一部分</w:t>
                  </w:r>
                  <w:r>
                    <w:rPr>
                      <w:rFonts w:hint="default"/>
                      <w:b/>
                      <w:bCs/>
                      <w:color w:val="auto"/>
                      <w:sz w:val="21"/>
                      <w:szCs w:val="21"/>
                      <w:highlight w:val="none"/>
                    </w:rPr>
                    <w:t>、</w:t>
                  </w:r>
                  <w:r>
                    <w:rPr>
                      <w:rFonts w:hint="eastAsia"/>
                      <w:b/>
                      <w:bCs/>
                      <w:color w:val="auto"/>
                      <w:sz w:val="21"/>
                      <w:szCs w:val="21"/>
                      <w:highlight w:val="none"/>
                      <w:lang w:val="en-US" w:eastAsia="zh-CN"/>
                    </w:rPr>
                    <w:t>设备及安装工程</w:t>
                  </w:r>
                </w:p>
              </w:tc>
            </w:tr>
            <w:tr w14:paraId="3B04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33D11FD1">
                  <w:pPr>
                    <w:keepNext w:val="0"/>
                    <w:keepLines w:val="0"/>
                    <w:suppressLineNumbers w:val="0"/>
                    <w:bidi w:val="0"/>
                    <w:spacing w:before="0" w:beforeAutospacing="0" w:after="0" w:afterAutospacing="0"/>
                    <w:ind w:left="0" w:right="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一</w:t>
                  </w:r>
                </w:p>
              </w:tc>
              <w:tc>
                <w:tcPr>
                  <w:tcW w:w="3417" w:type="pct"/>
                  <w:gridSpan w:val="2"/>
                  <w:vAlign w:val="center"/>
                </w:tcPr>
                <w:p w14:paraId="78F6B0C7">
                  <w:pPr>
                    <w:keepNext w:val="0"/>
                    <w:keepLines w:val="0"/>
                    <w:suppressLineNumbers w:val="0"/>
                    <w:bidi w:val="0"/>
                    <w:spacing w:before="0" w:beforeAutospacing="0" w:after="0" w:afterAutospacing="0"/>
                    <w:ind w:left="0" w:right="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发电设备及安装工程</w:t>
                  </w:r>
                </w:p>
              </w:tc>
              <w:tc>
                <w:tcPr>
                  <w:tcW w:w="452" w:type="pct"/>
                  <w:vAlign w:val="center"/>
                </w:tcPr>
                <w:p w14:paraId="0AB9DF25">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c>
                <w:tcPr>
                  <w:tcW w:w="672" w:type="pct"/>
                  <w:vAlign w:val="center"/>
                </w:tcPr>
                <w:p w14:paraId="06CB9C56">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r>
            <w:tr w14:paraId="7AEA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88FF08E">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1</w:t>
                  </w:r>
                </w:p>
              </w:tc>
              <w:tc>
                <w:tcPr>
                  <w:tcW w:w="1447" w:type="pct"/>
                  <w:vAlign w:val="center"/>
                </w:tcPr>
                <w:p w14:paraId="30CEF434">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光伏发电设备及安装</w:t>
                  </w:r>
                </w:p>
              </w:tc>
              <w:tc>
                <w:tcPr>
                  <w:tcW w:w="1969" w:type="pct"/>
                  <w:vAlign w:val="center"/>
                </w:tcPr>
                <w:p w14:paraId="4D28D4CC">
                  <w:pPr>
                    <w:keepNext w:val="0"/>
                    <w:keepLines w:val="0"/>
                    <w:suppressLineNumbers w:val="0"/>
                    <w:bidi w:val="0"/>
                    <w:spacing w:before="0" w:beforeAutospacing="0" w:after="0" w:afterAutospacing="0"/>
                    <w:ind w:left="0" w:right="0"/>
                    <w:jc w:val="center"/>
                    <w:rPr>
                      <w:rFonts w:hint="eastAsia"/>
                      <w:color w:val="auto"/>
                      <w:sz w:val="21"/>
                      <w:szCs w:val="21"/>
                      <w:highlight w:val="none"/>
                      <w:lang w:eastAsia="zh-CN"/>
                    </w:rPr>
                  </w:pPr>
                </w:p>
              </w:tc>
              <w:tc>
                <w:tcPr>
                  <w:tcW w:w="452" w:type="pct"/>
                  <w:vAlign w:val="center"/>
                </w:tcPr>
                <w:p w14:paraId="4BFA0DA3">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c>
                <w:tcPr>
                  <w:tcW w:w="672" w:type="pct"/>
                  <w:vAlign w:val="center"/>
                </w:tcPr>
                <w:p w14:paraId="54FCEDF0">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rPr>
                  </w:pPr>
                </w:p>
              </w:tc>
            </w:tr>
            <w:tr w14:paraId="4573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520600AF">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1447" w:type="pct"/>
                  <w:vAlign w:val="center"/>
                </w:tcPr>
                <w:p w14:paraId="0BB3C5E7">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光伏电池组件</w:t>
                  </w:r>
                </w:p>
              </w:tc>
              <w:tc>
                <w:tcPr>
                  <w:tcW w:w="1969" w:type="pct"/>
                  <w:vAlign w:val="center"/>
                </w:tcPr>
                <w:p w14:paraId="7DB4C971">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单晶590Wp高效组件</w:t>
                  </w:r>
                </w:p>
              </w:tc>
              <w:tc>
                <w:tcPr>
                  <w:tcW w:w="452" w:type="pct"/>
                  <w:vAlign w:val="center"/>
                </w:tcPr>
                <w:p w14:paraId="3DA1389B">
                  <w:pPr>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块</w:t>
                  </w:r>
                </w:p>
              </w:tc>
              <w:tc>
                <w:tcPr>
                  <w:tcW w:w="672" w:type="pct"/>
                  <w:vAlign w:val="center"/>
                </w:tcPr>
                <w:p w14:paraId="7F655F3A">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s="Times New Roman"/>
                      <w:color w:val="auto"/>
                      <w:sz w:val="21"/>
                      <w:szCs w:val="21"/>
                      <w:highlight w:val="none"/>
                      <w:lang w:val="en-US" w:eastAsia="zh-CN"/>
                    </w:rPr>
                    <w:t>108888</w:t>
                  </w:r>
                </w:p>
              </w:tc>
            </w:tr>
            <w:tr w14:paraId="6FF3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4EE0B2A">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1447" w:type="pct"/>
                  <w:vAlign w:val="center"/>
                </w:tcPr>
                <w:p w14:paraId="3AAE9548">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固定支架</w:t>
                  </w:r>
                </w:p>
              </w:tc>
              <w:tc>
                <w:tcPr>
                  <w:tcW w:w="1969" w:type="pct"/>
                  <w:vAlign w:val="center"/>
                </w:tcPr>
                <w:p w14:paraId="3E3B9114">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Q</w:t>
                  </w:r>
                  <w:r>
                    <w:rPr>
                      <w:rFonts w:hint="eastAsia"/>
                      <w:color w:val="auto"/>
                      <w:sz w:val="21"/>
                      <w:szCs w:val="21"/>
                      <w:highlight w:val="none"/>
                      <w:lang w:val="en-US" w:eastAsia="zh-CN"/>
                    </w:rPr>
                    <w:t>355</w:t>
                  </w:r>
                  <w:r>
                    <w:rPr>
                      <w:rFonts w:hint="default"/>
                      <w:color w:val="auto"/>
                      <w:sz w:val="21"/>
                      <w:szCs w:val="21"/>
                      <w:highlight w:val="none"/>
                      <w:lang w:val="en-US" w:eastAsia="zh-CN"/>
                    </w:rPr>
                    <w:t>B</w:t>
                  </w:r>
                </w:p>
              </w:tc>
              <w:tc>
                <w:tcPr>
                  <w:tcW w:w="452" w:type="pct"/>
                  <w:vAlign w:val="center"/>
                </w:tcPr>
                <w:p w14:paraId="0F5115A2">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t</w:t>
                  </w:r>
                </w:p>
              </w:tc>
              <w:tc>
                <w:tcPr>
                  <w:tcW w:w="672" w:type="pct"/>
                  <w:vAlign w:val="center"/>
                </w:tcPr>
                <w:p w14:paraId="4857E764">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2007.2</w:t>
                  </w:r>
                </w:p>
              </w:tc>
            </w:tr>
            <w:tr w14:paraId="64D9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CEA9F13">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1447" w:type="pct"/>
                  <w:vAlign w:val="center"/>
                </w:tcPr>
                <w:p w14:paraId="4EB94E0F">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固定支架</w:t>
                  </w:r>
                </w:p>
              </w:tc>
              <w:tc>
                <w:tcPr>
                  <w:tcW w:w="1969" w:type="pct"/>
                  <w:vAlign w:val="center"/>
                </w:tcPr>
                <w:p w14:paraId="2FDB398E">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Q</w:t>
                  </w:r>
                  <w:r>
                    <w:rPr>
                      <w:rFonts w:hint="eastAsia"/>
                      <w:color w:val="auto"/>
                      <w:sz w:val="21"/>
                      <w:szCs w:val="21"/>
                      <w:highlight w:val="none"/>
                      <w:lang w:val="en-US" w:eastAsia="zh-CN"/>
                    </w:rPr>
                    <w:t>235</w:t>
                  </w:r>
                  <w:r>
                    <w:rPr>
                      <w:rFonts w:hint="default"/>
                      <w:color w:val="auto"/>
                      <w:sz w:val="21"/>
                      <w:szCs w:val="21"/>
                      <w:highlight w:val="none"/>
                      <w:lang w:val="en-US" w:eastAsia="zh-CN"/>
                    </w:rPr>
                    <w:t>B</w:t>
                  </w:r>
                </w:p>
              </w:tc>
              <w:tc>
                <w:tcPr>
                  <w:tcW w:w="452" w:type="pct"/>
                  <w:vAlign w:val="center"/>
                </w:tcPr>
                <w:p w14:paraId="54A379E6">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t</w:t>
                  </w:r>
                </w:p>
              </w:tc>
              <w:tc>
                <w:tcPr>
                  <w:tcW w:w="672" w:type="pct"/>
                  <w:vAlign w:val="center"/>
                </w:tcPr>
                <w:p w14:paraId="088B19E1">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501.8</w:t>
                  </w:r>
                </w:p>
              </w:tc>
            </w:tr>
            <w:tr w14:paraId="711E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19D25FC">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1447" w:type="pct"/>
                  <w:vAlign w:val="center"/>
                </w:tcPr>
                <w:p w14:paraId="0E0B2967">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汇流及变配电设备及安装</w:t>
                  </w:r>
                </w:p>
              </w:tc>
              <w:tc>
                <w:tcPr>
                  <w:tcW w:w="1969" w:type="pct"/>
                  <w:vAlign w:val="center"/>
                </w:tcPr>
                <w:p w14:paraId="53FE5B77">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c>
                <w:tcPr>
                  <w:tcW w:w="452" w:type="pct"/>
                  <w:vAlign w:val="center"/>
                </w:tcPr>
                <w:p w14:paraId="13EEC3CC">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c>
                <w:tcPr>
                  <w:tcW w:w="672" w:type="pct"/>
                  <w:vAlign w:val="center"/>
                </w:tcPr>
                <w:p w14:paraId="1455C0FB">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p>
              </w:tc>
            </w:tr>
            <w:tr w14:paraId="6DB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2FE5971">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1447" w:type="pct"/>
                  <w:shd w:val="clear" w:color="auto" w:fill="auto"/>
                  <w:vAlign w:val="center"/>
                </w:tcPr>
                <w:p w14:paraId="4E10E089">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组串式逆变器</w:t>
                  </w:r>
                </w:p>
              </w:tc>
              <w:tc>
                <w:tcPr>
                  <w:tcW w:w="1969" w:type="pct"/>
                  <w:shd w:val="clear" w:color="auto" w:fill="auto"/>
                  <w:vAlign w:val="center"/>
                </w:tcPr>
                <w:p w14:paraId="02083862">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320kW</w:t>
                  </w:r>
                </w:p>
              </w:tc>
              <w:tc>
                <w:tcPr>
                  <w:tcW w:w="452" w:type="pct"/>
                  <w:shd w:val="clear" w:color="auto" w:fill="auto"/>
                  <w:vAlign w:val="center"/>
                </w:tcPr>
                <w:p w14:paraId="74EA8476">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台</w:t>
                  </w:r>
                </w:p>
              </w:tc>
              <w:tc>
                <w:tcPr>
                  <w:tcW w:w="672" w:type="pct"/>
                  <w:shd w:val="clear" w:color="auto" w:fill="auto"/>
                  <w:vAlign w:val="center"/>
                </w:tcPr>
                <w:p w14:paraId="0B767B3C">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157</w:t>
                  </w:r>
                </w:p>
              </w:tc>
            </w:tr>
            <w:tr w14:paraId="6A02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16F2ABED">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1447" w:type="pct"/>
                  <w:shd w:val="clear" w:color="auto" w:fill="auto"/>
                  <w:vAlign w:val="center"/>
                </w:tcPr>
                <w:p w14:paraId="28CB208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箱式变压器</w:t>
                  </w:r>
                </w:p>
              </w:tc>
              <w:tc>
                <w:tcPr>
                  <w:tcW w:w="1969" w:type="pct"/>
                  <w:shd w:val="clear" w:color="auto" w:fill="auto"/>
                  <w:vAlign w:val="center"/>
                </w:tcPr>
                <w:p w14:paraId="24C1538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2300kVA油浸式箱变，华变，</w:t>
                  </w:r>
                  <w:r>
                    <w:rPr>
                      <w:rFonts w:hint="eastAsia" w:cs="Times New Roman"/>
                      <w:color w:val="auto"/>
                      <w:kern w:val="0"/>
                      <w:sz w:val="21"/>
                      <w:szCs w:val="21"/>
                      <w:highlight w:val="none"/>
                      <w:lang w:val="en-US" w:eastAsia="zh-CN" w:bidi="ar"/>
                    </w:rPr>
                    <w:t>二</w:t>
                  </w:r>
                  <w:r>
                    <w:rPr>
                      <w:rFonts w:hint="default" w:ascii="Times New Roman" w:hAnsi="Times New Roman" w:eastAsia="宋体" w:cs="Times New Roman"/>
                      <w:color w:val="auto"/>
                      <w:kern w:val="0"/>
                      <w:sz w:val="21"/>
                      <w:szCs w:val="21"/>
                      <w:highlight w:val="none"/>
                      <w:lang w:val="en-US" w:eastAsia="zh-CN" w:bidi="ar"/>
                    </w:rPr>
                    <w:t>级能耗</w:t>
                  </w:r>
                </w:p>
              </w:tc>
              <w:tc>
                <w:tcPr>
                  <w:tcW w:w="452" w:type="pct"/>
                  <w:shd w:val="clear" w:color="auto" w:fill="auto"/>
                  <w:vAlign w:val="center"/>
                </w:tcPr>
                <w:p w14:paraId="68D27B0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台</w:t>
                  </w:r>
                </w:p>
              </w:tc>
              <w:tc>
                <w:tcPr>
                  <w:tcW w:w="672" w:type="pct"/>
                  <w:shd w:val="clear" w:color="auto" w:fill="auto"/>
                  <w:vAlign w:val="center"/>
                </w:tcPr>
                <w:p w14:paraId="44A93F6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14:paraId="798F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57" w:type="pct"/>
                  <w:vAlign w:val="center"/>
                </w:tcPr>
                <w:p w14:paraId="47A9FEF7">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2.3</w:t>
                  </w:r>
                </w:p>
              </w:tc>
              <w:tc>
                <w:tcPr>
                  <w:tcW w:w="1447" w:type="pct"/>
                  <w:shd w:val="clear" w:color="auto" w:fill="auto"/>
                  <w:vAlign w:val="center"/>
                </w:tcPr>
                <w:p w14:paraId="05367A7F">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箱式变压器</w:t>
                  </w:r>
                </w:p>
              </w:tc>
              <w:tc>
                <w:tcPr>
                  <w:tcW w:w="1969" w:type="pct"/>
                  <w:shd w:val="clear" w:color="auto" w:fill="auto"/>
                  <w:vAlign w:val="center"/>
                </w:tcPr>
                <w:p w14:paraId="556B3E6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3200</w:t>
                  </w:r>
                  <w:r>
                    <w:rPr>
                      <w:rFonts w:hint="default" w:ascii="Times New Roman" w:hAnsi="Times New Roman" w:eastAsia="宋体" w:cs="Times New Roman"/>
                      <w:color w:val="auto"/>
                      <w:kern w:val="0"/>
                      <w:sz w:val="21"/>
                      <w:szCs w:val="21"/>
                      <w:highlight w:val="none"/>
                      <w:lang w:val="en-US" w:eastAsia="zh-CN" w:bidi="ar"/>
                    </w:rPr>
                    <w:t>kVA 油浸式箱变，华变，</w:t>
                  </w:r>
                  <w:r>
                    <w:rPr>
                      <w:rFonts w:hint="eastAsia" w:cs="Times New Roman"/>
                      <w:color w:val="auto"/>
                      <w:kern w:val="0"/>
                      <w:sz w:val="21"/>
                      <w:szCs w:val="21"/>
                      <w:highlight w:val="none"/>
                      <w:lang w:val="en-US" w:eastAsia="zh-CN" w:bidi="ar"/>
                    </w:rPr>
                    <w:t>二</w:t>
                  </w:r>
                  <w:r>
                    <w:rPr>
                      <w:rFonts w:hint="default" w:ascii="Times New Roman" w:hAnsi="Times New Roman" w:eastAsia="宋体" w:cs="Times New Roman"/>
                      <w:color w:val="auto"/>
                      <w:kern w:val="0"/>
                      <w:sz w:val="21"/>
                      <w:szCs w:val="21"/>
                      <w:highlight w:val="none"/>
                      <w:lang w:val="en-US" w:eastAsia="zh-CN" w:bidi="ar"/>
                    </w:rPr>
                    <w:t>级能耗</w:t>
                  </w:r>
                </w:p>
              </w:tc>
              <w:tc>
                <w:tcPr>
                  <w:tcW w:w="452" w:type="pct"/>
                  <w:shd w:val="clear" w:color="auto" w:fill="auto"/>
                  <w:vAlign w:val="center"/>
                </w:tcPr>
                <w:p w14:paraId="52BAE047">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台</w:t>
                  </w:r>
                </w:p>
              </w:tc>
              <w:tc>
                <w:tcPr>
                  <w:tcW w:w="672" w:type="pct"/>
                  <w:shd w:val="clear" w:color="auto" w:fill="auto"/>
                  <w:vAlign w:val="center"/>
                </w:tcPr>
                <w:p w14:paraId="449455B1">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r>
            <w:tr w14:paraId="564C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7469638B">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2.4</w:t>
                  </w:r>
                </w:p>
              </w:tc>
              <w:tc>
                <w:tcPr>
                  <w:tcW w:w="1447" w:type="pct"/>
                  <w:shd w:val="clear" w:color="auto" w:fill="auto"/>
                  <w:vAlign w:val="center"/>
                </w:tcPr>
                <w:p w14:paraId="4AB71E7C">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箱式变压器</w:t>
                  </w:r>
                </w:p>
              </w:tc>
              <w:tc>
                <w:tcPr>
                  <w:tcW w:w="1969" w:type="pct"/>
                  <w:shd w:val="clear" w:color="auto" w:fill="auto"/>
                  <w:vAlign w:val="center"/>
                </w:tcPr>
                <w:p w14:paraId="3D1CEA4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3600</w:t>
                  </w:r>
                  <w:r>
                    <w:rPr>
                      <w:rFonts w:hint="default" w:ascii="Times New Roman" w:hAnsi="Times New Roman" w:eastAsia="宋体" w:cs="Times New Roman"/>
                      <w:color w:val="auto"/>
                      <w:kern w:val="0"/>
                      <w:sz w:val="21"/>
                      <w:szCs w:val="21"/>
                      <w:highlight w:val="none"/>
                      <w:lang w:val="en-US" w:eastAsia="zh-CN" w:bidi="ar"/>
                    </w:rPr>
                    <w:t>kVA 油浸式箱变，华变，三级能耗</w:t>
                  </w:r>
                </w:p>
              </w:tc>
              <w:tc>
                <w:tcPr>
                  <w:tcW w:w="452" w:type="pct"/>
                  <w:shd w:val="clear" w:color="auto" w:fill="auto"/>
                  <w:vAlign w:val="center"/>
                </w:tcPr>
                <w:p w14:paraId="0AB47CED">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台</w:t>
                  </w:r>
                </w:p>
              </w:tc>
              <w:tc>
                <w:tcPr>
                  <w:tcW w:w="672" w:type="pct"/>
                  <w:shd w:val="clear" w:color="auto" w:fill="auto"/>
                  <w:vAlign w:val="center"/>
                </w:tcPr>
                <w:p w14:paraId="6D6FDBB4">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r>
            <w:tr w14:paraId="1574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D5EFD75">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1447" w:type="pct"/>
                  <w:shd w:val="clear" w:color="auto" w:fill="auto"/>
                  <w:vAlign w:val="center"/>
                </w:tcPr>
                <w:p w14:paraId="199040A6">
                  <w:pPr>
                    <w:keepNext w:val="0"/>
                    <w:keepLines w:val="0"/>
                    <w:widowControl/>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直流光伏电缆</w:t>
                  </w:r>
                </w:p>
              </w:tc>
              <w:tc>
                <w:tcPr>
                  <w:tcW w:w="1969" w:type="pct"/>
                  <w:shd w:val="clear" w:color="auto" w:fill="auto"/>
                  <w:vAlign w:val="center"/>
                </w:tcPr>
                <w:p w14:paraId="6809F5D8">
                  <w:pPr>
                    <w:keepNext w:val="0"/>
                    <w:keepLines w:val="0"/>
                    <w:widowControl/>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H1Z2Z2-K-1x6mm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1500V</w:t>
                  </w:r>
                  <w:r>
                    <w:rPr>
                      <w:rFonts w:hint="eastAsia" w:ascii="宋体" w:hAnsi="宋体" w:eastAsia="宋体" w:cs="宋体"/>
                      <w:color w:val="auto"/>
                      <w:kern w:val="0"/>
                      <w:sz w:val="21"/>
                      <w:szCs w:val="21"/>
                      <w:highlight w:val="none"/>
                      <w:lang w:val="en-US" w:eastAsia="zh-CN" w:bidi="ar"/>
                    </w:rPr>
                    <w:t>耐压</w:t>
                  </w:r>
                </w:p>
              </w:tc>
              <w:tc>
                <w:tcPr>
                  <w:tcW w:w="452" w:type="pct"/>
                  <w:shd w:val="clear" w:color="auto" w:fill="auto"/>
                  <w:vAlign w:val="center"/>
                </w:tcPr>
                <w:p w14:paraId="376F04F9">
                  <w:pPr>
                    <w:keepNext w:val="0"/>
                    <w:keepLines w:val="0"/>
                    <w:suppressLineNumbers w:val="0"/>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km</w:t>
                  </w:r>
                </w:p>
              </w:tc>
              <w:tc>
                <w:tcPr>
                  <w:tcW w:w="672" w:type="pct"/>
                  <w:shd w:val="clear" w:color="auto" w:fill="auto"/>
                  <w:vAlign w:val="center"/>
                </w:tcPr>
                <w:p w14:paraId="4BD434AD">
                  <w:pPr>
                    <w:keepNext w:val="0"/>
                    <w:keepLines w:val="0"/>
                    <w:suppressLineNumbers w:val="0"/>
                    <w:bidi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441</w:t>
                  </w:r>
                </w:p>
              </w:tc>
            </w:tr>
            <w:tr w14:paraId="5F72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61EF96CF">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447" w:type="pct"/>
                  <w:shd w:val="clear" w:color="auto" w:fill="auto"/>
                  <w:vAlign w:val="center"/>
                </w:tcPr>
                <w:p w14:paraId="49A9B46F">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3kV电缆</w:t>
                  </w:r>
                </w:p>
              </w:tc>
              <w:tc>
                <w:tcPr>
                  <w:tcW w:w="1969" w:type="pct"/>
                  <w:shd w:val="clear" w:color="auto" w:fill="auto"/>
                  <w:vAlign w:val="center"/>
                </w:tcPr>
                <w:p w14:paraId="778F4989">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p>
              </w:tc>
              <w:tc>
                <w:tcPr>
                  <w:tcW w:w="452" w:type="pct"/>
                  <w:shd w:val="clear" w:color="auto" w:fill="auto"/>
                  <w:vAlign w:val="center"/>
                </w:tcPr>
                <w:p w14:paraId="2F035635">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p>
              </w:tc>
              <w:tc>
                <w:tcPr>
                  <w:tcW w:w="672" w:type="pct"/>
                  <w:shd w:val="clear" w:color="auto" w:fill="auto"/>
                  <w:vAlign w:val="center"/>
                </w:tcPr>
                <w:p w14:paraId="2658B115">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p>
              </w:tc>
            </w:tr>
            <w:tr w14:paraId="0452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4630F60D">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4.1</w:t>
                  </w:r>
                </w:p>
              </w:tc>
              <w:tc>
                <w:tcPr>
                  <w:tcW w:w="1447" w:type="pct"/>
                  <w:shd w:val="clear" w:color="auto" w:fill="auto"/>
                  <w:vAlign w:val="center"/>
                </w:tcPr>
                <w:p w14:paraId="60B15646">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低压电力电缆</w:t>
                  </w:r>
                </w:p>
              </w:tc>
              <w:tc>
                <w:tcPr>
                  <w:tcW w:w="1969" w:type="pct"/>
                  <w:shd w:val="clear" w:color="auto" w:fill="auto"/>
                  <w:vAlign w:val="center"/>
                </w:tcPr>
                <w:p w14:paraId="40C92DA7">
                  <w:pPr>
                    <w:keepNext w:val="0"/>
                    <w:keepLines w:val="0"/>
                    <w:widowControl/>
                    <w:suppressLineNumbers w:val="0"/>
                    <w:spacing w:before="0" w:beforeAutospacing="0" w:after="0" w:afterAutospacing="0"/>
                    <w:ind w:left="0" w:right="0"/>
                    <w:jc w:val="center"/>
                    <w:rPr>
                      <w:rFonts w:hint="eastAsia"/>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ZC-YJLHV22-1.8/3kV-3</w:t>
                  </w:r>
                  <w:r>
                    <w:rPr>
                      <w:rFonts w:hint="eastAsia"/>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240</w:t>
                  </w:r>
                </w:p>
              </w:tc>
              <w:tc>
                <w:tcPr>
                  <w:tcW w:w="452" w:type="pct"/>
                  <w:shd w:val="clear" w:color="auto" w:fill="auto"/>
                  <w:vAlign w:val="center"/>
                </w:tcPr>
                <w:p w14:paraId="35C37D89">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km</w:t>
                  </w:r>
                </w:p>
              </w:tc>
              <w:tc>
                <w:tcPr>
                  <w:tcW w:w="672" w:type="pct"/>
                  <w:shd w:val="clear" w:color="auto" w:fill="auto"/>
                  <w:vAlign w:val="center"/>
                </w:tcPr>
                <w:p w14:paraId="19FE6041">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34.54</w:t>
                  </w:r>
                </w:p>
              </w:tc>
            </w:tr>
            <w:tr w14:paraId="5D5C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00E65C71">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1447" w:type="pct"/>
                  <w:shd w:val="clear" w:color="auto" w:fill="auto"/>
                  <w:vAlign w:val="center"/>
                </w:tcPr>
                <w:p w14:paraId="3C74A8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1kV</w:t>
                  </w:r>
                  <w:r>
                    <w:rPr>
                      <w:rFonts w:hint="default" w:ascii="瀹嬩綋" w:hAnsi="瀹嬩綋" w:eastAsia="瀹嬩綋" w:cs="瀹嬩綋"/>
                      <w:color w:val="auto"/>
                      <w:kern w:val="0"/>
                      <w:sz w:val="21"/>
                      <w:szCs w:val="21"/>
                      <w:highlight w:val="none"/>
                      <w:lang w:val="en-US" w:eastAsia="zh-CN" w:bidi="ar"/>
                    </w:rPr>
                    <w:t>动力电缆</w:t>
                  </w:r>
                </w:p>
              </w:tc>
              <w:tc>
                <w:tcPr>
                  <w:tcW w:w="1969" w:type="pct"/>
                  <w:shd w:val="clear" w:color="auto" w:fill="auto"/>
                  <w:vAlign w:val="center"/>
                </w:tcPr>
                <w:p w14:paraId="1B166B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ZC-YJV22-0.6/1kV-4</w:t>
                  </w:r>
                  <w:r>
                    <w:rPr>
                      <w:rFonts w:hint="eastAsia"/>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4</w:t>
                  </w:r>
                </w:p>
              </w:tc>
              <w:tc>
                <w:tcPr>
                  <w:tcW w:w="452" w:type="pct"/>
                  <w:shd w:val="clear" w:color="auto" w:fill="auto"/>
                  <w:vAlign w:val="center"/>
                </w:tcPr>
                <w:p w14:paraId="5AAB76FD">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km</w:t>
                  </w:r>
                </w:p>
              </w:tc>
              <w:tc>
                <w:tcPr>
                  <w:tcW w:w="672" w:type="pct"/>
                  <w:shd w:val="clear" w:color="auto" w:fill="auto"/>
                  <w:vAlign w:val="center"/>
                </w:tcPr>
                <w:p w14:paraId="6DA8179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0.5</w:t>
                  </w:r>
                </w:p>
              </w:tc>
            </w:tr>
            <w:tr w14:paraId="423D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7" w:type="pct"/>
                  <w:vAlign w:val="center"/>
                </w:tcPr>
                <w:p w14:paraId="2709546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1447" w:type="pct"/>
                  <w:shd w:val="clear" w:color="auto" w:fill="auto"/>
                  <w:vAlign w:val="center"/>
                </w:tcPr>
                <w:p w14:paraId="77DC97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瀹嬩綋" w:hAnsi="瀹嬩綋" w:eastAsia="瀹嬩綋" w:cs="瀹嬩綋"/>
                      <w:color w:val="auto"/>
                      <w:kern w:val="0"/>
                      <w:sz w:val="21"/>
                      <w:szCs w:val="21"/>
                      <w:highlight w:val="none"/>
                      <w:lang w:val="en-US" w:eastAsia="zh-CN" w:bidi="ar"/>
                    </w:rPr>
                    <w:t>低压电力电缆</w:t>
                  </w:r>
                </w:p>
              </w:tc>
              <w:tc>
                <w:tcPr>
                  <w:tcW w:w="1969" w:type="pct"/>
                  <w:shd w:val="clear" w:color="auto" w:fill="auto"/>
                  <w:vAlign w:val="center"/>
                </w:tcPr>
                <w:p w14:paraId="2C2262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ZC-YJV22-1.8/3kV-3</w:t>
                  </w:r>
                  <w:r>
                    <w:rPr>
                      <w:rFonts w:hint="eastAsia"/>
                      <w:color w:val="auto"/>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16</w:t>
                  </w:r>
                </w:p>
              </w:tc>
              <w:tc>
                <w:tcPr>
                  <w:tcW w:w="452" w:type="pct"/>
                  <w:shd w:val="clear" w:color="auto" w:fill="auto"/>
                  <w:vAlign w:val="center"/>
                </w:tcPr>
                <w:p w14:paraId="29DE75D2">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km</w:t>
                  </w:r>
                </w:p>
              </w:tc>
              <w:tc>
                <w:tcPr>
                  <w:tcW w:w="672" w:type="pct"/>
                  <w:shd w:val="clear" w:color="auto" w:fill="auto"/>
                  <w:vAlign w:val="center"/>
                </w:tcPr>
                <w:p w14:paraId="5E8F6503">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0.5</w:t>
                  </w:r>
                </w:p>
              </w:tc>
            </w:tr>
            <w:tr w14:paraId="263C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E7167C7">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447" w:type="pct"/>
                  <w:shd w:val="clear" w:color="auto" w:fill="auto"/>
                  <w:vAlign w:val="center"/>
                </w:tcPr>
                <w:p w14:paraId="04C77BCB">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接地</w:t>
                  </w:r>
                </w:p>
              </w:tc>
              <w:tc>
                <w:tcPr>
                  <w:tcW w:w="1969" w:type="pct"/>
                  <w:shd w:val="clear" w:color="auto" w:fill="auto"/>
                  <w:vAlign w:val="center"/>
                </w:tcPr>
                <w:p w14:paraId="2C785E25">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p>
              </w:tc>
              <w:tc>
                <w:tcPr>
                  <w:tcW w:w="452" w:type="pct"/>
                  <w:shd w:val="clear" w:color="auto" w:fill="auto"/>
                  <w:vAlign w:val="center"/>
                </w:tcPr>
                <w:p w14:paraId="21A90922">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p>
              </w:tc>
              <w:tc>
                <w:tcPr>
                  <w:tcW w:w="672" w:type="pct"/>
                  <w:shd w:val="clear" w:color="auto" w:fill="auto"/>
                  <w:vAlign w:val="center"/>
                </w:tcPr>
                <w:p w14:paraId="43882869">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p>
              </w:tc>
            </w:tr>
            <w:tr w14:paraId="20A5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457" w:type="pct"/>
                  <w:vAlign w:val="center"/>
                </w:tcPr>
                <w:p w14:paraId="427C0808">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5.1</w:t>
                  </w:r>
                </w:p>
              </w:tc>
              <w:tc>
                <w:tcPr>
                  <w:tcW w:w="1447" w:type="pct"/>
                  <w:shd w:val="clear" w:color="auto" w:fill="auto"/>
                  <w:vAlign w:val="center"/>
                </w:tcPr>
                <w:p w14:paraId="0998958A">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热镀锌扁钢</w:t>
                  </w:r>
                </w:p>
              </w:tc>
              <w:tc>
                <w:tcPr>
                  <w:tcW w:w="1969" w:type="pct"/>
                  <w:shd w:val="clear" w:color="auto" w:fill="auto"/>
                  <w:vAlign w:val="center"/>
                </w:tcPr>
                <w:p w14:paraId="6B69B7E3">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6</w:t>
                  </w:r>
                  <w:r>
                    <w:rPr>
                      <w:rFonts w:hint="default"/>
                      <w:color w:val="auto"/>
                      <w:sz w:val="21"/>
                      <w:szCs w:val="21"/>
                      <w:highlight w:val="none"/>
                      <w:lang w:val="en-US" w:eastAsia="zh-CN"/>
                    </w:rPr>
                    <w:t>0*</w:t>
                  </w:r>
                  <w:r>
                    <w:rPr>
                      <w:rFonts w:hint="eastAsia"/>
                      <w:color w:val="auto"/>
                      <w:sz w:val="21"/>
                      <w:szCs w:val="21"/>
                      <w:highlight w:val="none"/>
                      <w:lang w:val="en-US" w:eastAsia="zh-CN"/>
                    </w:rPr>
                    <w:t>6</w:t>
                  </w:r>
                </w:p>
              </w:tc>
              <w:tc>
                <w:tcPr>
                  <w:tcW w:w="452" w:type="pct"/>
                  <w:shd w:val="clear" w:color="auto" w:fill="auto"/>
                  <w:vAlign w:val="center"/>
                </w:tcPr>
                <w:p w14:paraId="452E27F8">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km</w:t>
                  </w:r>
                </w:p>
              </w:tc>
              <w:tc>
                <w:tcPr>
                  <w:tcW w:w="672" w:type="pct"/>
                  <w:shd w:val="clear" w:color="auto" w:fill="auto"/>
                  <w:vAlign w:val="center"/>
                </w:tcPr>
                <w:p w14:paraId="09219095">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39</w:t>
                  </w:r>
                </w:p>
              </w:tc>
            </w:tr>
            <w:tr w14:paraId="455A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50D41F96">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5.2</w:t>
                  </w:r>
                </w:p>
              </w:tc>
              <w:tc>
                <w:tcPr>
                  <w:tcW w:w="1447" w:type="pct"/>
                  <w:shd w:val="clear" w:color="auto" w:fill="auto"/>
                  <w:vAlign w:val="center"/>
                </w:tcPr>
                <w:p w14:paraId="71DA30FA">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热镀锌扁钢</w:t>
                  </w:r>
                </w:p>
              </w:tc>
              <w:tc>
                <w:tcPr>
                  <w:tcW w:w="1969" w:type="pct"/>
                  <w:shd w:val="clear" w:color="auto" w:fill="auto"/>
                  <w:vAlign w:val="center"/>
                </w:tcPr>
                <w:p w14:paraId="23530E1F">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default"/>
                      <w:color w:val="auto"/>
                      <w:sz w:val="21"/>
                      <w:szCs w:val="21"/>
                      <w:highlight w:val="none"/>
                      <w:lang w:val="en-US" w:eastAsia="zh-CN"/>
                    </w:rPr>
                    <w:t>0*</w:t>
                  </w:r>
                  <w:r>
                    <w:rPr>
                      <w:rFonts w:hint="eastAsia"/>
                      <w:color w:val="auto"/>
                      <w:sz w:val="21"/>
                      <w:szCs w:val="21"/>
                      <w:highlight w:val="none"/>
                      <w:lang w:val="en-US" w:eastAsia="zh-CN"/>
                    </w:rPr>
                    <w:t>5</w:t>
                  </w:r>
                </w:p>
              </w:tc>
              <w:tc>
                <w:tcPr>
                  <w:tcW w:w="452" w:type="pct"/>
                  <w:shd w:val="clear" w:color="auto" w:fill="auto"/>
                  <w:vAlign w:val="center"/>
                </w:tcPr>
                <w:p w14:paraId="0E9B9C7D">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km</w:t>
                  </w:r>
                </w:p>
              </w:tc>
              <w:tc>
                <w:tcPr>
                  <w:tcW w:w="672" w:type="pct"/>
                  <w:shd w:val="clear" w:color="auto" w:fill="auto"/>
                  <w:vAlign w:val="center"/>
                </w:tcPr>
                <w:p w14:paraId="5D2637EA">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39</w:t>
                  </w:r>
                </w:p>
              </w:tc>
            </w:tr>
            <w:tr w14:paraId="335E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461ADBED">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5.2</w:t>
                  </w:r>
                </w:p>
              </w:tc>
              <w:tc>
                <w:tcPr>
                  <w:tcW w:w="1447" w:type="pct"/>
                  <w:shd w:val="clear" w:color="auto" w:fill="auto"/>
                  <w:vAlign w:val="center"/>
                </w:tcPr>
                <w:p w14:paraId="69109DA8">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光伏组件接地线</w:t>
                  </w:r>
                </w:p>
              </w:tc>
              <w:tc>
                <w:tcPr>
                  <w:tcW w:w="1969" w:type="pct"/>
                  <w:shd w:val="clear" w:color="auto" w:fill="auto"/>
                  <w:vAlign w:val="center"/>
                </w:tcPr>
                <w:p w14:paraId="2866EA40">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BVR-1*4mm</w:t>
                  </w:r>
                  <w:r>
                    <w:rPr>
                      <w:rFonts w:hint="eastAsia"/>
                      <w:color w:val="auto"/>
                      <w:sz w:val="21"/>
                      <w:szCs w:val="21"/>
                      <w:highlight w:val="none"/>
                      <w:vertAlign w:val="superscript"/>
                      <w:lang w:val="en-US" w:eastAsia="zh-CN"/>
                    </w:rPr>
                    <w:t>2</w:t>
                  </w:r>
                </w:p>
              </w:tc>
              <w:tc>
                <w:tcPr>
                  <w:tcW w:w="452" w:type="pct"/>
                  <w:shd w:val="clear" w:color="auto" w:fill="auto"/>
                  <w:vAlign w:val="center"/>
                </w:tcPr>
                <w:p w14:paraId="43CE7795">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km</w:t>
                  </w:r>
                </w:p>
              </w:tc>
              <w:tc>
                <w:tcPr>
                  <w:tcW w:w="672" w:type="pct"/>
                  <w:shd w:val="clear" w:color="auto" w:fill="auto"/>
                  <w:vAlign w:val="center"/>
                </w:tcPr>
                <w:p w14:paraId="65376D47">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21.5</w:t>
                  </w:r>
                </w:p>
              </w:tc>
            </w:tr>
            <w:tr w14:paraId="4744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8F531BF">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5.3</w:t>
                  </w:r>
                </w:p>
              </w:tc>
              <w:tc>
                <w:tcPr>
                  <w:tcW w:w="1447" w:type="pct"/>
                  <w:shd w:val="clear" w:color="auto" w:fill="auto"/>
                  <w:vAlign w:val="center"/>
                </w:tcPr>
                <w:p w14:paraId="2629A99E">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逆变器接地线</w:t>
                  </w:r>
                </w:p>
              </w:tc>
              <w:tc>
                <w:tcPr>
                  <w:tcW w:w="1969" w:type="pct"/>
                  <w:shd w:val="clear" w:color="auto" w:fill="auto"/>
                  <w:vAlign w:val="center"/>
                </w:tcPr>
                <w:p w14:paraId="16EA5E8D">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BVR-1× 25mm</w:t>
                  </w:r>
                  <w:r>
                    <w:rPr>
                      <w:rFonts w:hint="default"/>
                      <w:color w:val="auto"/>
                      <w:sz w:val="21"/>
                      <w:szCs w:val="21"/>
                      <w:highlight w:val="none"/>
                      <w:vertAlign w:val="superscript"/>
                      <w:lang w:val="en-US" w:eastAsia="zh-CN"/>
                    </w:rPr>
                    <w:t>2</w:t>
                  </w:r>
                </w:p>
              </w:tc>
              <w:tc>
                <w:tcPr>
                  <w:tcW w:w="452" w:type="pct"/>
                  <w:shd w:val="clear" w:color="auto" w:fill="auto"/>
                  <w:vAlign w:val="center"/>
                </w:tcPr>
                <w:p w14:paraId="307F4372">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km</w:t>
                  </w:r>
                </w:p>
              </w:tc>
              <w:tc>
                <w:tcPr>
                  <w:tcW w:w="672" w:type="pct"/>
                  <w:shd w:val="clear" w:color="auto" w:fill="auto"/>
                  <w:vAlign w:val="center"/>
                </w:tcPr>
                <w:p w14:paraId="7B105B22">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0.6</w:t>
                  </w:r>
                </w:p>
              </w:tc>
            </w:tr>
            <w:tr w14:paraId="1BC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57" w:type="pct"/>
                  <w:vAlign w:val="center"/>
                </w:tcPr>
                <w:p w14:paraId="3C13EB46">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5.4</w:t>
                  </w:r>
                </w:p>
              </w:tc>
              <w:tc>
                <w:tcPr>
                  <w:tcW w:w="1447" w:type="pct"/>
                  <w:shd w:val="clear" w:color="auto" w:fill="auto"/>
                  <w:vAlign w:val="center"/>
                </w:tcPr>
                <w:p w14:paraId="6C3FDC2C">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垂直接地极</w:t>
                  </w:r>
                </w:p>
              </w:tc>
              <w:tc>
                <w:tcPr>
                  <w:tcW w:w="1969" w:type="pct"/>
                  <w:shd w:val="clear" w:color="auto" w:fill="auto"/>
                  <w:vAlign w:val="center"/>
                </w:tcPr>
                <w:p w14:paraId="5ABC6B57">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default"/>
                      <w:color w:val="auto"/>
                      <w:sz w:val="21"/>
                      <w:szCs w:val="21"/>
                      <w:highlight w:val="none"/>
                      <w:lang w:val="en-US" w:eastAsia="zh-CN"/>
                    </w:rPr>
                    <w:t xml:space="preserve">50×50×5 镀锌角钢L=2500mm </w:t>
                  </w:r>
                </w:p>
              </w:tc>
              <w:tc>
                <w:tcPr>
                  <w:tcW w:w="452" w:type="pct"/>
                  <w:shd w:val="clear" w:color="auto" w:fill="auto"/>
                  <w:vAlign w:val="center"/>
                </w:tcPr>
                <w:p w14:paraId="021471CB">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根</w:t>
                  </w:r>
                </w:p>
              </w:tc>
              <w:tc>
                <w:tcPr>
                  <w:tcW w:w="672" w:type="pct"/>
                  <w:shd w:val="clear" w:color="auto" w:fill="auto"/>
                  <w:vAlign w:val="center"/>
                </w:tcPr>
                <w:p w14:paraId="19162A14">
                  <w:pPr>
                    <w:keepNext w:val="0"/>
                    <w:keepLines w:val="0"/>
                    <w:suppressLineNumbers w:val="0"/>
                    <w:bidi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570</w:t>
                  </w:r>
                </w:p>
              </w:tc>
            </w:tr>
            <w:bookmarkEnd w:id="16"/>
          </w:tbl>
          <w:p w14:paraId="5327DE1E">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color w:val="auto"/>
                <w:sz w:val="24"/>
                <w:highlight w:val="none"/>
                <w:shd w:val="clear" w:color="auto" w:fill="auto"/>
                <w:lang w:val="en-US" w:eastAsia="zh-CN"/>
              </w:rPr>
              <w:t>四</w:t>
            </w:r>
            <w:r>
              <w:rPr>
                <w:rFonts w:hint="eastAsia"/>
                <w:b/>
                <w:color w:val="auto"/>
                <w:sz w:val="24"/>
                <w:highlight w:val="none"/>
                <w:shd w:val="clear" w:color="auto" w:fill="auto"/>
              </w:rPr>
              <w:t>、</w:t>
            </w:r>
            <w:r>
              <w:rPr>
                <w:rFonts w:hint="eastAsia"/>
                <w:b/>
                <w:bCs/>
                <w:color w:val="auto"/>
                <w:sz w:val="24"/>
                <w:highlight w:val="none"/>
                <w:shd w:val="clear" w:color="auto" w:fill="auto"/>
              </w:rPr>
              <w:t>项目占地及移民安置</w:t>
            </w:r>
          </w:p>
          <w:p w14:paraId="017FB9E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（1）项目占地</w:t>
            </w:r>
          </w:p>
          <w:p w14:paraId="25525069">
            <w:pPr>
              <w:pStyle w:val="100"/>
              <w:keepNext w:val="0"/>
              <w:keepLines w:val="0"/>
              <w:suppressLineNumbers w:val="0"/>
              <w:spacing w:before="0" w:beforeAutospacing="0" w:after="0" w:afterAutospacing="0"/>
              <w:ind w:left="0" w:right="0" w:firstLine="480"/>
              <w:rPr>
                <w:rFonts w:hint="eastAsia" w:eastAsia="宋体"/>
                <w:color w:val="auto"/>
                <w:sz w:val="24"/>
                <w:szCs w:val="24"/>
                <w:highlight w:val="none"/>
                <w:shd w:val="clear" w:color="auto" w:fill="auto"/>
                <w:lang w:eastAsia="zh-CN"/>
              </w:rPr>
            </w:pPr>
            <w:r>
              <w:rPr>
                <w:rFonts w:hint="eastAsia" w:ascii="宋体" w:hAnsi="宋体" w:cs="宋体"/>
                <w:color w:val="auto"/>
                <w:kern w:val="0"/>
                <w:sz w:val="24"/>
                <w:szCs w:val="24"/>
                <w:highlight w:val="none"/>
                <w:shd w:val="clear" w:color="auto" w:fill="auto"/>
                <w:lang w:val="en-US" w:eastAsia="zh-CN" w:bidi="ar"/>
              </w:rPr>
              <w:t>项目原始占地类型主要为林地、草地、交通运输用地和裸土地，实际</w:t>
            </w:r>
            <w:r>
              <w:rPr>
                <w:rFonts w:hint="default"/>
                <w:color w:val="auto"/>
                <w:sz w:val="24"/>
                <w:szCs w:val="24"/>
                <w:highlight w:val="none"/>
                <w:shd w:val="clear" w:color="auto" w:fill="auto"/>
              </w:rPr>
              <w:t>总占地面积为</w:t>
            </w:r>
            <w:r>
              <w:rPr>
                <w:rFonts w:hint="eastAsia"/>
                <w:color w:val="auto"/>
                <w:sz w:val="24"/>
                <w:szCs w:val="24"/>
                <w:highlight w:val="none"/>
                <w:shd w:val="clear" w:color="auto" w:fill="auto"/>
                <w:lang w:val="en-US" w:eastAsia="zh-CN"/>
              </w:rPr>
              <w:t>69.76</w:t>
            </w:r>
            <w:r>
              <w:rPr>
                <w:rFonts w:hint="default"/>
                <w:color w:val="auto"/>
                <w:sz w:val="24"/>
                <w:szCs w:val="24"/>
                <w:highlight w:val="none"/>
                <w:shd w:val="clear" w:color="auto" w:fill="auto"/>
              </w:rPr>
              <w:t>hm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，其中永久占地</w:t>
            </w:r>
            <w:r>
              <w:rPr>
                <w:rFonts w:hint="eastAsia"/>
                <w:color w:val="auto"/>
                <w:sz w:val="24"/>
                <w:szCs w:val="24"/>
                <w:highlight w:val="none"/>
                <w:shd w:val="clear" w:color="auto" w:fill="auto"/>
                <w:lang w:val="en-US" w:eastAsia="zh-CN"/>
              </w:rPr>
              <w:t>0.05</w:t>
            </w:r>
            <w:r>
              <w:rPr>
                <w:rFonts w:hint="default"/>
                <w:color w:val="auto"/>
                <w:sz w:val="24"/>
                <w:szCs w:val="24"/>
                <w:highlight w:val="none"/>
                <w:shd w:val="clear" w:color="auto" w:fill="auto"/>
              </w:rPr>
              <w:t>hm</w:t>
            </w:r>
            <w:r>
              <w:rPr>
                <w:rFonts w:hint="default"/>
                <w:color w:val="auto"/>
                <w:sz w:val="24"/>
                <w:szCs w:val="24"/>
                <w:highlight w:val="none"/>
                <w:shd w:val="clear" w:color="auto" w:fill="auto"/>
                <w:vertAlign w:val="superscript"/>
              </w:rPr>
              <w:t>2</w:t>
            </w:r>
            <w:r>
              <w:rPr>
                <w:rFonts w:hint="default"/>
                <w:color w:val="auto"/>
                <w:sz w:val="24"/>
                <w:szCs w:val="24"/>
                <w:highlight w:val="none"/>
                <w:shd w:val="clear" w:color="auto" w:fill="auto"/>
              </w:rPr>
              <w:t>，</w:t>
            </w:r>
            <w:r>
              <w:rPr>
                <w:rFonts w:hint="default"/>
                <w:color w:val="auto"/>
                <w:highlight w:val="none"/>
              </w:rPr>
              <w:t>项目原始占地类型主要为林地、</w:t>
            </w:r>
            <w:r>
              <w:rPr>
                <w:rFonts w:hint="eastAsia"/>
                <w:color w:val="auto"/>
                <w:highlight w:val="none"/>
                <w:lang w:eastAsia="zh-CN"/>
              </w:rPr>
              <w:t>其他</w:t>
            </w:r>
            <w:r>
              <w:rPr>
                <w:rFonts w:hint="default"/>
                <w:color w:val="auto"/>
                <w:highlight w:val="none"/>
              </w:rPr>
              <w:t>草地、交通运输用地</w:t>
            </w:r>
            <w:r>
              <w:rPr>
                <w:rFonts w:hint="eastAsia"/>
                <w:color w:val="auto"/>
                <w:highlight w:val="none"/>
                <w:lang w:eastAsia="zh-CN"/>
              </w:rPr>
              <w:t>、裸土地</w:t>
            </w:r>
            <w:r>
              <w:rPr>
                <w:rFonts w:hint="default"/>
                <w:color w:val="auto"/>
                <w:highlight w:val="none"/>
              </w:rPr>
              <w:t>，其中占用林地</w:t>
            </w:r>
            <w:r>
              <w:rPr>
                <w:rFonts w:hint="eastAsia"/>
                <w:color w:val="auto"/>
                <w:highlight w:val="none"/>
                <w:lang w:val="en-US" w:eastAsia="zh-CN"/>
              </w:rPr>
              <w:t>28.03</w:t>
            </w:r>
            <w:r>
              <w:rPr>
                <w:rFonts w:hint="default"/>
                <w:color w:val="auto"/>
                <w:highlight w:val="none"/>
              </w:rPr>
              <w:t>hm</w:t>
            </w:r>
            <w:r>
              <w:rPr>
                <w:rFonts w:hint="default"/>
                <w:color w:val="auto"/>
                <w:highlight w:val="none"/>
                <w:vertAlign w:val="superscript"/>
              </w:rPr>
              <w:t>2</w:t>
            </w:r>
            <w:r>
              <w:rPr>
                <w:rFonts w:hint="default"/>
                <w:color w:val="auto"/>
                <w:highlight w:val="none"/>
              </w:rPr>
              <w:t>，</w:t>
            </w:r>
            <w:r>
              <w:rPr>
                <w:rFonts w:hint="eastAsia"/>
                <w:color w:val="auto"/>
                <w:highlight w:val="none"/>
                <w:lang w:eastAsia="zh-CN"/>
              </w:rPr>
              <w:t>其他</w:t>
            </w:r>
            <w:r>
              <w:rPr>
                <w:rFonts w:hint="default"/>
                <w:color w:val="auto"/>
                <w:highlight w:val="none"/>
              </w:rPr>
              <w:t>草地</w:t>
            </w:r>
            <w:r>
              <w:rPr>
                <w:rFonts w:hint="eastAsia"/>
                <w:color w:val="auto"/>
                <w:highlight w:val="none"/>
                <w:lang w:val="en-US" w:eastAsia="zh-CN"/>
              </w:rPr>
              <w:t>41.43</w:t>
            </w:r>
            <w:r>
              <w:rPr>
                <w:rFonts w:hint="default"/>
                <w:color w:val="auto"/>
                <w:highlight w:val="none"/>
              </w:rPr>
              <w:t>hm</w:t>
            </w:r>
            <w:r>
              <w:rPr>
                <w:rFonts w:hint="default"/>
                <w:color w:val="auto"/>
                <w:highlight w:val="none"/>
                <w:vertAlign w:val="superscript"/>
              </w:rPr>
              <w:t>2</w:t>
            </w:r>
            <w:r>
              <w:rPr>
                <w:rFonts w:hint="default"/>
                <w:color w:val="auto"/>
                <w:highlight w:val="none"/>
              </w:rPr>
              <w:t>，交通运输用地</w:t>
            </w:r>
            <w:r>
              <w:rPr>
                <w:rFonts w:hint="eastAsia"/>
                <w:color w:val="auto"/>
                <w:highlight w:val="none"/>
                <w:lang w:val="en-US" w:eastAsia="zh-CN"/>
              </w:rPr>
              <w:t>0.28</w:t>
            </w:r>
            <w:r>
              <w:rPr>
                <w:rFonts w:hint="default"/>
                <w:color w:val="auto"/>
                <w:highlight w:val="none"/>
              </w:rPr>
              <w:t>hm</w:t>
            </w:r>
            <w:r>
              <w:rPr>
                <w:rFonts w:hint="default"/>
                <w:color w:val="auto"/>
                <w:highlight w:val="none"/>
                <w:vertAlign w:val="superscript"/>
              </w:rPr>
              <w:t>2</w:t>
            </w:r>
            <w:r>
              <w:rPr>
                <w:rFonts w:hint="eastAsia"/>
                <w:color w:val="auto"/>
                <w:highlight w:val="none"/>
                <w:vertAlign w:val="baseline"/>
                <w:lang w:eastAsia="zh-CN"/>
              </w:rPr>
              <w:t>，裸土地</w:t>
            </w:r>
            <w:r>
              <w:rPr>
                <w:rFonts w:hint="eastAsia"/>
                <w:color w:val="auto"/>
                <w:highlight w:val="none"/>
                <w:lang w:val="en-US" w:eastAsia="zh-CN"/>
              </w:rPr>
              <w:t>0.02</w:t>
            </w:r>
            <w:r>
              <w:rPr>
                <w:rFonts w:hint="default"/>
                <w:color w:val="auto"/>
                <w:highlight w:val="none"/>
              </w:rPr>
              <w:t>hm</w:t>
            </w:r>
            <w:r>
              <w:rPr>
                <w:rFonts w:hint="default"/>
                <w:color w:val="auto"/>
                <w:highlight w:val="none"/>
                <w:vertAlign w:val="superscript"/>
              </w:rPr>
              <w:t>2</w:t>
            </w:r>
            <w:r>
              <w:rPr>
                <w:rFonts w:hint="default"/>
                <w:color w:val="auto"/>
                <w:highlight w:val="none"/>
              </w:rPr>
              <w:t>。</w:t>
            </w:r>
            <w:r>
              <w:rPr>
                <w:rFonts w:hint="eastAsia"/>
                <w:color w:val="auto"/>
                <w:sz w:val="24"/>
                <w:szCs w:val="24"/>
                <w:highlight w:val="none"/>
                <w:shd w:val="clear" w:color="auto" w:fill="auto"/>
              </w:rPr>
              <w:t>各项占地指标见下表</w:t>
            </w:r>
            <w:r>
              <w:rPr>
                <w:rFonts w:hint="eastAsia"/>
                <w:color w:val="auto"/>
                <w:sz w:val="24"/>
                <w:szCs w:val="24"/>
                <w:highlight w:val="none"/>
                <w:shd w:val="clear" w:color="auto" w:fill="auto"/>
                <w:lang w:eastAsia="zh-CN"/>
              </w:rPr>
              <w:t>：</w:t>
            </w:r>
          </w:p>
          <w:p w14:paraId="64371895">
            <w:pPr>
              <w:keepNext w:val="0"/>
              <w:keepLines w:val="0"/>
              <w:suppressLineNumbers w:val="0"/>
              <w:shd w:val="clear"/>
              <w:adjustRightInd w:val="0"/>
              <w:snapToGrid w:val="0"/>
              <w:spacing w:before="0" w:beforeAutospacing="0" w:after="0" w:afterAutospacing="0"/>
              <w:ind w:left="0" w:right="0" w:firstLine="422" w:firstLineChars="200"/>
              <w:jc w:val="center"/>
              <w:rPr>
                <w:rFonts w:hint="eastAsia"/>
                <w:b/>
                <w:color w:val="auto"/>
                <w:kern w:val="0"/>
                <w:szCs w:val="21"/>
                <w:highlight w:val="none"/>
                <w:shd w:val="clear" w:color="auto" w:fill="auto"/>
                <w:vertAlign w:val="superscript"/>
                <w:lang w:val="en-US" w:eastAsia="zh-CN"/>
              </w:rPr>
            </w:pPr>
            <w:r>
              <w:rPr>
                <w:rFonts w:hint="default"/>
                <w:b/>
                <w:color w:val="auto"/>
                <w:kern w:val="0"/>
                <w:szCs w:val="21"/>
                <w:highlight w:val="none"/>
                <w:shd w:val="clear" w:color="auto" w:fill="auto"/>
              </w:rPr>
              <w:t>表2-</w:t>
            </w:r>
            <w:r>
              <w:rPr>
                <w:rFonts w:hint="eastAsia"/>
                <w:b/>
                <w:color w:val="auto"/>
                <w:kern w:val="0"/>
                <w:szCs w:val="21"/>
                <w:highlight w:val="none"/>
                <w:shd w:val="clear" w:color="auto" w:fill="auto"/>
                <w:lang w:val="en-US" w:eastAsia="zh-CN"/>
              </w:rPr>
              <w:t xml:space="preserve">4  </w:t>
            </w:r>
            <w:r>
              <w:rPr>
                <w:rFonts w:hint="eastAsia"/>
                <w:b/>
                <w:color w:val="auto"/>
                <w:kern w:val="0"/>
                <w:szCs w:val="21"/>
                <w:highlight w:val="none"/>
                <w:shd w:val="clear" w:color="auto" w:fill="auto"/>
              </w:rPr>
              <w:t>项目</w:t>
            </w:r>
            <w:r>
              <w:rPr>
                <w:rFonts w:hint="default"/>
                <w:b/>
                <w:color w:val="auto"/>
                <w:kern w:val="0"/>
                <w:szCs w:val="21"/>
                <w:highlight w:val="none"/>
                <w:shd w:val="clear" w:color="auto" w:fill="auto"/>
              </w:rPr>
              <w:t>主要占地指标表</w:t>
            </w:r>
            <w:r>
              <w:rPr>
                <w:rFonts w:hint="eastAsia"/>
                <w:b/>
                <w:color w:val="auto"/>
                <w:kern w:val="0"/>
                <w:szCs w:val="21"/>
                <w:highlight w:val="none"/>
                <w:shd w:val="clear" w:color="auto" w:fill="auto"/>
                <w:lang w:val="en-US" w:eastAsia="zh-CN"/>
              </w:rPr>
              <w:t xml:space="preserve">  单位：hm</w:t>
            </w:r>
            <w:r>
              <w:rPr>
                <w:rFonts w:hint="eastAsia"/>
                <w:b/>
                <w:color w:val="auto"/>
                <w:kern w:val="0"/>
                <w:szCs w:val="21"/>
                <w:highlight w:val="none"/>
                <w:shd w:val="clear" w:color="auto" w:fill="auto"/>
                <w:vertAlign w:val="superscript"/>
                <w:lang w:val="en-US" w:eastAsia="zh-CN"/>
              </w:rPr>
              <w:t>2</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9"/>
              <w:gridCol w:w="1048"/>
              <w:gridCol w:w="928"/>
              <w:gridCol w:w="804"/>
              <w:gridCol w:w="914"/>
              <w:gridCol w:w="927"/>
              <w:gridCol w:w="805"/>
              <w:gridCol w:w="809"/>
            </w:tblGrid>
            <w:tr w14:paraId="3041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 w:type="pct"/>
                  <w:vMerge w:val="restart"/>
                  <w:shd w:val="clear" w:color="auto" w:fill="auto"/>
                  <w:vAlign w:val="center"/>
                </w:tcPr>
                <w:p w14:paraId="5D65C4A6">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273" w:type="pct"/>
                  <w:gridSpan w:val="2"/>
                  <w:vMerge w:val="restart"/>
                  <w:shd w:val="clear" w:color="auto" w:fill="auto"/>
                  <w:vAlign w:val="center"/>
                </w:tcPr>
                <w:p w14:paraId="2435F723">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项目组成</w:t>
                  </w:r>
                </w:p>
              </w:tc>
              <w:tc>
                <w:tcPr>
                  <w:tcW w:w="616" w:type="pct"/>
                  <w:vMerge w:val="restart"/>
                  <w:shd w:val="clear" w:color="auto" w:fill="auto"/>
                  <w:vAlign w:val="center"/>
                </w:tcPr>
                <w:p w14:paraId="2C9A7BCE">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小计（hm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2291" w:type="pct"/>
                  <w:gridSpan w:val="4"/>
                  <w:shd w:val="clear" w:color="auto" w:fill="auto"/>
                  <w:vAlign w:val="center"/>
                </w:tcPr>
                <w:p w14:paraId="5484D2BA">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占地类型及面积（hm²）</w:t>
                  </w:r>
                </w:p>
              </w:tc>
              <w:tc>
                <w:tcPr>
                  <w:tcW w:w="537" w:type="pct"/>
                  <w:vMerge w:val="restart"/>
                  <w:shd w:val="clear" w:color="auto" w:fill="auto"/>
                  <w:vAlign w:val="center"/>
                </w:tcPr>
                <w:p w14:paraId="4DB1922F">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占地性质</w:t>
                  </w:r>
                </w:p>
              </w:tc>
            </w:tr>
            <w:tr w14:paraId="6A7A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81" w:type="pct"/>
                  <w:vMerge w:val="continue"/>
                  <w:shd w:val="clear" w:color="auto" w:fill="auto"/>
                  <w:vAlign w:val="center"/>
                </w:tcPr>
                <w:p w14:paraId="6D886C64">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1273" w:type="pct"/>
                  <w:gridSpan w:val="2"/>
                  <w:vMerge w:val="continue"/>
                  <w:shd w:val="clear" w:color="auto" w:fill="auto"/>
                  <w:vAlign w:val="center"/>
                </w:tcPr>
                <w:p w14:paraId="25B33037">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616" w:type="pct"/>
                  <w:vMerge w:val="continue"/>
                  <w:shd w:val="clear" w:color="auto" w:fill="auto"/>
                  <w:vAlign w:val="center"/>
                </w:tcPr>
                <w:p w14:paraId="45386DCB">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534" w:type="pct"/>
                  <w:shd w:val="clear" w:color="auto" w:fill="auto"/>
                  <w:vAlign w:val="center"/>
                </w:tcPr>
                <w:p w14:paraId="20D8CFC0">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林地</w:t>
                  </w:r>
                </w:p>
              </w:tc>
              <w:tc>
                <w:tcPr>
                  <w:tcW w:w="607" w:type="pct"/>
                  <w:shd w:val="clear" w:color="auto" w:fill="auto"/>
                  <w:vAlign w:val="center"/>
                </w:tcPr>
                <w:p w14:paraId="38A6CBC5">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草地</w:t>
                  </w:r>
                </w:p>
              </w:tc>
              <w:tc>
                <w:tcPr>
                  <w:tcW w:w="615" w:type="pct"/>
                  <w:shd w:val="clear" w:color="auto" w:fill="auto"/>
                  <w:vAlign w:val="center"/>
                </w:tcPr>
                <w:p w14:paraId="58EABC62">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交通运输用地</w:t>
                  </w:r>
                </w:p>
              </w:tc>
              <w:tc>
                <w:tcPr>
                  <w:tcW w:w="534" w:type="pct"/>
                  <w:shd w:val="clear" w:color="auto" w:fill="auto"/>
                  <w:vAlign w:val="center"/>
                </w:tcPr>
                <w:p w14:paraId="27A5185E">
                  <w:pPr>
                    <w:pStyle w:val="154"/>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裸土地</w:t>
                  </w:r>
                </w:p>
              </w:tc>
              <w:tc>
                <w:tcPr>
                  <w:tcW w:w="537" w:type="pct"/>
                  <w:vMerge w:val="continue"/>
                  <w:shd w:val="clear" w:color="auto" w:fill="auto"/>
                  <w:vAlign w:val="center"/>
                </w:tcPr>
                <w:p w14:paraId="4ED1E746">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1DC4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81" w:type="pct"/>
                  <w:vMerge w:val="restart"/>
                  <w:shd w:val="clear" w:color="auto" w:fill="auto"/>
                  <w:vAlign w:val="center"/>
                </w:tcPr>
                <w:p w14:paraId="6C48DA17">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77" w:type="pct"/>
                  <w:vMerge w:val="restart"/>
                  <w:shd w:val="clear" w:color="auto" w:fill="auto"/>
                  <w:vAlign w:val="center"/>
                </w:tcPr>
                <w:p w14:paraId="41E39B58">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光伏发电系统区</w:t>
                  </w:r>
                </w:p>
              </w:tc>
              <w:tc>
                <w:tcPr>
                  <w:tcW w:w="696" w:type="pct"/>
                  <w:shd w:val="clear" w:color="auto" w:fill="auto"/>
                  <w:vAlign w:val="center"/>
                </w:tcPr>
                <w:p w14:paraId="53CB4387">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光伏板阵列</w:t>
                  </w:r>
                </w:p>
              </w:tc>
              <w:tc>
                <w:tcPr>
                  <w:tcW w:w="616" w:type="pct"/>
                  <w:shd w:val="clear" w:color="auto" w:fill="auto"/>
                  <w:vAlign w:val="center"/>
                </w:tcPr>
                <w:p w14:paraId="3861A174">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51.07</w:t>
                  </w:r>
                  <w:r>
                    <w:rPr>
                      <w:rFonts w:hint="default" w:ascii="Times New Roman" w:hAnsi="Times New Roman" w:eastAsia="宋体" w:cs="Times New Roman"/>
                      <w:color w:val="auto"/>
                      <w:sz w:val="21"/>
                      <w:szCs w:val="21"/>
                      <w:highlight w:val="none"/>
                    </w:rPr>
                    <w:t xml:space="preserve"> </w:t>
                  </w:r>
                </w:p>
              </w:tc>
              <w:tc>
                <w:tcPr>
                  <w:tcW w:w="534" w:type="pct"/>
                  <w:shd w:val="clear" w:color="auto" w:fill="auto"/>
                  <w:vAlign w:val="center"/>
                </w:tcPr>
                <w:p w14:paraId="147BB60F">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olor w:val="auto"/>
                      <w:highlight w:val="none"/>
                      <w:lang w:val="en-US" w:eastAsia="zh-CN"/>
                    </w:rPr>
                    <w:t>25.96</w:t>
                  </w:r>
                </w:p>
              </w:tc>
              <w:tc>
                <w:tcPr>
                  <w:tcW w:w="607" w:type="pct"/>
                  <w:shd w:val="clear" w:color="auto" w:fill="auto"/>
                  <w:vAlign w:val="center"/>
                </w:tcPr>
                <w:p w14:paraId="69042BE6">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olor w:val="auto"/>
                      <w:highlight w:val="none"/>
                      <w:lang w:val="en-US" w:eastAsia="zh-CN"/>
                    </w:rPr>
                    <w:t>25.06</w:t>
                  </w:r>
                </w:p>
              </w:tc>
              <w:tc>
                <w:tcPr>
                  <w:tcW w:w="615" w:type="pct"/>
                  <w:shd w:val="clear" w:color="auto" w:fill="auto"/>
                  <w:vAlign w:val="center"/>
                </w:tcPr>
                <w:p w14:paraId="1F5CB899">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534" w:type="pct"/>
                  <w:shd w:val="clear" w:color="auto" w:fill="auto"/>
                  <w:vAlign w:val="center"/>
                </w:tcPr>
                <w:p w14:paraId="714B5E9F">
                  <w:pPr>
                    <w:pStyle w:val="155"/>
                    <w:keepNext w:val="0"/>
                    <w:keepLines w:val="0"/>
                    <w:suppressLineNumbers w:val="0"/>
                    <w:spacing w:before="0" w:beforeAutospacing="0" w:after="0" w:afterAutospacing="0"/>
                    <w:ind w:left="0" w:right="0" w:firstLine="0" w:firstLineChars="0"/>
                    <w:rPr>
                      <w:rFonts w:hint="eastAsia" w:eastAsia="宋体"/>
                      <w:color w:val="auto"/>
                      <w:highlight w:val="none"/>
                      <w:lang w:val="en-US" w:eastAsia="zh-CN"/>
                    </w:rPr>
                  </w:pPr>
                </w:p>
              </w:tc>
              <w:tc>
                <w:tcPr>
                  <w:tcW w:w="537" w:type="pct"/>
                  <w:shd w:val="clear" w:color="auto" w:fill="auto"/>
                  <w:vAlign w:val="center"/>
                </w:tcPr>
                <w:p w14:paraId="4322813A">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r>
            <w:tr w14:paraId="4F3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1" w:type="pct"/>
                  <w:vMerge w:val="continue"/>
                  <w:shd w:val="clear" w:color="auto" w:fill="auto"/>
                  <w:vAlign w:val="center"/>
                </w:tcPr>
                <w:p w14:paraId="1071C2BD">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577" w:type="pct"/>
                  <w:vMerge w:val="continue"/>
                  <w:shd w:val="clear" w:color="auto" w:fill="auto"/>
                  <w:vAlign w:val="center"/>
                </w:tcPr>
                <w:p w14:paraId="774876FE">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696" w:type="pct"/>
                  <w:shd w:val="clear" w:color="auto" w:fill="auto"/>
                  <w:vAlign w:val="center"/>
                </w:tcPr>
                <w:p w14:paraId="3209E02A">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箱变</w:t>
                  </w:r>
                </w:p>
              </w:tc>
              <w:tc>
                <w:tcPr>
                  <w:tcW w:w="616" w:type="pct"/>
                  <w:shd w:val="clear" w:color="auto" w:fill="auto"/>
                  <w:vAlign w:val="center"/>
                </w:tcPr>
                <w:p w14:paraId="7D2DDB8B">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w:t>
                  </w:r>
                </w:p>
              </w:tc>
              <w:tc>
                <w:tcPr>
                  <w:tcW w:w="534" w:type="pct"/>
                  <w:shd w:val="clear" w:color="auto" w:fill="auto"/>
                  <w:vAlign w:val="center"/>
                </w:tcPr>
                <w:p w14:paraId="634C5D41">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color w:val="auto"/>
                      <w:highlight w:val="none"/>
                    </w:rPr>
                    <w:t>0.01</w:t>
                  </w:r>
                </w:p>
              </w:tc>
              <w:tc>
                <w:tcPr>
                  <w:tcW w:w="607" w:type="pct"/>
                  <w:shd w:val="clear" w:color="auto" w:fill="auto"/>
                  <w:vAlign w:val="center"/>
                </w:tcPr>
                <w:p w14:paraId="03A266E6">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olor w:val="auto"/>
                      <w:highlight w:val="none"/>
                      <w:lang w:val="en-US" w:eastAsia="zh-CN"/>
                    </w:rPr>
                    <w:t>0.02</w:t>
                  </w:r>
                </w:p>
              </w:tc>
              <w:tc>
                <w:tcPr>
                  <w:tcW w:w="615" w:type="pct"/>
                  <w:shd w:val="clear" w:color="auto" w:fill="auto"/>
                  <w:vAlign w:val="center"/>
                </w:tcPr>
                <w:p w14:paraId="57BB7E8C">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p>
              </w:tc>
              <w:tc>
                <w:tcPr>
                  <w:tcW w:w="534" w:type="pct"/>
                  <w:shd w:val="clear" w:color="auto" w:fill="auto"/>
                  <w:vAlign w:val="center"/>
                </w:tcPr>
                <w:p w14:paraId="64901952">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c>
                <w:tcPr>
                  <w:tcW w:w="537" w:type="pct"/>
                  <w:shd w:val="clear" w:color="auto" w:fill="auto"/>
                  <w:vAlign w:val="center"/>
                </w:tcPr>
                <w:p w14:paraId="4EF2AF4E">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永久占地</w:t>
                  </w:r>
                </w:p>
              </w:tc>
            </w:tr>
            <w:tr w14:paraId="6419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 w:type="pct"/>
                  <w:vMerge w:val="continue"/>
                  <w:shd w:val="clear" w:color="auto" w:fill="auto"/>
                  <w:vAlign w:val="center"/>
                </w:tcPr>
                <w:p w14:paraId="20BBA7F6">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577" w:type="pct"/>
                  <w:vMerge w:val="continue"/>
                  <w:shd w:val="clear" w:color="auto" w:fill="auto"/>
                  <w:vAlign w:val="center"/>
                </w:tcPr>
                <w:p w14:paraId="5A2743C9">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696" w:type="pct"/>
                  <w:shd w:val="clear" w:color="auto" w:fill="auto"/>
                  <w:vAlign w:val="center"/>
                </w:tcPr>
                <w:p w14:paraId="2F60516F">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防火隔离带</w:t>
                  </w:r>
                </w:p>
              </w:tc>
              <w:tc>
                <w:tcPr>
                  <w:tcW w:w="616" w:type="pct"/>
                  <w:shd w:val="clear" w:color="auto" w:fill="auto"/>
                  <w:vAlign w:val="center"/>
                </w:tcPr>
                <w:p w14:paraId="10535C51">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12.83</w:t>
                  </w:r>
                  <w:r>
                    <w:rPr>
                      <w:rFonts w:hint="default" w:ascii="Times New Roman" w:hAnsi="Times New Roman" w:eastAsia="宋体" w:cs="Times New Roman"/>
                      <w:color w:val="auto"/>
                      <w:sz w:val="21"/>
                      <w:szCs w:val="21"/>
                      <w:highlight w:val="none"/>
                    </w:rPr>
                    <w:t xml:space="preserve"> </w:t>
                  </w:r>
                </w:p>
              </w:tc>
              <w:tc>
                <w:tcPr>
                  <w:tcW w:w="534" w:type="pct"/>
                  <w:shd w:val="clear" w:color="auto" w:fill="auto"/>
                  <w:vAlign w:val="center"/>
                </w:tcPr>
                <w:p w14:paraId="69093F27">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1.23</w:t>
                  </w:r>
                </w:p>
              </w:tc>
              <w:tc>
                <w:tcPr>
                  <w:tcW w:w="607" w:type="pct"/>
                  <w:shd w:val="clear" w:color="auto" w:fill="auto"/>
                  <w:vAlign w:val="center"/>
                </w:tcPr>
                <w:p w14:paraId="22C8B00F">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olor w:val="auto"/>
                      <w:highlight w:val="none"/>
                      <w:lang w:val="en-US" w:eastAsia="zh-CN"/>
                    </w:rPr>
                    <w:t>11.6</w:t>
                  </w:r>
                </w:p>
              </w:tc>
              <w:tc>
                <w:tcPr>
                  <w:tcW w:w="615" w:type="pct"/>
                  <w:shd w:val="clear" w:color="auto" w:fill="auto"/>
                  <w:vAlign w:val="center"/>
                </w:tcPr>
                <w:p w14:paraId="731D57F9">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p>
              </w:tc>
              <w:tc>
                <w:tcPr>
                  <w:tcW w:w="534" w:type="pct"/>
                  <w:shd w:val="clear" w:color="auto" w:fill="auto"/>
                  <w:vAlign w:val="center"/>
                </w:tcPr>
                <w:p w14:paraId="413692B5">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p>
              </w:tc>
              <w:tc>
                <w:tcPr>
                  <w:tcW w:w="537" w:type="pct"/>
                  <w:shd w:val="clear" w:color="auto" w:fill="auto"/>
                  <w:vAlign w:val="center"/>
                </w:tcPr>
                <w:p w14:paraId="47C4CDD6">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r>
            <w:tr w14:paraId="34C4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 w:type="pct"/>
                  <w:vMerge w:val="continue"/>
                  <w:shd w:val="clear" w:color="auto" w:fill="auto"/>
                  <w:vAlign w:val="center"/>
                </w:tcPr>
                <w:p w14:paraId="400E98F4">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577" w:type="pct"/>
                  <w:vMerge w:val="continue"/>
                  <w:shd w:val="clear" w:color="auto" w:fill="auto"/>
                  <w:vAlign w:val="center"/>
                </w:tcPr>
                <w:p w14:paraId="0B0E9718">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696" w:type="pct"/>
                  <w:shd w:val="clear" w:color="auto" w:fill="auto"/>
                  <w:vAlign w:val="center"/>
                </w:tcPr>
                <w:p w14:paraId="49C72E03">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小计</w:t>
                  </w:r>
                </w:p>
              </w:tc>
              <w:tc>
                <w:tcPr>
                  <w:tcW w:w="616" w:type="pct"/>
                  <w:shd w:val="clear" w:color="auto" w:fill="auto"/>
                  <w:vAlign w:val="center"/>
                </w:tcPr>
                <w:p w14:paraId="3677E12F">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63.95</w:t>
                  </w:r>
                </w:p>
              </w:tc>
              <w:tc>
                <w:tcPr>
                  <w:tcW w:w="534" w:type="pct"/>
                  <w:shd w:val="clear" w:color="auto" w:fill="auto"/>
                  <w:vAlign w:val="bottom"/>
                </w:tcPr>
                <w:p w14:paraId="30069208">
                  <w:pPr>
                    <w:pStyle w:val="154"/>
                    <w:keepNext w:val="0"/>
                    <w:keepLines w:val="0"/>
                    <w:suppressLineNumbers w:val="0"/>
                    <w:spacing w:before="0" w:beforeAutospacing="0" w:after="0" w:afterAutospacing="0" w:line="240" w:lineRule="auto"/>
                    <w:ind w:left="0" w:right="0"/>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27.2</w:t>
                  </w:r>
                </w:p>
              </w:tc>
              <w:tc>
                <w:tcPr>
                  <w:tcW w:w="607" w:type="pct"/>
                  <w:shd w:val="clear" w:color="auto" w:fill="auto"/>
                  <w:vAlign w:val="bottom"/>
                </w:tcPr>
                <w:p w14:paraId="071CFB1A">
                  <w:pPr>
                    <w:pStyle w:val="154"/>
                    <w:keepNext w:val="0"/>
                    <w:keepLines w:val="0"/>
                    <w:suppressLineNumbers w:val="0"/>
                    <w:spacing w:before="0" w:beforeAutospacing="0" w:after="0" w:afterAutospacing="0" w:line="240" w:lineRule="auto"/>
                    <w:ind w:left="0" w:right="0"/>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36.68</w:t>
                  </w:r>
                </w:p>
              </w:tc>
              <w:tc>
                <w:tcPr>
                  <w:tcW w:w="615" w:type="pct"/>
                  <w:shd w:val="clear" w:color="auto" w:fill="auto"/>
                  <w:vAlign w:val="bottom"/>
                </w:tcPr>
                <w:p w14:paraId="2578CA30">
                  <w:pPr>
                    <w:pStyle w:val="154"/>
                    <w:keepNext w:val="0"/>
                    <w:keepLines w:val="0"/>
                    <w:suppressLineNumbers w:val="0"/>
                    <w:spacing w:before="0" w:beforeAutospacing="0" w:after="0" w:afterAutospacing="0" w:line="240" w:lineRule="auto"/>
                    <w:ind w:left="0" w:right="0"/>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0.05</w:t>
                  </w:r>
                </w:p>
              </w:tc>
              <w:tc>
                <w:tcPr>
                  <w:tcW w:w="534" w:type="pct"/>
                  <w:shd w:val="clear" w:color="auto" w:fill="auto"/>
                  <w:vAlign w:val="center"/>
                </w:tcPr>
                <w:p w14:paraId="7695135E">
                  <w:pPr>
                    <w:pStyle w:val="154"/>
                    <w:keepNext w:val="0"/>
                    <w:keepLines w:val="0"/>
                    <w:suppressLineNumbers w:val="0"/>
                    <w:spacing w:before="0" w:beforeAutospacing="0" w:after="0" w:afterAutospacing="0" w:line="240" w:lineRule="auto"/>
                    <w:ind w:left="0" w:right="0"/>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0.02</w:t>
                  </w:r>
                </w:p>
              </w:tc>
              <w:tc>
                <w:tcPr>
                  <w:tcW w:w="537" w:type="pct"/>
                  <w:shd w:val="clear" w:color="auto" w:fill="auto"/>
                  <w:vAlign w:val="center"/>
                </w:tcPr>
                <w:p w14:paraId="25F14A83">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3BD6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 w:type="pct"/>
                  <w:shd w:val="clear" w:color="auto" w:fill="auto"/>
                  <w:vAlign w:val="center"/>
                </w:tcPr>
                <w:p w14:paraId="620ABB12">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73" w:type="pct"/>
                  <w:gridSpan w:val="2"/>
                  <w:shd w:val="clear" w:color="auto" w:fill="auto"/>
                  <w:vAlign w:val="center"/>
                </w:tcPr>
                <w:p w14:paraId="50B79C1F">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未扰动区</w:t>
                  </w:r>
                </w:p>
              </w:tc>
              <w:tc>
                <w:tcPr>
                  <w:tcW w:w="616" w:type="pct"/>
                  <w:shd w:val="clear" w:color="auto" w:fill="auto"/>
                  <w:vAlign w:val="center"/>
                </w:tcPr>
                <w:p w14:paraId="5C8CCB41">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color w:val="auto"/>
                      <w:highlight w:val="none"/>
                    </w:rPr>
                    <w:t>5.56</w:t>
                  </w:r>
                </w:p>
              </w:tc>
              <w:tc>
                <w:tcPr>
                  <w:tcW w:w="534" w:type="pct"/>
                  <w:shd w:val="clear" w:color="auto" w:fill="auto"/>
                  <w:vAlign w:val="center"/>
                </w:tcPr>
                <w:p w14:paraId="205E551B">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color w:val="auto"/>
                      <w:highlight w:val="none"/>
                    </w:rPr>
                    <w:t>0.83</w:t>
                  </w:r>
                </w:p>
              </w:tc>
              <w:tc>
                <w:tcPr>
                  <w:tcW w:w="607" w:type="pct"/>
                  <w:shd w:val="clear" w:color="auto" w:fill="auto"/>
                  <w:vAlign w:val="center"/>
                </w:tcPr>
                <w:p w14:paraId="5DF3B424">
                  <w:pPr>
                    <w:pStyle w:val="15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615" w:type="pct"/>
                  <w:shd w:val="clear" w:color="auto" w:fill="auto"/>
                  <w:vAlign w:val="center"/>
                </w:tcPr>
                <w:p w14:paraId="21CDE838">
                  <w:pPr>
                    <w:pStyle w:val="155"/>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szCs w:val="21"/>
                      <w:highlight w:val="none"/>
                      <w:lang w:val="en-US" w:eastAsia="zh-CN"/>
                    </w:rPr>
                  </w:pPr>
                  <w:r>
                    <w:rPr>
                      <w:rFonts w:hint="default"/>
                      <w:color w:val="auto"/>
                      <w:highlight w:val="none"/>
                    </w:rPr>
                    <w:t>0.2</w:t>
                  </w:r>
                  <w:r>
                    <w:rPr>
                      <w:rFonts w:hint="eastAsia"/>
                      <w:color w:val="auto"/>
                      <w:highlight w:val="none"/>
                      <w:lang w:val="en-US" w:eastAsia="zh-CN"/>
                    </w:rPr>
                    <w:t>3</w:t>
                  </w:r>
                </w:p>
              </w:tc>
              <w:tc>
                <w:tcPr>
                  <w:tcW w:w="534" w:type="pct"/>
                  <w:shd w:val="clear" w:color="auto" w:fill="auto"/>
                  <w:vAlign w:val="center"/>
                </w:tcPr>
                <w:p w14:paraId="0C634D43">
                  <w:pPr>
                    <w:pStyle w:val="155"/>
                    <w:keepNext w:val="0"/>
                    <w:keepLines w:val="0"/>
                    <w:suppressLineNumbers w:val="0"/>
                    <w:spacing w:before="0" w:beforeAutospacing="0" w:after="0" w:afterAutospacing="0"/>
                    <w:ind w:left="0" w:right="0" w:firstLine="0" w:firstLineChars="0"/>
                    <w:rPr>
                      <w:rFonts w:hint="default"/>
                      <w:color w:val="auto"/>
                      <w:highlight w:val="none"/>
                    </w:rPr>
                  </w:pPr>
                </w:p>
              </w:tc>
              <w:tc>
                <w:tcPr>
                  <w:tcW w:w="537" w:type="pct"/>
                  <w:shd w:val="clear" w:color="auto" w:fill="auto"/>
                  <w:vAlign w:val="center"/>
                </w:tcPr>
                <w:p w14:paraId="73526AC2">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r>
            <w:tr w14:paraId="706E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1" w:type="pct"/>
                  <w:shd w:val="clear" w:color="auto" w:fill="auto"/>
                  <w:vAlign w:val="center"/>
                </w:tcPr>
                <w:p w14:paraId="0ACFC04D">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73" w:type="pct"/>
                  <w:gridSpan w:val="2"/>
                  <w:shd w:val="clear" w:color="auto" w:fill="auto"/>
                  <w:vAlign w:val="center"/>
                </w:tcPr>
                <w:p w14:paraId="5F10EEC3">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r>
                    <w:rPr>
                      <w:rFonts w:hint="eastAsia" w:ascii="Times New Roman" w:hAnsi="Times New Roman" w:eastAsia="宋体" w:cs="Times New Roman"/>
                      <w:color w:val="auto"/>
                      <w:sz w:val="21"/>
                      <w:szCs w:val="21"/>
                      <w:highlight w:val="none"/>
                      <w:lang w:val="en-US" w:eastAsia="zh-CN"/>
                    </w:rPr>
                    <w:t>场地</w:t>
                  </w:r>
                  <w:r>
                    <w:rPr>
                      <w:rFonts w:hint="default" w:ascii="Times New Roman" w:hAnsi="Times New Roman" w:eastAsia="宋体" w:cs="Times New Roman"/>
                      <w:color w:val="auto"/>
                      <w:sz w:val="21"/>
                      <w:szCs w:val="21"/>
                      <w:highlight w:val="none"/>
                    </w:rPr>
                    <w:t>区</w:t>
                  </w:r>
                </w:p>
              </w:tc>
              <w:tc>
                <w:tcPr>
                  <w:tcW w:w="616" w:type="pct"/>
                  <w:shd w:val="clear" w:color="auto" w:fill="auto"/>
                  <w:vAlign w:val="center"/>
                </w:tcPr>
                <w:p w14:paraId="6F2D6098">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0.25 </w:t>
                  </w:r>
                </w:p>
              </w:tc>
              <w:tc>
                <w:tcPr>
                  <w:tcW w:w="534" w:type="pct"/>
                  <w:shd w:val="clear" w:color="auto" w:fill="auto"/>
                  <w:vAlign w:val="center"/>
                </w:tcPr>
                <w:p w14:paraId="3ADF9F1B">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607" w:type="pct"/>
                  <w:shd w:val="clear" w:color="auto" w:fill="auto"/>
                  <w:vAlign w:val="center"/>
                </w:tcPr>
                <w:p w14:paraId="2FE79A43">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0.25</w:t>
                  </w:r>
                </w:p>
              </w:tc>
              <w:tc>
                <w:tcPr>
                  <w:tcW w:w="615" w:type="pct"/>
                  <w:shd w:val="clear" w:color="auto" w:fill="auto"/>
                  <w:vAlign w:val="center"/>
                </w:tcPr>
                <w:p w14:paraId="57451A34">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534" w:type="pct"/>
                  <w:shd w:val="clear" w:color="auto" w:fill="auto"/>
                  <w:vAlign w:val="center"/>
                </w:tcPr>
                <w:p w14:paraId="015A7E3D">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537" w:type="pct"/>
                  <w:shd w:val="clear" w:color="auto" w:fill="auto"/>
                  <w:vAlign w:val="center"/>
                </w:tcPr>
                <w:p w14:paraId="110B0FEA">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tc>
            </w:tr>
            <w:tr w14:paraId="21F0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4" w:type="pct"/>
                  <w:gridSpan w:val="3"/>
                  <w:shd w:val="clear" w:color="auto" w:fill="auto"/>
                  <w:vAlign w:val="center"/>
                </w:tcPr>
                <w:p w14:paraId="50CED0A6">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616" w:type="pct"/>
                  <w:shd w:val="clear" w:color="auto" w:fill="auto"/>
                  <w:vAlign w:val="center"/>
                </w:tcPr>
                <w:p w14:paraId="62404B87">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69.76</w:t>
                  </w:r>
                </w:p>
              </w:tc>
              <w:tc>
                <w:tcPr>
                  <w:tcW w:w="534" w:type="pct"/>
                  <w:shd w:val="clear" w:color="auto" w:fill="auto"/>
                  <w:vAlign w:val="center"/>
                </w:tcPr>
                <w:p w14:paraId="579E5F6B">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rPr>
                  </w:pPr>
                  <w:r>
                    <w:rPr>
                      <w:rFonts w:hint="eastAsia" w:eastAsia="宋体" w:cs="Times New Roman"/>
                      <w:color w:val="auto"/>
                      <w:sz w:val="21"/>
                      <w:szCs w:val="21"/>
                      <w:highlight w:val="none"/>
                      <w:lang w:val="en-US" w:eastAsia="zh-CN"/>
                    </w:rPr>
                    <w:t>28.03</w:t>
                  </w:r>
                </w:p>
              </w:tc>
              <w:tc>
                <w:tcPr>
                  <w:tcW w:w="607" w:type="pct"/>
                  <w:shd w:val="clear" w:color="auto" w:fill="auto"/>
                  <w:vAlign w:val="center"/>
                </w:tcPr>
                <w:p w14:paraId="71BF82DB">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41.43</w:t>
                  </w:r>
                </w:p>
              </w:tc>
              <w:tc>
                <w:tcPr>
                  <w:tcW w:w="615" w:type="pct"/>
                  <w:shd w:val="clear" w:color="auto" w:fill="auto"/>
                  <w:vAlign w:val="center"/>
                </w:tcPr>
                <w:p w14:paraId="74FBAE50">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0.28</w:t>
                  </w:r>
                </w:p>
              </w:tc>
              <w:tc>
                <w:tcPr>
                  <w:tcW w:w="534" w:type="pct"/>
                  <w:shd w:val="clear" w:color="auto" w:fill="auto"/>
                  <w:vAlign w:val="center"/>
                </w:tcPr>
                <w:p w14:paraId="3A2D4500">
                  <w:pPr>
                    <w:pStyle w:val="154"/>
                    <w:keepNext w:val="0"/>
                    <w:keepLines w:val="0"/>
                    <w:suppressLineNumbers w:val="0"/>
                    <w:spacing w:before="0" w:beforeAutospacing="0" w:after="0" w:afterAutospacing="0" w:line="240" w:lineRule="auto"/>
                    <w:ind w:left="0" w:right="0"/>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0.02</w:t>
                  </w:r>
                </w:p>
              </w:tc>
              <w:tc>
                <w:tcPr>
                  <w:tcW w:w="537" w:type="pct"/>
                  <w:shd w:val="clear" w:color="auto" w:fill="auto"/>
                  <w:vAlign w:val="center"/>
                </w:tcPr>
                <w:p w14:paraId="765B26E6">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r w14:paraId="2D5C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62" w:type="pct"/>
                  <w:gridSpan w:val="8"/>
                  <w:shd w:val="clear" w:color="auto" w:fill="auto"/>
                  <w:vAlign w:val="center"/>
                </w:tcPr>
                <w:p w14:paraId="18A88120">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备注：光伏板支架基础占地面积为0.1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hm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，已计入光伏板阵列占地面积内，不再单独计列。</w:t>
                  </w:r>
                </w:p>
              </w:tc>
              <w:tc>
                <w:tcPr>
                  <w:tcW w:w="537" w:type="pct"/>
                  <w:shd w:val="clear" w:color="auto" w:fill="auto"/>
                  <w:vAlign w:val="center"/>
                </w:tcPr>
                <w:p w14:paraId="0ECEB2D0">
                  <w:pPr>
                    <w:pStyle w:val="154"/>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r>
          </w:tbl>
          <w:p w14:paraId="7121DFE3">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（2）移民安置</w:t>
            </w:r>
          </w:p>
          <w:p w14:paraId="44ECBF69">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本</w:t>
            </w:r>
            <w:r>
              <w:rPr>
                <w:rFonts w:hint="eastAsia" w:ascii="宋体" w:hAnsi="宋体" w:cs="宋体"/>
                <w:color w:val="auto"/>
                <w:kern w:val="0"/>
                <w:sz w:val="24"/>
                <w:highlight w:val="none"/>
                <w:shd w:val="clear" w:color="auto" w:fill="auto"/>
                <w:lang w:bidi="ar"/>
              </w:rPr>
              <w:t>项目</w:t>
            </w:r>
            <w:r>
              <w:rPr>
                <w:rFonts w:hint="eastAsia"/>
                <w:color w:val="auto"/>
                <w:sz w:val="24"/>
                <w:highlight w:val="none"/>
                <w:shd w:val="clear" w:color="auto" w:fill="auto"/>
              </w:rPr>
              <w:t>未涉及移民搬迁。</w:t>
            </w:r>
          </w:p>
          <w:p w14:paraId="57BA7AFF">
            <w:pPr>
              <w:keepNext w:val="0"/>
              <w:keepLines w:val="0"/>
              <w:suppressLineNumbers w:val="0"/>
              <w:shd w:val="clear"/>
              <w:spacing w:before="0" w:beforeAutospacing="0" w:after="0" w:afterAutospacing="0" w:line="360" w:lineRule="auto"/>
              <w:ind w:left="0" w:right="0"/>
              <w:rPr>
                <w:rFonts w:hint="default"/>
                <w:b/>
                <w:bCs/>
                <w:color w:val="auto"/>
                <w:sz w:val="24"/>
                <w:highlight w:val="none"/>
                <w:shd w:val="clear" w:color="auto" w:fill="auto"/>
              </w:rPr>
            </w:pPr>
            <w:r>
              <w:rPr>
                <w:rFonts w:hint="eastAsia"/>
                <w:b/>
                <w:bCs/>
                <w:color w:val="auto"/>
                <w:sz w:val="24"/>
                <w:highlight w:val="none"/>
                <w:shd w:val="clear" w:color="auto" w:fill="auto"/>
                <w:lang w:val="en-US" w:eastAsia="zh-CN"/>
              </w:rPr>
              <w:t>五</w:t>
            </w:r>
            <w:r>
              <w:rPr>
                <w:rFonts w:hint="eastAsia"/>
                <w:b/>
                <w:bCs/>
                <w:color w:val="auto"/>
                <w:sz w:val="24"/>
                <w:highlight w:val="none"/>
                <w:shd w:val="clear" w:color="auto" w:fill="auto"/>
              </w:rPr>
              <w:t>、工作制度和劳动定员</w:t>
            </w:r>
          </w:p>
          <w:p w14:paraId="43ADC81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s="Times New Roman"/>
                <w:b w:val="0"/>
                <w:bCs w:val="0"/>
                <w:color w:val="auto"/>
                <w:kern w:val="0"/>
                <w:sz w:val="24"/>
                <w:szCs w:val="24"/>
                <w:highlight w:val="none"/>
                <w:lang w:val="en-US" w:eastAsia="zh-CN"/>
              </w:rPr>
              <w:t>本项目运维管理统筹考虑，项目升压站及生活区依托</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cs="Times New Roman"/>
                <w:b w:val="0"/>
                <w:bCs w:val="0"/>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无新增人员</w:t>
            </w:r>
            <w:r>
              <w:rPr>
                <w:rFonts w:hint="eastAsia" w:cs="Times New Roman"/>
                <w:b w:val="0"/>
                <w:bCs w:val="0"/>
                <w:color w:val="auto"/>
                <w:kern w:val="0"/>
                <w:sz w:val="24"/>
                <w:szCs w:val="24"/>
                <w:highlight w:val="none"/>
                <w:lang w:val="en-US" w:eastAsia="zh-CN"/>
              </w:rPr>
              <w:t>，</w:t>
            </w:r>
            <w:r>
              <w:rPr>
                <w:rFonts w:hint="eastAsia"/>
                <w:color w:val="auto"/>
                <w:sz w:val="24"/>
                <w:highlight w:val="none"/>
              </w:rPr>
              <w:t>采用8小时工作制，年工作365天。</w:t>
            </w:r>
            <w:r>
              <w:rPr>
                <w:rFonts w:hint="eastAsia"/>
                <w:color w:val="auto"/>
                <w:kern w:val="0"/>
                <w:sz w:val="24"/>
                <w:highlight w:val="none"/>
              </w:rPr>
              <w:t>每天</w:t>
            </w:r>
            <w:r>
              <w:rPr>
                <w:rFonts w:hint="default"/>
                <w:color w:val="auto"/>
                <w:kern w:val="0"/>
                <w:sz w:val="24"/>
                <w:highlight w:val="none"/>
              </w:rPr>
              <w:t>定期巡检电站</w:t>
            </w:r>
            <w:r>
              <w:rPr>
                <w:rFonts w:hint="eastAsia"/>
                <w:color w:val="auto"/>
                <w:kern w:val="0"/>
                <w:sz w:val="24"/>
                <w:highlight w:val="none"/>
              </w:rPr>
              <w:t>，主要负责运行监控、日常保养、故障维修和事故报告等。</w:t>
            </w:r>
          </w:p>
        </w:tc>
      </w:tr>
      <w:tr w14:paraId="73FE8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448" w:type="pct"/>
            <w:vAlign w:val="center"/>
          </w:tcPr>
          <w:p w14:paraId="7464B38F">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总平面及现场布置</w:t>
            </w:r>
          </w:p>
        </w:tc>
        <w:tc>
          <w:tcPr>
            <w:tcW w:w="4551" w:type="pct"/>
            <w:vAlign w:val="center"/>
          </w:tcPr>
          <w:p w14:paraId="47193378">
            <w:pPr>
              <w:pStyle w:val="28"/>
              <w:keepNext w:val="0"/>
              <w:keepLines w:val="0"/>
              <w:suppressLineNumbers w:val="0"/>
              <w:shd w:val="clear"/>
              <w:adjustRightInd w:val="0"/>
              <w:spacing w:before="0" w:beforeAutospacing="0" w:after="0" w:afterAutospacing="0" w:line="360" w:lineRule="auto"/>
              <w:ind w:left="0" w:right="0" w:firstLine="454" w:firstLineChars="200"/>
              <w:rPr>
                <w:rFonts w:hint="default"/>
                <w:b/>
                <w:bCs/>
                <w:color w:val="auto"/>
                <w:spacing w:val="-7"/>
                <w:sz w:val="24"/>
                <w:szCs w:val="24"/>
                <w:highlight w:val="none"/>
                <w:shd w:val="clear" w:color="auto" w:fill="auto"/>
              </w:rPr>
            </w:pPr>
            <w:r>
              <w:rPr>
                <w:rFonts w:hint="default"/>
                <w:b/>
                <w:bCs/>
                <w:color w:val="auto"/>
                <w:spacing w:val="-7"/>
                <w:sz w:val="24"/>
                <w:szCs w:val="24"/>
                <w:highlight w:val="none"/>
                <w:shd w:val="clear" w:color="auto" w:fill="auto"/>
              </w:rPr>
              <w:t>1</w:t>
            </w:r>
            <w:r>
              <w:rPr>
                <w:rFonts w:hint="eastAsia"/>
                <w:b/>
                <w:bCs/>
                <w:color w:val="auto"/>
                <w:spacing w:val="-7"/>
                <w:sz w:val="24"/>
                <w:szCs w:val="24"/>
                <w:highlight w:val="none"/>
                <w:shd w:val="clear" w:color="auto" w:fill="auto"/>
              </w:rPr>
              <w:t>、项目总体布置</w:t>
            </w:r>
          </w:p>
          <w:p w14:paraId="673F551B">
            <w:pPr>
              <w:keepNext w:val="0"/>
              <w:keepLines w:val="0"/>
              <w:suppressLineNumbers w:val="0"/>
              <w:shd w:val="clear"/>
              <w:adjustRightInd w:val="0"/>
              <w:spacing w:before="0" w:beforeAutospacing="0" w:after="0" w:afterAutospacing="0" w:line="360" w:lineRule="auto"/>
              <w:ind w:left="0" w:right="0" w:firstLine="480" w:firstLineChars="200"/>
              <w:rPr>
                <w:rFonts w:hint="eastAsia"/>
                <w:color w:val="auto"/>
                <w:spacing w:val="-4"/>
                <w:sz w:val="24"/>
                <w:highlight w:val="none"/>
                <w:shd w:val="clear" w:color="auto" w:fill="auto"/>
                <w:lang w:val="zh-CN"/>
              </w:rPr>
            </w:pPr>
            <w:r>
              <w:rPr>
                <w:rFonts w:hint="eastAsia"/>
                <w:color w:val="auto"/>
                <w:sz w:val="24"/>
                <w:szCs w:val="24"/>
                <w:highlight w:val="none"/>
                <w:lang w:val="en-US" w:eastAsia="zh-CN"/>
              </w:rPr>
              <w:t>梳山光伏发电项目</w:t>
            </w:r>
            <w:r>
              <w:rPr>
                <w:rFonts w:hint="eastAsia"/>
                <w:color w:val="auto"/>
                <w:spacing w:val="-4"/>
                <w:sz w:val="24"/>
                <w:highlight w:val="none"/>
                <w:lang w:val="zh-CN"/>
              </w:rPr>
              <w:t>位于</w:t>
            </w:r>
            <w:r>
              <w:rPr>
                <w:rFonts w:hint="eastAsia" w:ascii="宋体" w:hAnsi="宋体" w:cs="宋体"/>
                <w:color w:val="auto"/>
                <w:kern w:val="0"/>
                <w:sz w:val="24"/>
                <w:szCs w:val="24"/>
                <w:highlight w:val="none"/>
                <w:lang w:val="en-US" w:eastAsia="zh-CN" w:bidi="ar"/>
              </w:rPr>
              <w:t>云南省昆明市寻甸回族彝族自治县河口镇境内</w:t>
            </w:r>
            <w:r>
              <w:rPr>
                <w:rFonts w:hint="eastAsia" w:cs="Times New Roman"/>
                <w:color w:val="auto"/>
                <w:sz w:val="24"/>
                <w:highlight w:val="none"/>
                <w:lang w:val="en-US" w:eastAsia="zh-CN"/>
              </w:rPr>
              <w:t>。</w:t>
            </w:r>
            <w:r>
              <w:rPr>
                <w:rFonts w:hint="eastAsia"/>
                <w:color w:val="auto"/>
                <w:spacing w:val="-4"/>
                <w:sz w:val="24"/>
                <w:highlight w:val="none"/>
                <w:shd w:val="clear" w:color="auto" w:fill="auto"/>
                <w:lang w:val="zh-CN"/>
              </w:rPr>
              <w:t>根据场址总体布局规划，</w:t>
            </w:r>
            <w:r>
              <w:rPr>
                <w:rFonts w:hint="eastAsia" w:cs="Times New Roman"/>
                <w:b w:val="0"/>
                <w:bCs w:val="0"/>
                <w:color w:val="auto"/>
                <w:kern w:val="0"/>
                <w:sz w:val="24"/>
                <w:szCs w:val="24"/>
                <w:highlight w:val="none"/>
                <w:lang w:val="zh-CN" w:eastAsia="zh-CN"/>
              </w:rPr>
              <w:t>项目</w:t>
            </w:r>
            <w:r>
              <w:rPr>
                <w:rFonts w:hint="eastAsia" w:cs="Times New Roman"/>
                <w:b w:val="0"/>
                <w:bCs w:val="0"/>
                <w:color w:val="auto"/>
                <w:kern w:val="0"/>
                <w:sz w:val="24"/>
                <w:szCs w:val="24"/>
                <w:highlight w:val="none"/>
                <w:lang w:val="en-US" w:eastAsia="zh-CN"/>
              </w:rPr>
              <w:t>共布置16</w:t>
            </w:r>
            <w:r>
              <w:rPr>
                <w:rFonts w:hint="eastAsia" w:ascii="Times New Roman" w:hAnsi="Times New Roman" w:eastAsia="宋体" w:cs="Times New Roman"/>
                <w:b w:val="0"/>
                <w:bCs w:val="0"/>
                <w:color w:val="auto"/>
                <w:kern w:val="0"/>
                <w:sz w:val="24"/>
                <w:szCs w:val="24"/>
                <w:highlight w:val="none"/>
                <w:lang w:val="en-US" w:eastAsia="zh-CN"/>
              </w:rPr>
              <w:t>个光伏发电单元</w:t>
            </w:r>
            <w:r>
              <w:rPr>
                <w:rFonts w:hint="eastAsia" w:cs="Times New Roman"/>
                <w:b w:val="0"/>
                <w:bCs w:val="0"/>
                <w:color w:val="auto"/>
                <w:kern w:val="0"/>
                <w:sz w:val="24"/>
                <w:szCs w:val="24"/>
                <w:highlight w:val="none"/>
                <w:lang w:val="zh-CN" w:eastAsia="zh-CN"/>
              </w:rPr>
              <w:t>，</w:t>
            </w:r>
            <w:r>
              <w:rPr>
                <w:rFonts w:hint="eastAsia" w:cs="Times New Roman"/>
                <w:b w:val="0"/>
                <w:bCs w:val="0"/>
                <w:color w:val="auto"/>
                <w:kern w:val="0"/>
                <w:sz w:val="24"/>
                <w:szCs w:val="24"/>
                <w:highlight w:val="none"/>
                <w:lang w:val="en-US" w:eastAsia="zh-CN"/>
              </w:rPr>
              <w:t>1-6#方阵位于项目区北侧，7-12#方阵均位于</w:t>
            </w:r>
            <w:r>
              <w:rPr>
                <w:rFonts w:hint="eastAsia" w:cs="Times New Roman"/>
                <w:b w:val="0"/>
                <w:bCs w:val="0"/>
                <w:color w:val="auto"/>
                <w:kern w:val="0"/>
                <w:sz w:val="24"/>
                <w:szCs w:val="24"/>
                <w:highlight w:val="none"/>
                <w:lang w:val="zh-CN" w:eastAsia="zh-CN"/>
              </w:rPr>
              <w:t>项目区</w:t>
            </w:r>
            <w:r>
              <w:rPr>
                <w:rFonts w:hint="eastAsia" w:cs="Times New Roman"/>
                <w:b w:val="0"/>
                <w:bCs w:val="0"/>
                <w:color w:val="auto"/>
                <w:kern w:val="0"/>
                <w:sz w:val="24"/>
                <w:szCs w:val="24"/>
                <w:highlight w:val="none"/>
                <w:lang w:val="en-US" w:eastAsia="zh-CN"/>
              </w:rPr>
              <w:t>西南侧，13-14#方阵位于项目区中部，16-17#方阵位于项目区东南侧；</w:t>
            </w:r>
            <w:r>
              <w:rPr>
                <w:rFonts w:hint="eastAsia"/>
                <w:color w:val="auto"/>
                <w:spacing w:val="-4"/>
                <w:sz w:val="24"/>
                <w:highlight w:val="none"/>
                <w:shd w:val="clear" w:color="auto" w:fill="auto"/>
                <w:lang w:val="zh-CN"/>
              </w:rPr>
              <w:t>整个光伏方阵布置充分考虑地形、建筑物、道路等基础上，各片区布置紧凑，各区块间有效贯通，同时达到节约用地、节约连接电缆、日常巡查线路简便的目的，整个布置避让了生态红线、基本农田、公益林等敏感因素。</w:t>
            </w:r>
          </w:p>
          <w:p w14:paraId="3D369BBF">
            <w:pPr>
              <w:keepNext w:val="0"/>
              <w:keepLines w:val="0"/>
              <w:suppressLineNumbers w:val="0"/>
              <w:shd w:val="clear"/>
              <w:adjustRightInd w:val="0"/>
              <w:spacing w:before="0" w:beforeAutospacing="0" w:after="0" w:afterAutospacing="0" w:line="360" w:lineRule="auto"/>
              <w:ind w:left="0" w:right="0" w:firstLine="464" w:firstLineChars="200"/>
              <w:rPr>
                <w:rFonts w:hint="eastAsia"/>
                <w:color w:val="auto"/>
                <w:sz w:val="24"/>
                <w:szCs w:val="24"/>
                <w:highlight w:val="none"/>
                <w:shd w:val="clear" w:color="auto" w:fill="auto"/>
              </w:rPr>
            </w:pPr>
            <w:r>
              <w:rPr>
                <w:rFonts w:hint="eastAsia"/>
                <w:color w:val="auto"/>
                <w:spacing w:val="-4"/>
                <w:sz w:val="24"/>
                <w:highlight w:val="none"/>
                <w:shd w:val="clear" w:color="auto" w:fill="auto"/>
                <w:lang w:val="zh-CN"/>
              </w:rPr>
              <w:t>项目总平面布置见附图3。</w:t>
            </w:r>
          </w:p>
          <w:p w14:paraId="05FD9381">
            <w:pPr>
              <w:pStyle w:val="135"/>
              <w:keepNext w:val="0"/>
              <w:keepLines w:val="0"/>
              <w:suppressLineNumbers w:val="0"/>
              <w:shd w:val="clear"/>
              <w:spacing w:before="0" w:beforeAutospacing="0" w:after="0" w:afterAutospacing="0" w:line="360" w:lineRule="auto"/>
              <w:ind w:left="0" w:right="0"/>
              <w:rPr>
                <w:rFonts w:hint="default"/>
                <w:color w:val="auto"/>
                <w:sz w:val="24"/>
                <w:szCs w:val="24"/>
                <w:highlight w:val="none"/>
                <w:shd w:val="clear" w:color="auto" w:fill="auto"/>
              </w:rPr>
            </w:pPr>
            <w:r>
              <w:rPr>
                <w:rFonts w:hint="default"/>
                <w:color w:val="auto"/>
                <w:sz w:val="24"/>
                <w:szCs w:val="24"/>
                <w:highlight w:val="none"/>
                <w:shd w:val="clear" w:color="auto" w:fill="auto"/>
              </w:rPr>
              <w:t>（1）施工</w:t>
            </w:r>
            <w:r>
              <w:rPr>
                <w:rFonts w:hint="eastAsia"/>
                <w:color w:val="auto"/>
                <w:sz w:val="24"/>
                <w:szCs w:val="24"/>
                <w:highlight w:val="none"/>
                <w:shd w:val="clear" w:color="auto" w:fill="auto"/>
                <w:lang w:val="en-US" w:eastAsia="zh-CN"/>
              </w:rPr>
              <w:t>场</w:t>
            </w:r>
            <w:r>
              <w:rPr>
                <w:rFonts w:hint="default"/>
                <w:color w:val="auto"/>
                <w:sz w:val="24"/>
                <w:szCs w:val="24"/>
                <w:highlight w:val="none"/>
                <w:shd w:val="clear" w:color="auto" w:fill="auto"/>
              </w:rPr>
              <w:t>地</w:t>
            </w:r>
          </w:p>
          <w:p w14:paraId="7F061C77">
            <w:pPr>
              <w:pStyle w:val="30"/>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本项目选用1个施工营地，施工营地区选址位于较为平整且接近道路的区域，位于13#太阳能光伏阵列东侧平缓区域内，占地面积约0.25hm</w:t>
            </w:r>
            <w:r>
              <w:rPr>
                <w:rFonts w:hint="eastAsia"/>
                <w:color w:val="auto"/>
                <w:sz w:val="24"/>
                <w:szCs w:val="24"/>
                <w:highlight w:val="none"/>
                <w:shd w:val="clear" w:color="auto" w:fill="auto"/>
                <w:vertAlign w:val="superscript"/>
                <w:lang w:val="en-US" w:eastAsia="zh-CN"/>
              </w:rPr>
              <w:t>2</w:t>
            </w:r>
            <w:r>
              <w:rPr>
                <w:rFonts w:hint="eastAsia"/>
                <w:color w:val="auto"/>
                <w:sz w:val="24"/>
                <w:szCs w:val="24"/>
                <w:highlight w:val="none"/>
                <w:shd w:val="clear" w:color="auto" w:fill="auto"/>
                <w:lang w:val="en-US" w:eastAsia="zh-CN"/>
              </w:rPr>
              <w:t>。其中材料堆放场仓库占地面积约800m</w:t>
            </w:r>
            <w:r>
              <w:rPr>
                <w:rFonts w:hint="eastAsia"/>
                <w:color w:val="auto"/>
                <w:sz w:val="24"/>
                <w:szCs w:val="24"/>
                <w:highlight w:val="none"/>
                <w:shd w:val="clear" w:color="auto" w:fill="auto"/>
                <w:vertAlign w:val="superscript"/>
                <w:lang w:val="en-US" w:eastAsia="zh-CN"/>
              </w:rPr>
              <w:t>2</w:t>
            </w:r>
            <w:r>
              <w:rPr>
                <w:rFonts w:hint="eastAsia"/>
                <w:color w:val="auto"/>
                <w:sz w:val="24"/>
                <w:szCs w:val="24"/>
                <w:highlight w:val="none"/>
                <w:shd w:val="clear" w:color="auto" w:fill="auto"/>
                <w:lang w:val="en-US" w:eastAsia="zh-CN"/>
              </w:rPr>
              <w:t>，主要作为砂石料堆放、太阳电池组件堆放。钢结构加工区占地面积约900m</w:t>
            </w:r>
            <w:r>
              <w:rPr>
                <w:rFonts w:hint="eastAsia"/>
                <w:color w:val="auto"/>
                <w:sz w:val="24"/>
                <w:szCs w:val="24"/>
                <w:highlight w:val="none"/>
                <w:shd w:val="clear" w:color="auto" w:fill="auto"/>
                <w:vertAlign w:val="superscript"/>
                <w:lang w:val="en-US" w:eastAsia="zh-CN"/>
              </w:rPr>
              <w:t>2</w:t>
            </w:r>
            <w:r>
              <w:rPr>
                <w:rFonts w:hint="eastAsia"/>
                <w:color w:val="auto"/>
                <w:sz w:val="24"/>
                <w:szCs w:val="24"/>
                <w:highlight w:val="none"/>
                <w:shd w:val="clear" w:color="auto" w:fill="auto"/>
                <w:lang w:val="en-US" w:eastAsia="zh-CN"/>
              </w:rPr>
              <w:t>，该区域作为钢结构加工使用。材料加工区占地面积约800m</w:t>
            </w:r>
            <w:r>
              <w:rPr>
                <w:rFonts w:hint="eastAsia"/>
                <w:color w:val="auto"/>
                <w:sz w:val="24"/>
                <w:szCs w:val="24"/>
                <w:highlight w:val="none"/>
                <w:shd w:val="clear" w:color="auto" w:fill="auto"/>
                <w:vertAlign w:val="superscript"/>
                <w:lang w:val="en-US" w:eastAsia="zh-CN"/>
              </w:rPr>
              <w:t>2</w:t>
            </w:r>
            <w:r>
              <w:rPr>
                <w:rFonts w:hint="eastAsia"/>
                <w:color w:val="auto"/>
                <w:sz w:val="24"/>
                <w:szCs w:val="24"/>
                <w:highlight w:val="none"/>
                <w:shd w:val="clear" w:color="auto" w:fill="auto"/>
                <w:lang w:val="en-US" w:eastAsia="zh-CN"/>
              </w:rPr>
              <w:t>，主要作为钢筋等材料的加工区域。施工人员住宿租用周边民房，项目区不设置施工营地（生活区）。</w:t>
            </w:r>
          </w:p>
          <w:p w14:paraId="5B71C3BF">
            <w:pPr>
              <w:pStyle w:val="135"/>
              <w:keepNext w:val="0"/>
              <w:keepLines w:val="0"/>
              <w:suppressLineNumbers w:val="0"/>
              <w:shd w:val="clear"/>
              <w:spacing w:before="0" w:beforeAutospacing="0" w:after="0" w:afterAutospacing="0" w:line="360" w:lineRule="auto"/>
              <w:ind w:left="0" w:leftChars="0" w:right="0" w:firstLine="0" w:firstLineChars="0"/>
              <w:jc w:val="center"/>
              <w:rPr>
                <w:rFonts w:hint="default"/>
                <w:b/>
                <w:bCs/>
                <w:color w:val="auto"/>
                <w:sz w:val="21"/>
                <w:szCs w:val="21"/>
                <w:highlight w:val="none"/>
                <w:shd w:val="clear" w:color="auto" w:fill="auto"/>
              </w:rPr>
            </w:pPr>
            <w:r>
              <w:rPr>
                <w:rFonts w:hint="default"/>
                <w:color w:val="auto"/>
                <w:highlight w:val="none"/>
              </w:rPr>
              <w:drawing>
                <wp:anchor distT="0" distB="0" distL="0" distR="0" simplePos="0" relativeHeight="251659264" behindDoc="1" locked="0" layoutInCell="1" allowOverlap="1">
                  <wp:simplePos x="0" y="0"/>
                  <wp:positionH relativeFrom="column">
                    <wp:posOffset>-7620</wp:posOffset>
                  </wp:positionH>
                  <wp:positionV relativeFrom="paragraph">
                    <wp:posOffset>3175</wp:posOffset>
                  </wp:positionV>
                  <wp:extent cx="4760595" cy="2941320"/>
                  <wp:effectExtent l="0" t="0" r="1905" b="49530"/>
                  <wp:wrapTight wrapText="bothSides">
                    <wp:wrapPolygon>
                      <wp:start x="0" y="0"/>
                      <wp:lineTo x="0" y="21404"/>
                      <wp:lineTo x="21522" y="21404"/>
                      <wp:lineTo x="21522" y="0"/>
                      <wp:lineTo x="0" y="0"/>
                    </wp:wrapPolygon>
                  </wp:wrapTight>
                  <wp:docPr id="2010825667" name="图片 201082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25667" name="图片 2010825667"/>
                          <pic:cNvPicPr>
                            <a:picLocks noChangeAspect="1"/>
                          </pic:cNvPicPr>
                        </pic:nvPicPr>
                        <pic:blipFill>
                          <a:blip r:embed="rId9"/>
                          <a:stretch>
                            <a:fillRect/>
                          </a:stretch>
                        </pic:blipFill>
                        <pic:spPr>
                          <a:xfrm>
                            <a:off x="0" y="0"/>
                            <a:ext cx="4760595" cy="2941320"/>
                          </a:xfrm>
                          <a:prstGeom prst="rect">
                            <a:avLst/>
                          </a:prstGeom>
                        </pic:spPr>
                      </pic:pic>
                    </a:graphicData>
                  </a:graphic>
                </wp:anchor>
              </w:drawing>
            </w:r>
            <w:r>
              <w:rPr>
                <w:rFonts w:hint="default"/>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-2513330</wp:posOffset>
                      </wp:positionV>
                      <wp:extent cx="871855" cy="265430"/>
                      <wp:effectExtent l="4445" t="4445" r="19050" b="15875"/>
                      <wp:wrapNone/>
                      <wp:docPr id="1" name="文本框 1"/>
                      <wp:cNvGraphicFramePr/>
                      <a:graphic xmlns:a="http://schemas.openxmlformats.org/drawingml/2006/main">
                        <a:graphicData uri="http://schemas.microsoft.com/office/word/2010/wordprocessingShape">
                          <wps:wsp>
                            <wps:cNvSpPr txBox="1"/>
                            <wps:spPr>
                              <a:xfrm>
                                <a:off x="4381500" y="3220085"/>
                                <a:ext cx="871855" cy="265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C9CA39">
                                  <w:pPr>
                                    <w:rPr>
                                      <w:rFonts w:hint="eastAsia" w:eastAsia="宋体"/>
                                      <w:b/>
                                      <w:bCs/>
                                      <w:lang w:eastAsia="zh-CN"/>
                                    </w:rPr>
                                  </w:pPr>
                                  <w:r>
                                    <w:rPr>
                                      <w:rFonts w:hint="eastAsia"/>
                                      <w:b/>
                                      <w:bCs/>
                                      <w:lang w:eastAsia="zh-CN"/>
                                    </w:rPr>
                                    <w:t>施工生产区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pt;margin-top:-197.9pt;height:20.9pt;width:68.65pt;z-index:251660288;mso-width-relative:page;mso-height-relative:page;" fillcolor="#FFFFFF [3201]" filled="t" stroked="t" coordsize="21600,21600" o:gfxdata="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Tsa/TZAAAADQEAAA8AAAAAAAAAAQAgAAAAIgAAAGRycy9kb3ducmV2LnhtbFBLAQIU&#10;ABQAAAAIAIdO4kDmuJBxZAIAAMIEAAAOAAAAAAAAAAEAIAAAACgBAABkcnMvZTJvRG9jLnhtbFBL&#10;BQYAAAAABgAGAFkBAAD+BQAAAAA=&#10;">
                      <v:fill on="t" focussize="0,0"/>
                      <v:stroke weight="0.5pt" color="#000000 [3204]" joinstyle="round"/>
                      <v:imagedata o:title=""/>
                      <o:lock v:ext="edit" aspectratio="f"/>
                      <v:textbox>
                        <w:txbxContent>
                          <w:p w14:paraId="55C9CA39">
                            <w:pPr>
                              <w:rPr>
                                <w:rFonts w:hint="eastAsia" w:eastAsia="宋体"/>
                                <w:b/>
                                <w:bCs/>
                                <w:lang w:eastAsia="zh-CN"/>
                              </w:rPr>
                            </w:pPr>
                            <w:r>
                              <w:rPr>
                                <w:rFonts w:hint="eastAsia"/>
                                <w:b/>
                                <w:bCs/>
                                <w:lang w:eastAsia="zh-CN"/>
                              </w:rPr>
                              <w:t>施工生产区</w:t>
                            </w:r>
                          </w:p>
                        </w:txbxContent>
                      </v:textbox>
                    </v:shape>
                  </w:pict>
                </mc:Fallback>
              </mc:AlternateContent>
            </w:r>
            <w:r>
              <w:rPr>
                <w:rFonts w:hint="eastAsia"/>
                <w:b/>
                <w:bCs/>
                <w:color w:val="auto"/>
                <w:sz w:val="21"/>
                <w:szCs w:val="21"/>
                <w:highlight w:val="none"/>
              </w:rPr>
              <w:t>图</w:t>
            </w:r>
            <w:r>
              <w:rPr>
                <w:rFonts w:hint="default"/>
                <w:b/>
                <w:bCs/>
                <w:color w:val="auto"/>
                <w:sz w:val="21"/>
                <w:szCs w:val="21"/>
                <w:highlight w:val="none"/>
              </w:rPr>
              <w:fldChar w:fldCharType="begin"/>
            </w:r>
            <w:r>
              <w:rPr>
                <w:rFonts w:hint="default"/>
                <w:b/>
                <w:bCs/>
                <w:color w:val="auto"/>
                <w:sz w:val="21"/>
                <w:szCs w:val="21"/>
                <w:highlight w:val="none"/>
              </w:rPr>
              <w:instrText xml:space="preserve"> </w:instrText>
            </w:r>
            <w:r>
              <w:rPr>
                <w:rFonts w:hint="eastAsia"/>
                <w:b/>
                <w:bCs/>
                <w:color w:val="auto"/>
                <w:sz w:val="21"/>
                <w:szCs w:val="21"/>
                <w:highlight w:val="none"/>
              </w:rPr>
              <w:instrText xml:space="preserve">STYLEREF 1 \s</w:instrText>
            </w:r>
            <w:r>
              <w:rPr>
                <w:rFonts w:hint="default"/>
                <w:b/>
                <w:bCs/>
                <w:color w:val="auto"/>
                <w:sz w:val="21"/>
                <w:szCs w:val="21"/>
                <w:highlight w:val="none"/>
              </w:rPr>
              <w:instrText xml:space="preserve"> </w:instrText>
            </w:r>
            <w:r>
              <w:rPr>
                <w:rFonts w:hint="default"/>
                <w:b/>
                <w:bCs/>
                <w:color w:val="auto"/>
                <w:sz w:val="21"/>
                <w:szCs w:val="21"/>
                <w:highlight w:val="none"/>
              </w:rPr>
              <w:fldChar w:fldCharType="separate"/>
            </w:r>
            <w:r>
              <w:rPr>
                <w:rFonts w:hint="default"/>
                <w:b/>
                <w:bCs/>
                <w:color w:val="auto"/>
                <w:sz w:val="21"/>
                <w:szCs w:val="21"/>
                <w:highlight w:val="none"/>
              </w:rPr>
              <w:t>2</w:t>
            </w:r>
            <w:r>
              <w:rPr>
                <w:rFonts w:hint="default"/>
                <w:b/>
                <w:bCs/>
                <w:color w:val="auto"/>
                <w:sz w:val="21"/>
                <w:szCs w:val="21"/>
                <w:highlight w:val="none"/>
              </w:rPr>
              <w:fldChar w:fldCharType="end"/>
            </w:r>
            <w:r>
              <w:rPr>
                <w:rFonts w:hint="default"/>
                <w:b/>
                <w:bCs/>
                <w:color w:val="auto"/>
                <w:sz w:val="21"/>
                <w:szCs w:val="21"/>
                <w:highlight w:val="none"/>
              </w:rPr>
              <w:noBreakHyphen/>
            </w:r>
            <w:r>
              <w:rPr>
                <w:rFonts w:hint="eastAsia"/>
                <w:b/>
                <w:bCs/>
                <w:color w:val="auto"/>
                <w:sz w:val="21"/>
                <w:szCs w:val="21"/>
                <w:highlight w:val="none"/>
              </w:rPr>
              <w:t>1</w:t>
            </w:r>
            <w:r>
              <w:rPr>
                <w:rFonts w:hint="eastAsia"/>
                <w:b/>
                <w:bCs/>
                <w:color w:val="auto"/>
                <w:sz w:val="21"/>
                <w:szCs w:val="21"/>
                <w:highlight w:val="none"/>
                <w:lang w:val="en-US" w:eastAsia="zh-CN"/>
              </w:rPr>
              <w:t xml:space="preserve">  </w:t>
            </w:r>
            <w:r>
              <w:rPr>
                <w:rFonts w:hint="default"/>
                <w:b/>
                <w:bCs/>
                <w:color w:val="auto"/>
                <w:sz w:val="21"/>
                <w:szCs w:val="21"/>
                <w:highlight w:val="none"/>
              </w:rPr>
              <w:t>施工</w:t>
            </w:r>
            <w:r>
              <w:rPr>
                <w:rFonts w:hint="eastAsia"/>
                <w:b/>
                <w:bCs/>
                <w:color w:val="auto"/>
                <w:sz w:val="21"/>
                <w:szCs w:val="21"/>
                <w:highlight w:val="none"/>
                <w:lang w:val="en-US" w:eastAsia="zh-CN"/>
              </w:rPr>
              <w:t>场地位置</w:t>
            </w:r>
            <w:r>
              <w:rPr>
                <w:rFonts w:hint="default"/>
                <w:b/>
                <w:bCs/>
                <w:color w:val="auto"/>
                <w:sz w:val="21"/>
                <w:szCs w:val="21"/>
                <w:highlight w:val="none"/>
              </w:rPr>
              <w:t>示意图</w:t>
            </w:r>
          </w:p>
          <w:p w14:paraId="13D35316">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（2）取土场</w:t>
            </w:r>
          </w:p>
          <w:p w14:paraId="03ACE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根据主体设计，项目建设开挖土石方能够满足场地回填要求，项目建设不涉及取土（石）料场。</w:t>
            </w:r>
          </w:p>
          <w:p w14:paraId="374741EA">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项目施工过程中所需砂石料等从周边合法市场购买使用，不设置砂石料场及砂石料加工系统。</w:t>
            </w:r>
          </w:p>
          <w:p w14:paraId="6FDD8EAD">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（3）弃土场</w:t>
            </w:r>
          </w:p>
          <w:p w14:paraId="4E8C1FE7">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sz w:val="24"/>
                <w:szCs w:val="24"/>
                <w:highlight w:val="none"/>
              </w:rPr>
              <w:t>本工程土石方全部用于自身回填利用，不产生弃渣，不</w:t>
            </w:r>
            <w:r>
              <w:rPr>
                <w:rFonts w:hint="default" w:ascii="Times New Roman" w:hAnsi="Times New Roman" w:eastAsia="宋体" w:cs="Times New Roman"/>
                <w:color w:val="auto"/>
                <w:kern w:val="2"/>
                <w:sz w:val="24"/>
                <w:szCs w:val="24"/>
                <w:highlight w:val="none"/>
                <w:shd w:val="clear" w:color="auto" w:fill="auto"/>
                <w:lang w:val="en-US" w:eastAsia="zh-CN" w:bidi="ar-SA"/>
              </w:rPr>
              <w:t>设置</w:t>
            </w:r>
            <w:r>
              <w:rPr>
                <w:rFonts w:hint="default" w:ascii="Times New Roman" w:hAnsi="Times New Roman" w:eastAsia="宋体" w:cs="Times New Roman"/>
                <w:color w:val="auto"/>
                <w:sz w:val="24"/>
                <w:szCs w:val="24"/>
                <w:highlight w:val="none"/>
              </w:rPr>
              <w:t>弃渣场。</w:t>
            </w:r>
          </w:p>
          <w:p w14:paraId="0CC1301A">
            <w:pPr>
              <w:pStyle w:val="15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kern w:val="2"/>
                <w:sz w:val="24"/>
                <w:szCs w:val="24"/>
                <w:highlight w:val="none"/>
                <w:shd w:val="clear" w:color="auto" w:fill="auto"/>
                <w:lang w:val="en-US" w:eastAsia="zh-CN" w:bidi="ar-SA"/>
              </w:rPr>
              <w:t>（4）临时表土堆场</w:t>
            </w:r>
          </w:p>
          <w:p w14:paraId="6EF225A9">
            <w:pPr>
              <w:pStyle w:val="135"/>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olor w:val="auto"/>
                <w:highlight w:val="none"/>
                <w:shd w:val="clear" w:color="auto" w:fill="auto"/>
                <w:lang w:val="zh-CN"/>
              </w:rPr>
            </w:pPr>
            <w:r>
              <w:rPr>
                <w:rFonts w:hint="default" w:ascii="Times New Roman" w:hAnsi="Times New Roman" w:eastAsia="宋体" w:cs="Times New Roman"/>
                <w:color w:val="auto"/>
                <w:sz w:val="24"/>
                <w:szCs w:val="24"/>
                <w:highlight w:val="none"/>
              </w:rPr>
              <w:t>项目区原地貌主要为</w:t>
            </w:r>
            <w:r>
              <w:rPr>
                <w:rFonts w:hint="eastAsia" w:cs="Times New Roman"/>
                <w:color w:val="auto"/>
                <w:sz w:val="24"/>
                <w:szCs w:val="24"/>
                <w:highlight w:val="none"/>
                <w:lang w:eastAsia="zh-CN"/>
              </w:rPr>
              <w:t>其他</w:t>
            </w:r>
            <w:r>
              <w:rPr>
                <w:rFonts w:hint="default" w:ascii="Times New Roman" w:hAnsi="Times New Roman" w:eastAsia="宋体" w:cs="Times New Roman"/>
                <w:color w:val="auto"/>
                <w:sz w:val="24"/>
                <w:szCs w:val="24"/>
                <w:highlight w:val="none"/>
              </w:rPr>
              <w:t>草地、林地和交通运输用地</w:t>
            </w:r>
            <w:r>
              <w:rPr>
                <w:rFonts w:hint="default" w:ascii="Times New Roman" w:hAnsi="Times New Roman" w:eastAsia="宋体" w:cs="Times New Roman"/>
                <w:color w:val="auto"/>
                <w:sz w:val="24"/>
                <w:szCs w:val="24"/>
                <w:highlight w:val="none"/>
                <w:lang w:eastAsia="zh-CN"/>
              </w:rPr>
              <w:t>、裸土地</w:t>
            </w:r>
            <w:r>
              <w:rPr>
                <w:rFonts w:hint="default" w:ascii="Times New Roman" w:hAnsi="Times New Roman" w:eastAsia="宋体" w:cs="Times New Roman"/>
                <w:color w:val="auto"/>
                <w:sz w:val="24"/>
                <w:szCs w:val="24"/>
                <w:highlight w:val="none"/>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default" w:ascii="Times New Roman" w:hAnsi="Times New Roman" w:eastAsia="宋体" w:cs="Times New Roman"/>
                <w:color w:val="auto"/>
                <w:sz w:val="24"/>
                <w:szCs w:val="24"/>
                <w:highlight w:val="none"/>
              </w:rPr>
              <w:t>表土堆场。</w:t>
            </w:r>
          </w:p>
        </w:tc>
      </w:tr>
      <w:tr w14:paraId="6D4AD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pct"/>
            <w:vAlign w:val="center"/>
          </w:tcPr>
          <w:p w14:paraId="42041BCB">
            <w:pPr>
              <w:keepNext w:val="0"/>
              <w:keepLines w:val="0"/>
              <w:suppressLineNumbers w:val="0"/>
              <w:shd w:val="clear"/>
              <w:adjustRightInd w:val="0"/>
              <w:snapToGrid w:val="0"/>
              <w:spacing w:before="0" w:beforeAutospacing="0" w:after="0" w:afterAutospacing="0"/>
              <w:ind w:left="0" w:right="0"/>
              <w:jc w:val="center"/>
              <w:rPr>
                <w:rFonts w:hint="default"/>
                <w:color w:val="auto"/>
                <w:kern w:val="0"/>
                <w:sz w:val="24"/>
                <w:highlight w:val="none"/>
                <w:shd w:val="clear" w:color="auto" w:fill="auto"/>
              </w:rPr>
            </w:pPr>
            <w:r>
              <w:rPr>
                <w:rFonts w:hint="default"/>
                <w:color w:val="auto"/>
                <w:kern w:val="0"/>
                <w:sz w:val="24"/>
                <w:highlight w:val="none"/>
                <w:shd w:val="clear" w:color="auto" w:fill="auto"/>
              </w:rPr>
              <w:t>施工方案</w:t>
            </w:r>
          </w:p>
        </w:tc>
        <w:tc>
          <w:tcPr>
            <w:tcW w:w="4551" w:type="pct"/>
            <w:vAlign w:val="center"/>
          </w:tcPr>
          <w:p w14:paraId="1D32BE4A">
            <w:pPr>
              <w:keepNext w:val="0"/>
              <w:keepLines w:val="0"/>
              <w:widowControl/>
              <w:suppressLineNumbers w:val="0"/>
              <w:shd w:val="clear"/>
              <w:spacing w:before="0" w:beforeAutospacing="0" w:after="0" w:afterAutospacing="0" w:line="360" w:lineRule="auto"/>
              <w:ind w:left="0" w:right="0"/>
              <w:jc w:val="left"/>
              <w:rPr>
                <w:rFonts w:hint="default"/>
                <w:color w:val="auto"/>
                <w:sz w:val="24"/>
                <w:highlight w:val="none"/>
                <w:shd w:val="clear" w:color="auto" w:fill="auto"/>
              </w:rPr>
            </w:pPr>
            <w:r>
              <w:rPr>
                <w:rFonts w:hint="default"/>
                <w:b/>
                <w:bCs/>
                <w:color w:val="auto"/>
                <w:kern w:val="0"/>
                <w:sz w:val="24"/>
                <w:highlight w:val="none"/>
                <w:shd w:val="clear" w:color="auto" w:fill="auto"/>
                <w:lang w:bidi="ar"/>
              </w:rPr>
              <w:t>1、施工工艺流程简述及产污节点</w:t>
            </w:r>
          </w:p>
          <w:p w14:paraId="6B8B237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本项目主体工程主要包括：光伏阵列基础及支架安装、逆变器安装、箱式变压器基础及安装</w:t>
            </w:r>
            <w:r>
              <w:rPr>
                <w:rFonts w:hint="eastAsia" w:cs="Times New Roman"/>
                <w:color w:val="auto"/>
                <w:kern w:val="0"/>
                <w:sz w:val="24"/>
                <w:highlight w:val="none"/>
                <w:lang w:val="en-US" w:eastAsia="zh-CN"/>
              </w:rPr>
              <w:t>、埋地电缆</w:t>
            </w:r>
            <w:r>
              <w:rPr>
                <w:rFonts w:hint="eastAsia" w:ascii="Times New Roman" w:hAnsi="Times New Roman" w:eastAsia="宋体" w:cs="Times New Roman"/>
                <w:color w:val="auto"/>
                <w:kern w:val="0"/>
                <w:sz w:val="24"/>
                <w:highlight w:val="none"/>
                <w:lang w:val="en-US" w:eastAsia="zh-CN"/>
              </w:rPr>
              <w:t>敷设等。</w:t>
            </w:r>
          </w:p>
          <w:p w14:paraId="40C0598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lang w:val="en-US"/>
              </w:rPr>
            </w:pPr>
            <w:r>
              <w:rPr>
                <w:rFonts w:hint="eastAsia"/>
                <w:color w:val="auto"/>
                <w:kern w:val="0"/>
                <w:sz w:val="24"/>
                <w:highlight w:val="none"/>
              </w:rPr>
              <w:t>（1）</w:t>
            </w:r>
            <w:r>
              <w:rPr>
                <w:rFonts w:hint="eastAsia"/>
                <w:color w:val="auto"/>
                <w:kern w:val="0"/>
                <w:sz w:val="24"/>
                <w:highlight w:val="none"/>
                <w:lang w:val="en-US" w:eastAsia="zh-CN"/>
              </w:rPr>
              <w:t>光伏阵列基础施工及组件安装</w:t>
            </w:r>
          </w:p>
          <w:p w14:paraId="39417C85">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color w:val="auto"/>
                <w:kern w:val="0"/>
                <w:sz w:val="24"/>
                <w:highlight w:val="none"/>
                <w:lang w:val="en-US" w:eastAsia="zh-CN"/>
              </w:rPr>
            </w:pPr>
            <w:r>
              <w:rPr>
                <w:rFonts w:hint="eastAsia"/>
                <w:color w:val="auto"/>
                <w:kern w:val="0"/>
                <w:sz w:val="24"/>
                <w:highlight w:val="none"/>
                <w:lang w:val="en-US" w:eastAsia="zh-CN"/>
              </w:rPr>
              <w:t>①光伏阵列基础施工</w:t>
            </w:r>
          </w:p>
          <w:p w14:paraId="167FC7B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rPr>
            </w:pPr>
            <w:r>
              <w:rPr>
                <w:rFonts w:hint="eastAsia"/>
                <w:color w:val="auto"/>
                <w:kern w:val="0"/>
                <w:sz w:val="24"/>
                <w:highlight w:val="none"/>
              </w:rPr>
              <w:t>光伏阵列基础采用钻孔灌注桩形式，混凝土灌注桩基础施工包括钻孔、钢筋笼制作与安装、混凝土浇筑。</w:t>
            </w:r>
          </w:p>
          <w:p w14:paraId="4345DD07">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②</w:t>
            </w:r>
            <w:r>
              <w:rPr>
                <w:rFonts w:hint="eastAsia"/>
                <w:color w:val="auto"/>
                <w:kern w:val="0"/>
                <w:sz w:val="24"/>
                <w:highlight w:val="none"/>
                <w:lang w:val="en-US" w:eastAsia="zh-CN"/>
              </w:rPr>
              <w:t>光伏组件安装</w:t>
            </w:r>
          </w:p>
          <w:p w14:paraId="59170D32">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lang w:eastAsia="zh-CN"/>
              </w:rPr>
              <w:t>本项目</w:t>
            </w:r>
            <w:r>
              <w:rPr>
                <w:rFonts w:hint="default"/>
                <w:color w:val="auto"/>
                <w:kern w:val="0"/>
                <w:sz w:val="24"/>
                <w:highlight w:val="none"/>
              </w:rPr>
              <w:t>光伏组件全部采用固定式安装，待光伏组件支架基础验收合格后，进行光伏组件的安装，光伏组件的安装分为两部分：支架安装、光伏组件安装。</w:t>
            </w:r>
          </w:p>
          <w:p w14:paraId="147221D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光伏阵列支架表面应平整，固定光伏组件的支架面必须调整在同一平面；各组件应对整齐并成一直线。光伏组件支架安装工艺流程：安装立柱→安装横梁→调整支架倾角→安装檩条→支架整体调整→支架螺栓紧固→电池组件就位。</w:t>
            </w:r>
          </w:p>
          <w:p w14:paraId="72F13104">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安装光伏组件前，应根据组件参数对每个光伏组件进行检查测试，其参数值应符合产品出厂指标。一般测试项目有：开路电压、短路电流。按电流分档相关要求，将同批次工作参数接近的组件在同一子方阵内；将额定工作电流相等或相接近的组件进行</w:t>
            </w:r>
            <w:r>
              <w:rPr>
                <w:rFonts w:hint="eastAsia"/>
                <w:color w:val="auto"/>
                <w:kern w:val="0"/>
                <w:sz w:val="24"/>
                <w:highlight w:val="none"/>
                <w:lang w:eastAsia="zh-CN"/>
              </w:rPr>
              <w:t>串联</w:t>
            </w:r>
            <w:r>
              <w:rPr>
                <w:rFonts w:hint="default"/>
                <w:color w:val="auto"/>
                <w:kern w:val="0"/>
                <w:sz w:val="24"/>
                <w:highlight w:val="none"/>
              </w:rPr>
              <w:t>。</w:t>
            </w:r>
          </w:p>
          <w:p w14:paraId="3C20921E">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安装光伏组件时，应轻拿轻放，防止硬物刮伤和撞击表面玻璃。组件在支架上的安装位置及接线盒排列方式应符合施工设计规定。组件固定面与支架表面不吻合时，应用铁垫片垫平后方可紧固连接螺丝，严禁用紧拧连接螺丝的方法使其吻合，固定螺栓应加防松垫片并拧紧。</w:t>
            </w:r>
          </w:p>
          <w:p w14:paraId="100EA728">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光伏组件电缆连接采取串接方式，插接要紧固，引出线应预留一定的余量。</w:t>
            </w:r>
          </w:p>
          <w:p w14:paraId="0D751F32">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lang w:val="en-US"/>
              </w:rPr>
            </w:pPr>
            <w:r>
              <w:rPr>
                <w:rFonts w:hint="eastAsia"/>
                <w:color w:val="auto"/>
                <w:kern w:val="0"/>
                <w:sz w:val="24"/>
                <w:highlight w:val="none"/>
                <w:lang w:val="en-US" w:eastAsia="zh-CN"/>
              </w:rPr>
              <w:t>（2）集电线路施工</w:t>
            </w:r>
          </w:p>
          <w:p w14:paraId="1A00D0C8">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本工程光伏</w:t>
            </w:r>
            <w:r>
              <w:rPr>
                <w:rFonts w:hint="eastAsia" w:cs="Times New Roman"/>
                <w:color w:val="auto"/>
                <w:kern w:val="0"/>
                <w:sz w:val="24"/>
                <w:szCs w:val="24"/>
                <w:highlight w:val="none"/>
                <w:lang w:val="en-US" w:eastAsia="zh-CN" w:bidi="ar-SA"/>
              </w:rPr>
              <w:t>场区</w:t>
            </w:r>
            <w:r>
              <w:rPr>
                <w:rFonts w:hint="eastAsia" w:ascii="Times New Roman" w:hAnsi="Times New Roman" w:eastAsia="宋体" w:cs="Times New Roman"/>
                <w:color w:val="auto"/>
                <w:kern w:val="0"/>
                <w:sz w:val="24"/>
                <w:szCs w:val="24"/>
                <w:highlight w:val="none"/>
                <w:lang w:val="en-US" w:eastAsia="zh-CN" w:bidi="ar-SA"/>
              </w:rPr>
              <w:t>集电线路采用</w:t>
            </w:r>
            <w:r>
              <w:rPr>
                <w:rFonts w:hint="default" w:ascii="鏂板畫浣?" w:hAnsi="鏂板畫浣?" w:eastAsia="鏂板畫浣?" w:cs="鏂板畫浣?"/>
                <w:color w:val="auto"/>
                <w:kern w:val="0"/>
                <w:sz w:val="24"/>
                <w:szCs w:val="24"/>
                <w:highlight w:val="none"/>
                <w:lang w:val="en-US" w:eastAsia="zh-CN" w:bidi="ar"/>
              </w:rPr>
              <w:t>电缆槽盒敷设，</w:t>
            </w:r>
            <w:r>
              <w:rPr>
                <w:rFonts w:hint="eastAsia" w:ascii="鏂板畫浣?" w:hAnsi="鏂板畫浣?" w:eastAsia="鏂板畫浣?" w:cs="鏂板畫浣?"/>
                <w:color w:val="auto"/>
                <w:kern w:val="0"/>
                <w:sz w:val="24"/>
                <w:szCs w:val="24"/>
                <w:lang w:val="en-US" w:eastAsia="zh-CN" w:bidi="ar"/>
              </w:rPr>
              <w:t>本次评价集电线路部分包括</w:t>
            </w:r>
            <w:r>
              <w:rPr>
                <w:rFonts w:hint="eastAsia"/>
                <w:color w:val="auto"/>
                <w:sz w:val="24"/>
                <w:szCs w:val="24"/>
                <w:lang w:val="en-US" w:eastAsia="zh-CN"/>
              </w:rPr>
              <w:t>电池组件之间</w:t>
            </w:r>
            <w:r>
              <w:rPr>
                <w:rFonts w:hint="default" w:ascii="Times New Roman" w:hAnsi="Times New Roman" w:eastAsia="宋体" w:cs="Times New Roman"/>
                <w:color w:val="auto"/>
                <w:kern w:val="0"/>
                <w:sz w:val="24"/>
                <w:szCs w:val="24"/>
                <w:lang w:val="en-US" w:eastAsia="zh-CN" w:bidi="ar"/>
              </w:rPr>
              <w:t>1500V耐压</w:t>
            </w:r>
            <w:r>
              <w:rPr>
                <w:rFonts w:hint="eastAsia"/>
                <w:color w:val="auto"/>
                <w:sz w:val="24"/>
                <w:szCs w:val="24"/>
                <w:lang w:val="en-US" w:eastAsia="zh-CN"/>
              </w:rPr>
              <w:t>的光伏电缆和逆变器出线电缆。</w:t>
            </w:r>
            <w:r>
              <w:rPr>
                <w:rFonts w:hint="default" w:eastAsia="宋体"/>
                <w:b/>
                <w:bCs/>
                <w:color w:val="auto"/>
                <w:sz w:val="24"/>
                <w:szCs w:val="24"/>
                <w:highlight w:val="none"/>
                <w:lang w:val="en-US" w:eastAsia="zh-CN"/>
              </w:rPr>
              <w:t>35kV</w:t>
            </w:r>
            <w:r>
              <w:rPr>
                <w:rFonts w:hint="eastAsia"/>
                <w:b/>
                <w:bCs/>
                <w:color w:val="auto"/>
                <w:sz w:val="24"/>
                <w:szCs w:val="24"/>
                <w:highlight w:val="none"/>
                <w:lang w:val="en-US" w:eastAsia="zh-CN"/>
              </w:rPr>
              <w:t>集电线路按照</w:t>
            </w:r>
            <w:r>
              <w:rPr>
                <w:rFonts w:hint="eastAsia" w:eastAsia="宋体"/>
                <w:b/>
                <w:bCs/>
                <w:color w:val="auto"/>
                <w:sz w:val="24"/>
                <w:szCs w:val="24"/>
                <w:highlight w:val="none"/>
                <w:lang w:val="en-US" w:eastAsia="zh-CN"/>
              </w:rPr>
              <w:t>送出</w:t>
            </w:r>
            <w:r>
              <w:rPr>
                <w:rFonts w:hint="default" w:eastAsia="宋体"/>
                <w:b/>
                <w:bCs/>
                <w:color w:val="auto"/>
                <w:sz w:val="24"/>
                <w:szCs w:val="24"/>
                <w:highlight w:val="none"/>
                <w:lang w:val="en-US" w:eastAsia="zh-CN"/>
              </w:rPr>
              <w:t>线路</w:t>
            </w:r>
            <w:r>
              <w:rPr>
                <w:rFonts w:hint="eastAsia" w:eastAsia="宋体"/>
                <w:b/>
                <w:bCs/>
                <w:color w:val="auto"/>
                <w:sz w:val="24"/>
                <w:szCs w:val="24"/>
                <w:highlight w:val="none"/>
                <w:lang w:val="en-US" w:eastAsia="zh-CN"/>
              </w:rPr>
              <w:t>单独进行核准，</w:t>
            </w:r>
            <w:r>
              <w:rPr>
                <w:rFonts w:hint="eastAsia" w:eastAsia="宋体"/>
                <w:b/>
                <w:bCs/>
                <w:color w:val="auto"/>
                <w:sz w:val="24"/>
                <w:szCs w:val="24"/>
                <w:highlight w:val="none"/>
              </w:rPr>
              <w:t>本次评价不包含</w:t>
            </w:r>
            <w:r>
              <w:rPr>
                <w:rFonts w:hint="eastAsia" w:eastAsia="宋体"/>
                <w:b/>
                <w:bCs/>
                <w:color w:val="auto"/>
                <w:sz w:val="24"/>
                <w:szCs w:val="24"/>
                <w:highlight w:val="none"/>
                <w:lang w:val="en-US" w:eastAsia="zh-CN"/>
              </w:rPr>
              <w:t>35kV</w:t>
            </w:r>
            <w:r>
              <w:rPr>
                <w:rFonts w:hint="eastAsia"/>
                <w:b/>
                <w:bCs/>
                <w:color w:val="auto"/>
                <w:sz w:val="24"/>
                <w:szCs w:val="24"/>
                <w:highlight w:val="none"/>
              </w:rPr>
              <w:t>送出线路工程内容</w:t>
            </w:r>
            <w:r>
              <w:rPr>
                <w:rFonts w:hint="eastAsia" w:ascii="Times New Roman" w:hAnsi="Times New Roman" w:eastAsia="宋体" w:cs="Times New Roman"/>
                <w:color w:val="auto"/>
                <w:kern w:val="0"/>
                <w:sz w:val="24"/>
                <w:szCs w:val="24"/>
                <w:highlight w:val="none"/>
                <w:lang w:val="en-US" w:eastAsia="zh-CN" w:bidi="ar-SA"/>
              </w:rPr>
              <w:t>。</w:t>
            </w:r>
          </w:p>
          <w:p w14:paraId="09774B4B">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施工工序：画线定位</w:t>
            </w:r>
            <w:r>
              <w:rPr>
                <w:rFonts w:hint="default"/>
                <w:color w:val="auto"/>
                <w:kern w:val="0"/>
                <w:sz w:val="24"/>
                <w:highlight w:val="none"/>
              </w:rPr>
              <w:t>→</w:t>
            </w:r>
            <w:r>
              <w:rPr>
                <w:rFonts w:hint="eastAsia"/>
                <w:color w:val="auto"/>
                <w:kern w:val="0"/>
                <w:sz w:val="24"/>
                <w:highlight w:val="none"/>
                <w:lang w:val="en-US" w:eastAsia="zh-CN"/>
              </w:rPr>
              <w:t>槽盒吊件安装</w:t>
            </w:r>
            <w:r>
              <w:rPr>
                <w:rFonts w:hint="default"/>
                <w:color w:val="auto"/>
                <w:kern w:val="0"/>
                <w:sz w:val="24"/>
                <w:highlight w:val="none"/>
              </w:rPr>
              <w:t>→</w:t>
            </w:r>
            <w:r>
              <w:rPr>
                <w:rFonts w:hint="eastAsia"/>
                <w:color w:val="auto"/>
                <w:kern w:val="0"/>
                <w:sz w:val="24"/>
                <w:highlight w:val="none"/>
                <w:lang w:val="en-US" w:eastAsia="zh-CN"/>
              </w:rPr>
              <w:t>槽盒接地保护</w:t>
            </w:r>
            <w:r>
              <w:rPr>
                <w:rFonts w:hint="default"/>
                <w:color w:val="auto"/>
                <w:kern w:val="0"/>
                <w:sz w:val="24"/>
                <w:highlight w:val="none"/>
              </w:rPr>
              <w:t>→</w:t>
            </w:r>
            <w:r>
              <w:rPr>
                <w:rFonts w:hint="eastAsia"/>
                <w:color w:val="auto"/>
                <w:kern w:val="0"/>
                <w:sz w:val="24"/>
                <w:highlight w:val="none"/>
                <w:lang w:val="en-US" w:eastAsia="zh-CN"/>
              </w:rPr>
              <w:t>槽盒调直。</w:t>
            </w:r>
          </w:p>
          <w:p w14:paraId="4FE98D44">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①画线定位</w:t>
            </w:r>
          </w:p>
          <w:p w14:paraId="5B9BF94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根据设计图或施工方案，从槽盒始端至终端（先干线后支线）弹出水平或垂直线，按弹好的线和规定的间距确定支吊架固定胀栓的具体位置并打眼。</w:t>
            </w:r>
          </w:p>
          <w:p w14:paraId="6D2F54A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②吊架安装</w:t>
            </w:r>
          </w:p>
          <w:p w14:paraId="79B8AC7A">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吊架所用钢材应平直，无扭曲。下料后长短偏差应在5mm范围内，切口处无卷边、毛刺。安装完成后横担下面露出的吊杆丝扣长度应一致。拉螺丝固定后，其头部偏斜值不应大于2mm。垂直安装的支架间距不大于2m。在进出接线盒、箱，拐角、转弯处和变形缝、膨胀节两端及丁字接头的三端500m以内应设支持点。</w:t>
            </w:r>
          </w:p>
          <w:p w14:paraId="33877E8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③槽盒安装</w:t>
            </w:r>
          </w:p>
          <w:p w14:paraId="13691F3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槽盒安装接口应平整，接缝处应紧密平直，连接板两端不少于2个有防松螺帽或防松垫圈的连接固定螺栓，螺母置于槽盒外侧。盖装上后应平直，无翘角，出线口的位置准确。</w:t>
            </w:r>
          </w:p>
          <w:p w14:paraId="77AC6697">
            <w:pPr>
              <w:pStyle w:val="1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olor w:val="auto"/>
                <w:kern w:val="0"/>
                <w:sz w:val="24"/>
                <w:highlight w:val="none"/>
                <w:lang w:val="en-US" w:eastAsia="zh-CN"/>
              </w:rPr>
              <w:t>④槽盒与盒、箱等连接时，进线和出线口等处应采用抱脚或翻边连接，并用螺丝紧固，末端应加装封堵。</w:t>
            </w:r>
          </w:p>
          <w:p w14:paraId="7919C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kern w:val="0"/>
                <w:sz w:val="24"/>
                <w:highlight w:val="none"/>
                <w:lang w:val="en-US"/>
              </w:rPr>
            </w:pPr>
            <w:r>
              <w:rPr>
                <w:rFonts w:hint="eastAsia"/>
                <w:color w:val="auto"/>
                <w:kern w:val="0"/>
                <w:sz w:val="24"/>
                <w:highlight w:val="none"/>
                <w:lang w:val="en-US" w:eastAsia="zh-CN"/>
              </w:rPr>
              <w:t>（3）建筑工程主要施工工艺</w:t>
            </w:r>
          </w:p>
          <w:p w14:paraId="19C7D0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lang w:val="en-US" w:eastAsia="zh-CN"/>
              </w:rPr>
              <w:t>①</w:t>
            </w:r>
            <w:r>
              <w:rPr>
                <w:rFonts w:hint="eastAsia"/>
                <w:color w:val="auto"/>
                <w:kern w:val="0"/>
                <w:sz w:val="24"/>
                <w:highlight w:val="none"/>
              </w:rPr>
              <w:t>土石方工程</w:t>
            </w:r>
          </w:p>
          <w:p w14:paraId="30D8084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lang w:val="en-US" w:eastAsia="zh-CN"/>
              </w:rPr>
              <w:t>本项目接地、电池方阵区的场地平整等都涉及土石方的开挖。土方开挖可采用挖掘机直接开挖，集电线路采用人工开挖或者小挖机进行开挖，道路修建时候避免进行大规模的开挖，在坡度大的区域进行人工施工；当遇到孤石地段时，可用机械破碎后再采用挖掘机开挖。</w:t>
            </w:r>
          </w:p>
          <w:p w14:paraId="2D59A81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lang w:val="en-US" w:eastAsia="zh-CN"/>
              </w:rPr>
              <w:t>②</w:t>
            </w:r>
            <w:r>
              <w:rPr>
                <w:rFonts w:hint="eastAsia"/>
                <w:color w:val="auto"/>
                <w:kern w:val="0"/>
                <w:sz w:val="24"/>
                <w:highlight w:val="none"/>
              </w:rPr>
              <w:t>混凝土工程</w:t>
            </w:r>
          </w:p>
          <w:p w14:paraId="23E6085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lang w:eastAsia="zh-CN"/>
              </w:rPr>
            </w:pPr>
            <w:r>
              <w:rPr>
                <w:rFonts w:hint="eastAsia"/>
                <w:color w:val="auto"/>
                <w:kern w:val="0"/>
                <w:sz w:val="24"/>
                <w:highlight w:val="none"/>
              </w:rPr>
              <w:t>光伏阵列</w:t>
            </w:r>
            <w:r>
              <w:rPr>
                <w:rFonts w:hint="eastAsia"/>
                <w:color w:val="auto"/>
                <w:kern w:val="0"/>
                <w:sz w:val="24"/>
                <w:highlight w:val="none"/>
                <w:lang w:eastAsia="zh-CN"/>
              </w:rPr>
              <w:t>支架</w:t>
            </w:r>
            <w:r>
              <w:rPr>
                <w:rFonts w:hint="eastAsia"/>
                <w:color w:val="auto"/>
                <w:kern w:val="0"/>
                <w:sz w:val="24"/>
                <w:highlight w:val="none"/>
              </w:rPr>
              <w:t>采用混凝土灌注桩基础，混凝土灌注桩基础桩基采用直径为300mm</w:t>
            </w:r>
            <w:r>
              <w:rPr>
                <w:rFonts w:hint="eastAsia"/>
                <w:color w:val="auto"/>
                <w:kern w:val="0"/>
                <w:sz w:val="24"/>
                <w:highlight w:val="none"/>
                <w:lang w:eastAsia="zh-CN"/>
              </w:rPr>
              <w:t>。</w:t>
            </w:r>
          </w:p>
          <w:p w14:paraId="321E43F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lang w:val="en-US" w:eastAsia="zh-CN"/>
              </w:rPr>
              <w:t>（4）</w:t>
            </w:r>
            <w:r>
              <w:rPr>
                <w:rFonts w:hint="eastAsia"/>
                <w:color w:val="auto"/>
                <w:kern w:val="0"/>
                <w:sz w:val="24"/>
                <w:highlight w:val="none"/>
              </w:rPr>
              <w:t>设备安装</w:t>
            </w:r>
          </w:p>
          <w:p w14:paraId="0934AD4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highlight w:val="none"/>
              </w:rPr>
            </w:pPr>
            <w:r>
              <w:rPr>
                <w:rFonts w:hint="eastAsia"/>
                <w:color w:val="auto"/>
                <w:kern w:val="0"/>
                <w:sz w:val="24"/>
                <w:highlight w:val="none"/>
                <w:lang w:val="en-US" w:eastAsia="zh-CN"/>
              </w:rPr>
              <w:t>组串式逆变器安装在光伏支架上接入箱变，再由地埋集电</w:t>
            </w:r>
            <w:r>
              <w:rPr>
                <w:rFonts w:hint="eastAsia"/>
                <w:color w:val="auto"/>
                <w:kern w:val="0"/>
                <w:sz w:val="24"/>
                <w:highlight w:val="none"/>
              </w:rPr>
              <w:t>线路</w:t>
            </w:r>
            <w:r>
              <w:rPr>
                <w:rFonts w:hint="eastAsia"/>
                <w:color w:val="auto"/>
                <w:kern w:val="0"/>
                <w:sz w:val="24"/>
                <w:highlight w:val="none"/>
                <w:lang w:val="en-US" w:eastAsia="zh-CN"/>
              </w:rPr>
              <w:t>接箱变</w:t>
            </w:r>
            <w:r>
              <w:rPr>
                <w:rFonts w:hint="eastAsia"/>
                <w:color w:val="auto"/>
                <w:kern w:val="0"/>
                <w:sz w:val="24"/>
                <w:highlight w:val="none"/>
              </w:rPr>
              <w:t>。</w:t>
            </w:r>
            <w:r>
              <w:rPr>
                <w:rFonts w:hint="eastAsia"/>
                <w:color w:val="auto"/>
                <w:kern w:val="0"/>
                <w:sz w:val="24"/>
                <w:highlight w:val="none"/>
                <w:lang w:val="en-US" w:eastAsia="zh-CN"/>
              </w:rPr>
              <w:t>根据现场实际情况，通过螺栓将逆变器固定在光伏支架上。</w:t>
            </w:r>
            <w:r>
              <w:rPr>
                <w:rFonts w:hint="eastAsia"/>
                <w:color w:val="auto"/>
                <w:kern w:val="0"/>
                <w:sz w:val="24"/>
                <w:highlight w:val="none"/>
              </w:rPr>
              <w:t>采用抱箍将横梁安装于立柱上，设备通过螺栓固定于横梁上，安装位置由电气专业确定。</w:t>
            </w:r>
          </w:p>
          <w:p w14:paraId="6DB7762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2、</w:t>
            </w:r>
            <w:r>
              <w:rPr>
                <w:rFonts w:hint="default"/>
                <w:b/>
                <w:bCs/>
                <w:color w:val="auto"/>
                <w:kern w:val="0"/>
                <w:sz w:val="24"/>
                <w:highlight w:val="none"/>
                <w:shd w:val="clear" w:color="auto" w:fill="auto"/>
              </w:rPr>
              <w:t>施工组织</w:t>
            </w:r>
          </w:p>
          <w:p w14:paraId="5B83C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施工交通</w:t>
            </w:r>
          </w:p>
          <w:p w14:paraId="1D1E0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梳山光伏电站对外交通运输拟采用公路运输，主要线路为：昆明－寻甸县－梳山光伏电站各地块，总里程约137km。公路交通线路具体条件如下： </w:t>
            </w:r>
          </w:p>
          <w:p w14:paraId="49F95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 xml:space="preserve">1）昆明市～寻甸县，嵩昆高速、银昆高速，里程约90km，满足运输要求； </w:t>
            </w:r>
          </w:p>
          <w:p w14:paraId="19E28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2）寻甸县～场址各主线道路起点，S258寻白线，里程约47km，满足运输要求。</w:t>
            </w:r>
          </w:p>
          <w:p w14:paraId="3FD93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场址进场道路总体条件较好，能够满足主变、箱变等大型设备的运输要求。部分地块道路条件不满足大件运输条件，对道路加宽改造处理后</w:t>
            </w:r>
            <w:r>
              <w:rPr>
                <w:rFonts w:hint="default" w:ascii="Times New Roman" w:hAnsi="Times New Roman" w:eastAsia="宋体" w:cs="Times New Roman"/>
                <w:color w:val="auto"/>
                <w:sz w:val="24"/>
                <w:szCs w:val="24"/>
                <w:highlight w:val="none"/>
                <w:lang w:eastAsia="zh-CN"/>
              </w:rPr>
              <w:t>能满足施工运输要求。</w:t>
            </w:r>
          </w:p>
          <w:p w14:paraId="58A169D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kern w:val="0"/>
                <w:sz w:val="24"/>
                <w:szCs w:val="24"/>
                <w:highlight w:val="none"/>
                <w:shd w:val="clear" w:color="auto" w:fill="auto"/>
              </w:rPr>
            </w:pP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lang w:val="en-US" w:eastAsia="zh-CN"/>
              </w:rPr>
              <w:t>2</w:t>
            </w:r>
            <w:r>
              <w:rPr>
                <w:rFonts w:hint="eastAsia"/>
                <w:color w:val="auto"/>
                <w:kern w:val="0"/>
                <w:sz w:val="24"/>
                <w:szCs w:val="24"/>
                <w:highlight w:val="none"/>
                <w:shd w:val="clear" w:color="auto" w:fill="auto"/>
                <w:lang w:eastAsia="zh-CN"/>
              </w:rPr>
              <w:t>）</w:t>
            </w:r>
            <w:r>
              <w:rPr>
                <w:rFonts w:hint="eastAsia"/>
                <w:color w:val="auto"/>
                <w:kern w:val="0"/>
                <w:sz w:val="24"/>
                <w:szCs w:val="24"/>
                <w:highlight w:val="none"/>
                <w:shd w:val="clear" w:color="auto" w:fill="auto"/>
              </w:rPr>
              <w:t>施工场地布置</w:t>
            </w:r>
          </w:p>
          <w:p w14:paraId="0F356A86">
            <w:pPr>
              <w:pStyle w:val="140"/>
              <w:keepNext w:val="0"/>
              <w:keepLines w:val="0"/>
              <w:suppressLineNumbers w:val="0"/>
              <w:shd w:val="clear"/>
              <w:spacing w:before="0" w:beforeAutospacing="0" w:after="0" w:afterAutospacing="0" w:line="360" w:lineRule="auto"/>
              <w:ind w:left="0" w:right="0" w:firstLine="480"/>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color w:val="auto"/>
                <w:sz w:val="24"/>
                <w:szCs w:val="24"/>
                <w:highlight w:val="none"/>
                <w:lang w:val="en-US" w:eastAsia="zh-CN"/>
              </w:rPr>
              <w:t>项目区</w:t>
            </w:r>
            <w:r>
              <w:rPr>
                <w:rFonts w:hint="default"/>
                <w:color w:val="auto"/>
                <w:sz w:val="24"/>
                <w:szCs w:val="24"/>
                <w:highlight w:val="none"/>
              </w:rPr>
              <w:t>共布置</w:t>
            </w:r>
            <w:r>
              <w:rPr>
                <w:rFonts w:hint="eastAsia"/>
                <w:color w:val="auto"/>
                <w:sz w:val="24"/>
                <w:szCs w:val="24"/>
                <w:highlight w:val="none"/>
              </w:rPr>
              <w:t>1</w:t>
            </w:r>
            <w:r>
              <w:rPr>
                <w:rFonts w:hint="default"/>
                <w:color w:val="auto"/>
                <w:sz w:val="24"/>
                <w:szCs w:val="24"/>
                <w:highlight w:val="none"/>
              </w:rPr>
              <w:t>个施工场地，占地面积约</w:t>
            </w:r>
            <w:r>
              <w:rPr>
                <w:rFonts w:hint="eastAsia"/>
                <w:color w:val="auto"/>
                <w:sz w:val="24"/>
                <w:szCs w:val="24"/>
                <w:highlight w:val="none"/>
              </w:rPr>
              <w:t>0.25</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，布设在项目区</w:t>
            </w:r>
            <w:r>
              <w:rPr>
                <w:rFonts w:hint="eastAsia"/>
                <w:color w:val="auto"/>
                <w:sz w:val="24"/>
                <w:szCs w:val="24"/>
                <w:highlight w:val="none"/>
                <w:lang w:val="en-US" w:eastAsia="zh-CN"/>
              </w:rPr>
              <w:t>太阳能光伏阵列东侧平缓区域内</w:t>
            </w:r>
            <w:r>
              <w:rPr>
                <w:rFonts w:hint="eastAsia"/>
                <w:color w:val="auto"/>
                <w:sz w:val="24"/>
                <w:szCs w:val="24"/>
                <w:highlight w:val="none"/>
                <w:lang w:eastAsia="zh-CN"/>
              </w:rPr>
              <w:t>，</w:t>
            </w:r>
            <w:r>
              <w:rPr>
                <w:rFonts w:hint="default"/>
                <w:color w:val="auto"/>
                <w:sz w:val="24"/>
                <w:szCs w:val="24"/>
                <w:highlight w:val="none"/>
              </w:rPr>
              <w:t>主要</w:t>
            </w:r>
            <w:r>
              <w:rPr>
                <w:rFonts w:hint="eastAsia"/>
                <w:color w:val="auto"/>
                <w:sz w:val="24"/>
                <w:szCs w:val="24"/>
                <w:highlight w:val="none"/>
              </w:rPr>
              <w:t>用作仓库、</w:t>
            </w:r>
            <w:r>
              <w:rPr>
                <w:rFonts w:hint="default"/>
                <w:color w:val="auto"/>
                <w:sz w:val="24"/>
                <w:szCs w:val="24"/>
                <w:highlight w:val="none"/>
              </w:rPr>
              <w:t>钢结构加工及堆放、太阳电池组件堆放</w:t>
            </w:r>
            <w:r>
              <w:rPr>
                <w:rFonts w:hint="eastAsia"/>
                <w:color w:val="auto"/>
                <w:sz w:val="24"/>
                <w:szCs w:val="24"/>
                <w:highlight w:val="none"/>
              </w:rPr>
              <w:t>，</w:t>
            </w:r>
            <w:r>
              <w:rPr>
                <w:rFonts w:hint="default"/>
                <w:color w:val="auto"/>
                <w:sz w:val="24"/>
                <w:szCs w:val="24"/>
                <w:highlight w:val="none"/>
              </w:rPr>
              <w:t>材料加工</w:t>
            </w:r>
            <w:r>
              <w:rPr>
                <w:rFonts w:hint="eastAsia"/>
                <w:color w:val="auto"/>
                <w:sz w:val="24"/>
                <w:szCs w:val="24"/>
                <w:highlight w:val="none"/>
              </w:rPr>
              <w:t>，</w:t>
            </w:r>
            <w:r>
              <w:rPr>
                <w:rFonts w:hint="eastAsia"/>
                <w:color w:val="auto"/>
                <w:sz w:val="24"/>
                <w:szCs w:val="24"/>
                <w:highlight w:val="none"/>
                <w:lang w:val="en-US" w:eastAsia="zh-CN"/>
              </w:rPr>
              <w:t>不设施工营地</w:t>
            </w:r>
            <w:r>
              <w:rPr>
                <w:rFonts w:hint="eastAsia"/>
                <w:color w:val="auto"/>
                <w:sz w:val="24"/>
                <w:szCs w:val="24"/>
                <w:highlight w:val="none"/>
              </w:rPr>
              <w:t>。</w:t>
            </w:r>
          </w:p>
          <w:p w14:paraId="527EB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w:t>
            </w:r>
            <w:r>
              <w:rPr>
                <w:rFonts w:hint="default" w:ascii="Times New Roman" w:hAnsi="Times New Roman" w:eastAsia="宋体" w:cs="Times New Roman"/>
                <w:color w:val="auto"/>
                <w:sz w:val="24"/>
                <w:szCs w:val="24"/>
                <w:highlight w:val="none"/>
                <w:lang w:eastAsia="zh-CN"/>
              </w:rPr>
              <w:t>生活物资及</w:t>
            </w:r>
            <w:r>
              <w:rPr>
                <w:rFonts w:hint="default" w:ascii="Times New Roman" w:hAnsi="Times New Roman" w:eastAsia="宋体" w:cs="Times New Roman"/>
                <w:color w:val="auto"/>
                <w:sz w:val="24"/>
                <w:szCs w:val="24"/>
                <w:highlight w:val="none"/>
              </w:rPr>
              <w:t>建筑材料</w:t>
            </w:r>
            <w:r>
              <w:rPr>
                <w:rFonts w:hint="default" w:ascii="Times New Roman" w:hAnsi="Times New Roman" w:eastAsia="宋体" w:cs="Times New Roman"/>
                <w:color w:val="auto"/>
                <w:sz w:val="24"/>
                <w:szCs w:val="24"/>
                <w:highlight w:val="none"/>
                <w:lang w:eastAsia="zh-CN"/>
              </w:rPr>
              <w:t>供应</w:t>
            </w:r>
          </w:p>
          <w:p w14:paraId="426DE6FF">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kern w:val="0"/>
                <w:sz w:val="24"/>
                <w:szCs w:val="24"/>
                <w:highlight w:val="none"/>
                <w:shd w:val="clear" w:color="auto" w:fill="auto"/>
                <w:lang w:eastAsia="zh-CN"/>
              </w:rPr>
            </w:pPr>
            <w:r>
              <w:rPr>
                <w:rFonts w:hint="eastAsia"/>
                <w:color w:val="auto"/>
                <w:kern w:val="0"/>
                <w:sz w:val="24"/>
                <w:szCs w:val="24"/>
                <w:highlight w:val="none"/>
                <w:lang w:eastAsia="zh-CN"/>
              </w:rPr>
              <w:t>项目建设</w:t>
            </w:r>
            <w:r>
              <w:rPr>
                <w:rFonts w:hint="eastAsia"/>
                <w:color w:val="auto"/>
                <w:kern w:val="0"/>
                <w:sz w:val="24"/>
                <w:szCs w:val="24"/>
                <w:highlight w:val="none"/>
              </w:rPr>
              <w:t>所需的主要的建筑材料为钢材、水泥、砂石等，其中砂石、水泥均可从当地具有供货资质的部门购买，</w:t>
            </w:r>
            <w:r>
              <w:rPr>
                <w:rFonts w:hint="eastAsia"/>
                <w:color w:val="auto"/>
                <w:kern w:val="0"/>
                <w:sz w:val="24"/>
                <w:szCs w:val="24"/>
                <w:highlight w:val="none"/>
                <w:lang w:eastAsia="zh-CN"/>
              </w:rPr>
              <w:t>本项目</w:t>
            </w:r>
            <w:r>
              <w:rPr>
                <w:rFonts w:hint="eastAsia"/>
                <w:color w:val="auto"/>
                <w:kern w:val="0"/>
                <w:sz w:val="24"/>
                <w:szCs w:val="24"/>
                <w:highlight w:val="none"/>
              </w:rPr>
              <w:t>不新设石料场及砂场，由卖方负责其相应的水土流失防治责任；钢材需从当地购置，由卖方送至工程施工场地。根据实际情况，</w:t>
            </w:r>
            <w:r>
              <w:rPr>
                <w:rFonts w:hint="eastAsia"/>
                <w:color w:val="auto"/>
                <w:kern w:val="0"/>
                <w:sz w:val="24"/>
                <w:szCs w:val="24"/>
                <w:highlight w:val="none"/>
                <w:lang w:eastAsia="zh-CN"/>
              </w:rPr>
              <w:t>项目建设</w:t>
            </w:r>
            <w:r>
              <w:rPr>
                <w:rFonts w:hint="eastAsia"/>
                <w:color w:val="auto"/>
                <w:kern w:val="0"/>
                <w:sz w:val="24"/>
                <w:szCs w:val="24"/>
                <w:highlight w:val="none"/>
              </w:rPr>
              <w:t>所需主要材料均能满足。</w:t>
            </w:r>
          </w:p>
          <w:p w14:paraId="1CF6D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（4）施工用水</w:t>
            </w:r>
          </w:p>
          <w:p w14:paraId="6B8B6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本工程施工用水由建筑施工用水、施工机械用水、生活用水等组成，本项目施工用水</w:t>
            </w:r>
            <w:r>
              <w:rPr>
                <w:rFonts w:hint="eastAsia" w:ascii="Times New Roman" w:hAnsi="Times New Roman" w:eastAsia="宋体" w:cs="Times New Roman"/>
                <w:color w:val="auto"/>
                <w:sz w:val="24"/>
                <w:szCs w:val="24"/>
                <w:highlight w:val="none"/>
                <w:lang w:val="en-US" w:eastAsia="zh-CN"/>
              </w:rPr>
              <w:t>计划在场址附近村落取自来水。生活用水可以采用桶装水或村庄取水。</w:t>
            </w:r>
          </w:p>
          <w:p w14:paraId="08D4D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通讯系统</w:t>
            </w:r>
          </w:p>
          <w:p w14:paraId="13CC9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施工场址无线通信信号能满足正常通信要求，因此，场内施工通讯系统拟采用无线通信系统。</w:t>
            </w:r>
          </w:p>
          <w:p w14:paraId="0A7A5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）施工用电</w:t>
            </w:r>
          </w:p>
          <w:p w14:paraId="169FD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电站施工用电从附近村庄10kV农网引接。场内设置容量为250kVA的低压站用变压器和单母线接线的0.4kV低压配电段，为站用负荷供电。施工时作为施工电源</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光伏电站建成后此电源作为备用电源。</w:t>
            </w:r>
          </w:p>
          <w:p w14:paraId="21BD593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3、</w:t>
            </w:r>
            <w:r>
              <w:rPr>
                <w:rFonts w:hint="default"/>
                <w:b/>
                <w:bCs/>
                <w:color w:val="auto"/>
                <w:kern w:val="0"/>
                <w:sz w:val="24"/>
                <w:highlight w:val="none"/>
                <w:shd w:val="clear" w:color="auto" w:fill="auto"/>
              </w:rPr>
              <w:t>施工工期及施工人数</w:t>
            </w:r>
          </w:p>
          <w:p w14:paraId="44A79F4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lang w:val="en-US" w:eastAsia="zh-CN"/>
              </w:rPr>
            </w:pPr>
            <w:r>
              <w:rPr>
                <w:rFonts w:hint="default"/>
                <w:color w:val="auto"/>
                <w:sz w:val="24"/>
                <w:highlight w:val="none"/>
                <w:shd w:val="clear" w:color="auto" w:fill="auto"/>
              </w:rPr>
              <w:t>施工工期：</w:t>
            </w:r>
            <w:r>
              <w:rPr>
                <w:rFonts w:hint="eastAsia"/>
                <w:color w:val="auto"/>
                <w:sz w:val="24"/>
                <w:highlight w:val="none"/>
                <w:shd w:val="clear" w:color="auto" w:fill="auto"/>
                <w:lang w:val="en-US" w:eastAsia="zh-CN"/>
              </w:rPr>
              <w:t>8</w:t>
            </w:r>
            <w:r>
              <w:rPr>
                <w:rFonts w:hint="default"/>
                <w:color w:val="auto"/>
                <w:sz w:val="24"/>
                <w:highlight w:val="none"/>
                <w:shd w:val="clear" w:color="auto" w:fill="auto"/>
              </w:rPr>
              <w:t>个月，计划在202</w:t>
            </w:r>
            <w:r>
              <w:rPr>
                <w:rFonts w:hint="default"/>
                <w:color w:val="auto"/>
                <w:sz w:val="24"/>
                <w:highlight w:val="none"/>
                <w:shd w:val="clear" w:color="auto" w:fill="auto"/>
                <w:lang w:val="en-US" w:eastAsia="zh-CN"/>
              </w:rPr>
              <w:t>4</w:t>
            </w:r>
            <w:r>
              <w:rPr>
                <w:rFonts w:hint="default"/>
                <w:color w:val="auto"/>
                <w:sz w:val="24"/>
                <w:highlight w:val="none"/>
                <w:shd w:val="clear" w:color="auto" w:fill="auto"/>
              </w:rPr>
              <w:t>年</w:t>
            </w:r>
            <w:r>
              <w:rPr>
                <w:rFonts w:hint="eastAsia"/>
                <w:color w:val="auto"/>
                <w:sz w:val="24"/>
                <w:highlight w:val="none"/>
                <w:shd w:val="clear" w:color="auto" w:fill="auto"/>
                <w:lang w:val="en-US" w:eastAsia="zh-CN"/>
              </w:rPr>
              <w:t>12</w:t>
            </w:r>
            <w:r>
              <w:rPr>
                <w:rFonts w:hint="default"/>
                <w:color w:val="auto"/>
                <w:sz w:val="24"/>
                <w:highlight w:val="none"/>
                <w:shd w:val="clear" w:color="auto" w:fill="auto"/>
              </w:rPr>
              <w:t>月开工，于202</w:t>
            </w:r>
            <w:r>
              <w:rPr>
                <w:rFonts w:hint="default"/>
                <w:color w:val="auto"/>
                <w:sz w:val="24"/>
                <w:highlight w:val="none"/>
                <w:shd w:val="clear" w:color="auto" w:fill="auto"/>
                <w:lang w:val="en-US" w:eastAsia="zh-CN"/>
              </w:rPr>
              <w:t>5</w:t>
            </w:r>
            <w:r>
              <w:rPr>
                <w:rFonts w:hint="default"/>
                <w:color w:val="auto"/>
                <w:sz w:val="24"/>
                <w:highlight w:val="none"/>
                <w:shd w:val="clear" w:color="auto" w:fill="auto"/>
              </w:rPr>
              <w:t>年</w:t>
            </w:r>
            <w:r>
              <w:rPr>
                <w:rFonts w:hint="eastAsia"/>
                <w:color w:val="auto"/>
                <w:sz w:val="24"/>
                <w:highlight w:val="none"/>
                <w:shd w:val="clear" w:color="auto" w:fill="auto"/>
                <w:lang w:val="en-US" w:eastAsia="zh-CN"/>
              </w:rPr>
              <w:t>8</w:t>
            </w:r>
            <w:r>
              <w:rPr>
                <w:rFonts w:hint="default"/>
                <w:color w:val="auto"/>
                <w:sz w:val="24"/>
                <w:highlight w:val="none"/>
                <w:shd w:val="clear" w:color="auto" w:fill="auto"/>
              </w:rPr>
              <w:t>月建成投产</w:t>
            </w:r>
            <w:r>
              <w:rPr>
                <w:rFonts w:hint="default"/>
                <w:color w:val="auto"/>
                <w:sz w:val="24"/>
                <w:highlight w:val="none"/>
                <w:shd w:val="clear" w:color="auto" w:fill="auto"/>
                <w:lang w:val="en-US" w:eastAsia="zh-CN"/>
              </w:rPr>
              <w:t>。</w:t>
            </w:r>
          </w:p>
          <w:p w14:paraId="447328D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Cs w:val="21"/>
                <w:highlight w:val="none"/>
                <w:shd w:val="clear" w:color="auto" w:fill="auto"/>
              </w:rPr>
            </w:pPr>
            <w:r>
              <w:rPr>
                <w:rFonts w:hint="default"/>
                <w:color w:val="auto"/>
                <w:sz w:val="24"/>
                <w:highlight w:val="none"/>
                <w:shd w:val="clear" w:color="auto" w:fill="auto"/>
              </w:rPr>
              <w:t>施工人数：</w:t>
            </w:r>
            <w:r>
              <w:rPr>
                <w:rFonts w:hint="eastAsia"/>
                <w:color w:val="auto"/>
                <w:sz w:val="24"/>
                <w:highlight w:val="none"/>
                <w:shd w:val="clear" w:color="auto" w:fill="auto"/>
              </w:rPr>
              <w:t>施工高峰期</w:t>
            </w:r>
            <w:r>
              <w:rPr>
                <w:rFonts w:hint="eastAsia"/>
                <w:color w:val="auto"/>
                <w:sz w:val="24"/>
                <w:highlight w:val="none"/>
                <w:shd w:val="clear" w:color="auto" w:fill="auto"/>
                <w:lang w:val="en-US" w:eastAsia="zh-CN"/>
              </w:rPr>
              <w:t>约250</w:t>
            </w:r>
            <w:r>
              <w:rPr>
                <w:rFonts w:hint="default"/>
                <w:color w:val="auto"/>
                <w:sz w:val="24"/>
                <w:highlight w:val="none"/>
                <w:shd w:val="clear" w:color="auto" w:fill="auto"/>
              </w:rPr>
              <w:t>人</w:t>
            </w:r>
            <w:r>
              <w:rPr>
                <w:rFonts w:hint="eastAsia"/>
                <w:color w:val="auto"/>
                <w:sz w:val="24"/>
                <w:highlight w:val="none"/>
                <w:shd w:val="clear" w:color="auto" w:fill="auto"/>
                <w:lang w:eastAsia="zh-CN"/>
              </w:rPr>
              <w:t>，施工人员</w:t>
            </w:r>
            <w:r>
              <w:rPr>
                <w:rFonts w:hint="eastAsia"/>
                <w:color w:val="auto"/>
                <w:sz w:val="24"/>
                <w:highlight w:val="none"/>
                <w:shd w:val="clear" w:color="auto" w:fill="auto"/>
                <w:lang w:val="en-US" w:eastAsia="zh-CN"/>
              </w:rPr>
              <w:t>均不在项目区</w:t>
            </w:r>
            <w:r>
              <w:rPr>
                <w:rFonts w:hint="eastAsia"/>
                <w:color w:val="auto"/>
                <w:sz w:val="24"/>
                <w:highlight w:val="none"/>
                <w:shd w:val="clear" w:color="auto" w:fill="auto"/>
                <w:lang w:eastAsia="zh-CN"/>
              </w:rPr>
              <w:t>食宿。</w:t>
            </w:r>
          </w:p>
        </w:tc>
      </w:tr>
      <w:tr w14:paraId="39C8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448" w:type="pct"/>
            <w:vAlign w:val="center"/>
          </w:tcPr>
          <w:p w14:paraId="688D96E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color w:val="auto"/>
                <w:kern w:val="0"/>
                <w:sz w:val="24"/>
                <w:highlight w:val="none"/>
                <w:shd w:val="clear" w:color="auto" w:fill="auto"/>
              </w:rPr>
            </w:pPr>
            <w:r>
              <w:rPr>
                <w:rFonts w:hint="default"/>
                <w:color w:val="auto"/>
                <w:kern w:val="0"/>
                <w:sz w:val="24"/>
                <w:highlight w:val="none"/>
                <w:shd w:val="clear" w:color="auto" w:fill="auto"/>
              </w:rPr>
              <w:t>其他</w:t>
            </w:r>
          </w:p>
        </w:tc>
        <w:tc>
          <w:tcPr>
            <w:tcW w:w="4551" w:type="pct"/>
            <w:vAlign w:val="center"/>
          </w:tcPr>
          <w:p w14:paraId="4E048664">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项目选址为唯一方案，无比选方案。</w:t>
            </w:r>
          </w:p>
        </w:tc>
      </w:tr>
    </w:tbl>
    <w:p w14:paraId="1E329CA7">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b/>
          <w:bCs/>
          <w:color w:val="auto"/>
          <w:highlight w:val="none"/>
          <w:shd w:val="clear" w:color="auto" w:fill="auto"/>
        </w:rPr>
        <w:br w:type="page"/>
      </w:r>
      <w:bookmarkStart w:id="17" w:name="_Toc31325"/>
      <w:r>
        <w:rPr>
          <w:b/>
          <w:bCs/>
          <w:snapToGrid w:val="0"/>
          <w:color w:val="auto"/>
          <w:sz w:val="30"/>
          <w:szCs w:val="30"/>
          <w:highlight w:val="none"/>
          <w:shd w:val="clear" w:color="auto" w:fill="auto"/>
        </w:rPr>
        <w:t>三、生态环境现状、保护目标及评价标准</w:t>
      </w:r>
      <w:bookmarkEnd w:id="17"/>
    </w:p>
    <w:tbl>
      <w:tblPr>
        <w:tblStyle w:val="4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3"/>
      </w:tblGrid>
      <w:tr w14:paraId="5288E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Align w:val="center"/>
          </w:tcPr>
          <w:p w14:paraId="791D408E">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生态环境现状</w:t>
            </w:r>
          </w:p>
        </w:tc>
        <w:tc>
          <w:tcPr>
            <w:tcW w:w="4755" w:type="pct"/>
            <w:vAlign w:val="center"/>
          </w:tcPr>
          <w:p w14:paraId="2D280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b/>
                <w:color w:val="auto"/>
                <w:kern w:val="0"/>
                <w:sz w:val="24"/>
                <w:highlight w:val="none"/>
              </w:rPr>
            </w:pPr>
            <w:r>
              <w:rPr>
                <w:rFonts w:hint="eastAsia"/>
                <w:b/>
                <w:color w:val="auto"/>
                <w:kern w:val="0"/>
                <w:sz w:val="24"/>
                <w:highlight w:val="none"/>
                <w:lang w:val="en-US" w:eastAsia="zh-CN"/>
              </w:rPr>
              <w:t>1</w:t>
            </w:r>
            <w:r>
              <w:rPr>
                <w:rFonts w:hint="eastAsia" w:ascii="Times New Roman" w:hAnsi="Times New Roman" w:eastAsia="宋体"/>
                <w:b/>
                <w:color w:val="auto"/>
                <w:kern w:val="0"/>
                <w:sz w:val="24"/>
                <w:highlight w:val="none"/>
                <w:lang w:val="en-US" w:eastAsia="zh-CN"/>
              </w:rPr>
              <w:t>、</w:t>
            </w:r>
            <w:r>
              <w:rPr>
                <w:rFonts w:hint="default" w:ascii="Times New Roman" w:hAnsi="Times New Roman" w:eastAsia="宋体"/>
                <w:b/>
                <w:color w:val="auto"/>
                <w:kern w:val="0"/>
                <w:sz w:val="24"/>
                <w:highlight w:val="none"/>
              </w:rPr>
              <w:t>主体功能区</w:t>
            </w:r>
            <w:r>
              <w:rPr>
                <w:rFonts w:hint="eastAsia" w:ascii="Times New Roman" w:hAnsi="Times New Roman" w:eastAsia="宋体"/>
                <w:b/>
                <w:color w:val="auto"/>
                <w:kern w:val="0"/>
                <w:sz w:val="24"/>
                <w:highlight w:val="none"/>
              </w:rPr>
              <w:t>规划</w:t>
            </w:r>
          </w:p>
          <w:p w14:paraId="4E79C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lang w:eastAsia="zh-CN"/>
              </w:rPr>
            </w:pPr>
            <w:r>
              <w:rPr>
                <w:rFonts w:hint="eastAsia" w:ascii="Times New Roman" w:hAnsi="Times New Roman" w:eastAsia="宋体"/>
                <w:color w:val="auto"/>
                <w:sz w:val="24"/>
                <w:szCs w:val="22"/>
                <w:highlight w:val="none"/>
              </w:rPr>
              <w:t>项目</w:t>
            </w:r>
            <w:r>
              <w:rPr>
                <w:rFonts w:hint="eastAsia" w:ascii="Times New Roman" w:hAnsi="Times New Roman" w:eastAsia="宋体"/>
                <w:color w:val="auto"/>
                <w:sz w:val="24"/>
                <w:highlight w:val="none"/>
              </w:rPr>
              <w:t>位于</w:t>
            </w:r>
            <w:r>
              <w:rPr>
                <w:rFonts w:hint="eastAsia" w:ascii="宋体" w:hAnsi="宋体" w:cs="宋体"/>
                <w:color w:val="auto"/>
                <w:kern w:val="0"/>
                <w:sz w:val="24"/>
                <w:szCs w:val="24"/>
                <w:highlight w:val="none"/>
                <w:lang w:val="en-US" w:eastAsia="zh-CN" w:bidi="ar"/>
              </w:rPr>
              <w:t>云南省昆明市寻甸回族彝族自治县</w:t>
            </w:r>
            <w:r>
              <w:rPr>
                <w:rFonts w:hint="eastAsia"/>
                <w:color w:val="auto"/>
                <w:sz w:val="24"/>
                <w:szCs w:val="24"/>
                <w:highlight w:val="none"/>
                <w:shd w:val="clear" w:color="auto" w:fill="auto"/>
                <w:lang w:val="en-US" w:eastAsia="zh-CN"/>
              </w:rPr>
              <w:t>河口镇境内</w:t>
            </w:r>
            <w:r>
              <w:rPr>
                <w:rFonts w:hint="default" w:ascii="Times New Roman" w:hAnsi="Times New Roman" w:eastAsia="宋体"/>
                <w:color w:val="auto"/>
                <w:kern w:val="0"/>
                <w:sz w:val="24"/>
                <w:highlight w:val="none"/>
              </w:rPr>
              <w:t>，根据《云南省主体功能区规划》，</w:t>
            </w:r>
            <w:r>
              <w:rPr>
                <w:rFonts w:hint="eastAsia" w:ascii="Times New Roman" w:hAnsi="Times New Roman" w:eastAsia="宋体"/>
                <w:color w:val="auto"/>
                <w:kern w:val="0"/>
                <w:sz w:val="24"/>
                <w:highlight w:val="none"/>
                <w:lang w:eastAsia="zh-CN"/>
              </w:rPr>
              <w:t>项目所在区域</w:t>
            </w:r>
            <w:r>
              <w:rPr>
                <w:rFonts w:hint="default" w:ascii="Times New Roman" w:hAnsi="Times New Roman" w:eastAsia="宋体"/>
                <w:color w:val="auto"/>
                <w:kern w:val="0"/>
                <w:sz w:val="24"/>
                <w:highlight w:val="none"/>
              </w:rPr>
              <w:t>属于</w:t>
            </w:r>
            <w:r>
              <w:rPr>
                <w:rFonts w:hint="eastAsia" w:ascii="Times New Roman" w:hAnsi="Times New Roman" w:eastAsia="宋体"/>
                <w:color w:val="auto"/>
                <w:kern w:val="0"/>
                <w:sz w:val="24"/>
                <w:highlight w:val="none"/>
                <w:lang w:eastAsia="zh-CN"/>
              </w:rPr>
              <w:t>国家重点</w:t>
            </w:r>
            <w:r>
              <w:rPr>
                <w:rFonts w:hint="default" w:ascii="Times New Roman" w:hAnsi="Times New Roman" w:eastAsia="宋体"/>
                <w:color w:val="auto"/>
                <w:kern w:val="0"/>
                <w:sz w:val="24"/>
                <w:highlight w:val="none"/>
              </w:rPr>
              <w:t>开发区域</w:t>
            </w:r>
            <w:r>
              <w:rPr>
                <w:rFonts w:hint="eastAsia" w:ascii="Times New Roman" w:hAnsi="Times New Roman" w:eastAsia="宋体"/>
                <w:color w:val="auto"/>
                <w:kern w:val="0"/>
                <w:sz w:val="24"/>
                <w:highlight w:val="none"/>
                <w:lang w:eastAsia="zh-CN"/>
              </w:rPr>
              <w:t>。</w:t>
            </w:r>
          </w:p>
          <w:p w14:paraId="7C82F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功能定位：</w:t>
            </w:r>
            <w:r>
              <w:rPr>
                <w:rFonts w:hint="eastAsia" w:ascii="Times New Roman" w:hAnsi="Times New Roman" w:eastAsia="宋体"/>
                <w:color w:val="auto"/>
                <w:kern w:val="0"/>
                <w:sz w:val="24"/>
                <w:highlight w:val="none"/>
              </w:rPr>
              <w:t>我国面向西南开放重要桥头堡建设的核心区，连接东南亚、南亚国家的陆路交通枢纽，面向东南亚、南亚对外开放的重要门户</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全国重要的烟草、旅游、文化、能源和商贸物流基地，以化工、有色冶炼加工、生物为重点的区域性资源深加工基地</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承接产业转移基地和外向型特色优势产业基地</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我国城市化发展格局中特色鲜明的高原生态宜居城市群</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全省跨越发展的引擎，我国西南地区重要的经济增长极。</w:t>
            </w:r>
          </w:p>
          <w:p w14:paraId="3163AB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rPr>
            </w:pPr>
            <w:r>
              <w:rPr>
                <w:rFonts w:hint="eastAsia" w:ascii="Times New Roman" w:hAnsi="Times New Roman" w:eastAsia="宋体"/>
                <w:color w:val="auto"/>
                <w:kern w:val="0"/>
                <w:sz w:val="24"/>
                <w:highlight w:val="none"/>
              </w:rPr>
              <w:t>发展方向</w:t>
            </w:r>
            <w:r>
              <w:rPr>
                <w:rFonts w:hint="default" w:ascii="Times New Roman" w:hAnsi="Times New Roman" w:eastAsia="宋体"/>
                <w:color w:val="auto"/>
                <w:kern w:val="0"/>
                <w:sz w:val="24"/>
                <w:highlight w:val="none"/>
              </w:rPr>
              <w:t>：</w:t>
            </w:r>
          </w:p>
          <w:p w14:paraId="2FADA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rPr>
            </w:pP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1</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构建“一区、两带、四城、多点”一体化的滇中城市经济圈空间格局。加快滇中产业聚集区规划建设，促进形成昆</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明</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曲</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靖</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绿色经济示范带和昆</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明</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玉</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溪</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旅游文化产业经济带，重点建设昆明、曲靖、玉溪、楚雄4个中心城市，将以县城为重点的城市和小城镇打造为经济圈城市化、工业化发展的重要支撑。以主要快速交通为纽带，打造1小时经济圈。</w:t>
            </w:r>
          </w:p>
          <w:p w14:paraId="62EDB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rPr>
            </w:pP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2</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强化昆明的科技创新、商贸流通、信息、旅游、文化和综合服务功能，建设区域性国际交通枢纽、商贸物流中心、历史文化名城、山水园林城市。</w:t>
            </w:r>
          </w:p>
          <w:p w14:paraId="68951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lang w:eastAsia="zh-CN"/>
              </w:rPr>
            </w:pP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3</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曲靖、玉溪和楚雄等城市应依托资源特点和比较优势，加强产业分工协作和对接，实现优势互补、错位发展，形成民族特色和产业特色鲜明的城市</w:t>
            </w:r>
            <w:r>
              <w:rPr>
                <w:rFonts w:hint="eastAsia" w:ascii="Times New Roman" w:hAnsi="Times New Roman" w:eastAsia="宋体"/>
                <w:color w:val="auto"/>
                <w:kern w:val="0"/>
                <w:sz w:val="24"/>
                <w:highlight w:val="none"/>
                <w:lang w:eastAsia="zh-CN"/>
              </w:rPr>
              <w:t>。</w:t>
            </w:r>
          </w:p>
          <w:p w14:paraId="06905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rPr>
            </w:pP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4</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完善国际运输大通道，强化面向东南亚、南亚陆路枢纽功能。加强区域内城际快速轨道交通、通信等基础设施建设，提升区域一体化水平。</w:t>
            </w:r>
          </w:p>
          <w:p w14:paraId="34868D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kern w:val="0"/>
                <w:sz w:val="24"/>
                <w:highlight w:val="none"/>
              </w:rPr>
            </w:pP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5</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建设高原特色农产品生产基地，发展农产品加工业，稳步提高农产品质量和效益，推进与周边国家的农业合作，建设外销精细蔬菜生产基地、温带鲜切花生产基地和高效林业基地。</w:t>
            </w:r>
          </w:p>
          <w:p w14:paraId="7FF54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olor w:val="auto"/>
                <w:kern w:val="0"/>
                <w:sz w:val="24"/>
                <w:highlight w:val="none"/>
              </w:rPr>
            </w:pP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lang w:val="en-US" w:eastAsia="zh-CN"/>
              </w:rPr>
              <w:t>6</w:t>
            </w:r>
            <w:r>
              <w:rPr>
                <w:rFonts w:hint="eastAsia" w:ascii="Times New Roman" w:hAnsi="Times New Roman" w:eastAsia="宋体"/>
                <w:color w:val="auto"/>
                <w:kern w:val="0"/>
                <w:sz w:val="24"/>
                <w:highlight w:val="none"/>
                <w:lang w:eastAsia="zh-CN"/>
              </w:rPr>
              <w:t>）</w:t>
            </w:r>
            <w:r>
              <w:rPr>
                <w:rFonts w:hint="eastAsia" w:ascii="Times New Roman" w:hAnsi="Times New Roman" w:eastAsia="宋体"/>
                <w:color w:val="auto"/>
                <w:kern w:val="0"/>
                <w:sz w:val="24"/>
                <w:highlight w:val="none"/>
              </w:rPr>
              <w:t>加强以滇池、抚仙湖为重点的高原湖泊治理和牛栏江上游水源保护，加大水土流失和石漠化防治力度，构建以高原湖泊为主体，林地、水面相连，带状环绕、块状相间的高原生态格局。进一步加强跨界水污染和区域性大气复合污染整治，废弃物处置、金属污染治理，森林火灾、野生动植物疫源疫病、有害生物防范等为重点的区域生态安全联防联控力度</w:t>
            </w:r>
            <w:r>
              <w:rPr>
                <w:rFonts w:hint="default" w:ascii="Times New Roman" w:hAnsi="Times New Roman" w:eastAsia="宋体"/>
                <w:color w:val="auto"/>
                <w:kern w:val="0"/>
                <w:sz w:val="24"/>
                <w:highlight w:val="none"/>
              </w:rPr>
              <w:t>。</w:t>
            </w:r>
          </w:p>
          <w:p w14:paraId="5D466678">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auto"/>
                <w:kern w:val="0"/>
                <w:sz w:val="24"/>
                <w:highlight w:val="none"/>
                <w:shd w:val="clear" w:color="auto" w:fill="auto"/>
              </w:rPr>
            </w:pPr>
            <w:r>
              <w:rPr>
                <w:rFonts w:hint="eastAsia"/>
                <w:b/>
                <w:bCs/>
                <w:color w:val="auto"/>
                <w:kern w:val="0"/>
                <w:sz w:val="24"/>
                <w:highlight w:val="none"/>
                <w:shd w:val="clear" w:color="auto" w:fill="auto"/>
                <w:lang w:val="en-US" w:eastAsia="zh-CN"/>
              </w:rPr>
              <w:t>2</w:t>
            </w:r>
            <w:r>
              <w:rPr>
                <w:rFonts w:hint="eastAsia"/>
                <w:b/>
                <w:bCs/>
                <w:color w:val="auto"/>
                <w:kern w:val="0"/>
                <w:sz w:val="24"/>
                <w:highlight w:val="none"/>
                <w:shd w:val="clear" w:color="auto" w:fill="auto"/>
              </w:rPr>
              <w:t>、与《云南省生态功能区划》的符合性</w:t>
            </w:r>
          </w:p>
          <w:p w14:paraId="0B45C5C1">
            <w:pPr>
              <w:keepNext w:val="0"/>
              <w:keepLines/>
              <w:pageBreakBefore w:val="0"/>
              <w:widowControl w:val="0"/>
              <w:suppressLineNumbers w:val="0"/>
              <w:shd w:val="clear"/>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shd w:val="clear" w:color="auto" w:fill="auto"/>
              </w:rPr>
            </w:pPr>
            <w:r>
              <w:rPr>
                <w:rFonts w:hint="eastAsia"/>
                <w:color w:val="auto"/>
                <w:kern w:val="0"/>
                <w:sz w:val="24"/>
                <w:highlight w:val="none"/>
                <w:shd w:val="clear" w:color="auto" w:fill="auto"/>
              </w:rPr>
              <w:t>《云南省生态功能区划》由原云南省环境保护厅于</w:t>
            </w:r>
            <w:r>
              <w:rPr>
                <w:rFonts w:hint="default"/>
                <w:color w:val="auto"/>
                <w:kern w:val="0"/>
                <w:sz w:val="24"/>
                <w:highlight w:val="none"/>
                <w:shd w:val="clear" w:color="auto" w:fill="auto"/>
              </w:rPr>
              <w:t>2009</w:t>
            </w:r>
            <w:r>
              <w:rPr>
                <w:rFonts w:hint="eastAsia"/>
                <w:color w:val="auto"/>
                <w:kern w:val="0"/>
                <w:sz w:val="24"/>
                <w:highlight w:val="none"/>
                <w:shd w:val="clear" w:color="auto" w:fill="auto"/>
              </w:rPr>
              <w:t>年</w:t>
            </w:r>
            <w:r>
              <w:rPr>
                <w:rFonts w:hint="default"/>
                <w:color w:val="auto"/>
                <w:kern w:val="0"/>
                <w:sz w:val="24"/>
                <w:highlight w:val="none"/>
                <w:shd w:val="clear" w:color="auto" w:fill="auto"/>
              </w:rPr>
              <w:t>9</w:t>
            </w:r>
            <w:r>
              <w:rPr>
                <w:rFonts w:hint="eastAsia"/>
                <w:color w:val="auto"/>
                <w:kern w:val="0"/>
                <w:sz w:val="24"/>
                <w:highlight w:val="none"/>
                <w:shd w:val="clear" w:color="auto" w:fill="auto"/>
              </w:rPr>
              <w:t>月</w:t>
            </w:r>
            <w:r>
              <w:rPr>
                <w:rFonts w:hint="default"/>
                <w:color w:val="auto"/>
                <w:kern w:val="0"/>
                <w:sz w:val="24"/>
                <w:highlight w:val="none"/>
                <w:shd w:val="clear" w:color="auto" w:fill="auto"/>
              </w:rPr>
              <w:t>7</w:t>
            </w:r>
            <w:r>
              <w:rPr>
                <w:rFonts w:hint="eastAsia"/>
                <w:color w:val="auto"/>
                <w:kern w:val="0"/>
                <w:sz w:val="24"/>
                <w:highlight w:val="none"/>
                <w:shd w:val="clear" w:color="auto" w:fill="auto"/>
              </w:rPr>
              <w:t>日发布实施。根据《云南省生态功能区划》云南省生态功能区共分一级区（生态区）</w:t>
            </w:r>
            <w:r>
              <w:rPr>
                <w:rFonts w:hint="default"/>
                <w:color w:val="auto"/>
                <w:kern w:val="0"/>
                <w:sz w:val="24"/>
                <w:highlight w:val="none"/>
                <w:shd w:val="clear" w:color="auto" w:fill="auto"/>
              </w:rPr>
              <w:t>5</w:t>
            </w:r>
            <w:r>
              <w:rPr>
                <w:rFonts w:hint="eastAsia"/>
                <w:color w:val="auto"/>
                <w:kern w:val="0"/>
                <w:sz w:val="24"/>
                <w:highlight w:val="none"/>
                <w:shd w:val="clear" w:color="auto" w:fill="auto"/>
              </w:rPr>
              <w:t>个，二级区（生态亚区）</w:t>
            </w:r>
            <w:r>
              <w:rPr>
                <w:rFonts w:hint="default"/>
                <w:color w:val="auto"/>
                <w:kern w:val="0"/>
                <w:sz w:val="24"/>
                <w:highlight w:val="none"/>
                <w:shd w:val="clear" w:color="auto" w:fill="auto"/>
              </w:rPr>
              <w:t>19</w:t>
            </w:r>
            <w:r>
              <w:rPr>
                <w:rFonts w:hint="eastAsia"/>
                <w:color w:val="auto"/>
                <w:kern w:val="0"/>
                <w:sz w:val="24"/>
                <w:highlight w:val="none"/>
                <w:shd w:val="clear" w:color="auto" w:fill="auto"/>
              </w:rPr>
              <w:t>个，三级区（生态功能区）</w:t>
            </w:r>
            <w:r>
              <w:rPr>
                <w:rFonts w:hint="default"/>
                <w:color w:val="auto"/>
                <w:kern w:val="0"/>
                <w:sz w:val="24"/>
                <w:highlight w:val="none"/>
                <w:shd w:val="clear" w:color="auto" w:fill="auto"/>
              </w:rPr>
              <w:t>65</w:t>
            </w:r>
            <w:r>
              <w:rPr>
                <w:rFonts w:hint="eastAsia"/>
                <w:color w:val="auto"/>
                <w:kern w:val="0"/>
                <w:sz w:val="24"/>
                <w:highlight w:val="none"/>
                <w:shd w:val="clear" w:color="auto" w:fill="auto"/>
              </w:rPr>
              <w:t>个。项目在云南省生态功能区划情况，见表</w:t>
            </w:r>
            <w:r>
              <w:rPr>
                <w:rFonts w:hint="eastAsia"/>
                <w:color w:val="auto"/>
                <w:kern w:val="0"/>
                <w:sz w:val="24"/>
                <w:highlight w:val="none"/>
                <w:shd w:val="clear" w:color="auto" w:fill="auto"/>
                <w:lang w:val="en-US" w:eastAsia="zh-CN"/>
              </w:rPr>
              <w:t>3</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w:t>
            </w:r>
            <w:r>
              <w:rPr>
                <w:rFonts w:hint="eastAsia"/>
                <w:color w:val="auto"/>
                <w:kern w:val="0"/>
                <w:sz w:val="24"/>
                <w:highlight w:val="none"/>
                <w:shd w:val="clear" w:color="auto" w:fill="auto"/>
              </w:rPr>
              <w:t>。</w:t>
            </w:r>
          </w:p>
          <w:p w14:paraId="473D26A8">
            <w:pPr>
              <w:pStyle w:val="38"/>
              <w:keepNext w:val="0"/>
              <w:keepLines/>
              <w:pageBreakBefore w:val="0"/>
              <w:widowControl w:val="0"/>
              <w:suppressLineNumbers w:val="0"/>
              <w:shd w:val="clear"/>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b/>
                <w:color w:val="auto"/>
                <w:kern w:val="2"/>
                <w:sz w:val="21"/>
                <w:szCs w:val="21"/>
                <w:highlight w:val="none"/>
                <w:shd w:val="clear" w:color="auto" w:fill="auto"/>
              </w:rPr>
            </w:pPr>
            <w:r>
              <w:rPr>
                <w:rFonts w:hint="eastAsia" w:ascii="Times New Roman" w:hAnsi="Times New Roman"/>
                <w:b/>
                <w:color w:val="auto"/>
                <w:kern w:val="2"/>
                <w:sz w:val="21"/>
                <w:szCs w:val="21"/>
                <w:highlight w:val="none"/>
                <w:shd w:val="clear" w:color="auto" w:fill="auto"/>
              </w:rPr>
              <w:t>表</w:t>
            </w:r>
            <w:r>
              <w:rPr>
                <w:rFonts w:hint="eastAsia" w:ascii="Times New Roman" w:hAnsi="Times New Roman"/>
                <w:b/>
                <w:color w:val="auto"/>
                <w:kern w:val="2"/>
                <w:sz w:val="21"/>
                <w:szCs w:val="21"/>
                <w:highlight w:val="none"/>
                <w:shd w:val="clear" w:color="auto" w:fill="auto"/>
                <w:lang w:val="en-US" w:eastAsia="zh-CN"/>
              </w:rPr>
              <w:t>3</w:t>
            </w:r>
            <w:r>
              <w:rPr>
                <w:rFonts w:hint="eastAsia" w:ascii="Times New Roman" w:hAnsi="Times New Roman"/>
                <w:b/>
                <w:color w:val="auto"/>
                <w:kern w:val="2"/>
                <w:sz w:val="21"/>
                <w:szCs w:val="21"/>
                <w:highlight w:val="none"/>
                <w:shd w:val="clear" w:color="auto" w:fill="auto"/>
              </w:rPr>
              <w:t>-</w:t>
            </w:r>
            <w:r>
              <w:rPr>
                <w:rFonts w:hint="eastAsia" w:ascii="Times New Roman" w:hAnsi="Times New Roman"/>
                <w:b/>
                <w:color w:val="auto"/>
                <w:kern w:val="2"/>
                <w:sz w:val="21"/>
                <w:szCs w:val="21"/>
                <w:highlight w:val="none"/>
                <w:shd w:val="clear" w:color="auto" w:fill="auto"/>
                <w:lang w:val="en-US" w:eastAsia="zh-CN"/>
              </w:rPr>
              <w:t>1</w:t>
            </w:r>
            <w:r>
              <w:rPr>
                <w:rFonts w:hint="eastAsia" w:ascii="Times New Roman" w:hAnsi="Times New Roman"/>
                <w:b/>
                <w:color w:val="auto"/>
                <w:kern w:val="2"/>
                <w:sz w:val="21"/>
                <w:szCs w:val="21"/>
                <w:highlight w:val="none"/>
                <w:shd w:val="clear" w:color="auto" w:fill="auto"/>
              </w:rPr>
              <w:t xml:space="preserve">  项目所在</w:t>
            </w:r>
            <w:r>
              <w:rPr>
                <w:rFonts w:hint="eastAsia" w:ascii="Times New Roman" w:hAnsi="Times New Roman"/>
                <w:b/>
                <w:color w:val="auto"/>
                <w:kern w:val="2"/>
                <w:sz w:val="21"/>
                <w:szCs w:val="21"/>
                <w:highlight w:val="none"/>
                <w:shd w:val="clear" w:color="auto" w:fill="auto"/>
                <w:lang w:eastAsia="zh-CN"/>
              </w:rPr>
              <w:t>区域</w:t>
            </w:r>
            <w:r>
              <w:rPr>
                <w:rFonts w:hint="eastAsia" w:ascii="Times New Roman" w:hAnsi="Times New Roman"/>
                <w:b/>
                <w:color w:val="auto"/>
                <w:kern w:val="2"/>
                <w:sz w:val="21"/>
                <w:szCs w:val="21"/>
                <w:highlight w:val="none"/>
                <w:shd w:val="clear" w:color="auto" w:fill="auto"/>
              </w:rPr>
              <w:t>生态功能区划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autofit"/>
              <w:tblCellMar>
                <w:top w:w="0" w:type="dxa"/>
                <w:left w:w="108" w:type="dxa"/>
                <w:bottom w:w="0" w:type="dxa"/>
                <w:right w:w="108" w:type="dxa"/>
              </w:tblCellMar>
            </w:tblPr>
            <w:tblGrid>
              <w:gridCol w:w="838"/>
              <w:gridCol w:w="943"/>
              <w:gridCol w:w="803"/>
              <w:gridCol w:w="899"/>
              <w:gridCol w:w="1126"/>
              <w:gridCol w:w="532"/>
              <w:gridCol w:w="620"/>
              <w:gridCol w:w="744"/>
              <w:gridCol w:w="1332"/>
            </w:tblGrid>
            <w:tr w14:paraId="6BFB429A">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97" w:hRule="atLeast"/>
                <w:jc w:val="center"/>
              </w:trPr>
              <w:tc>
                <w:tcPr>
                  <w:tcW w:w="1352" w:type="pct"/>
                  <w:gridSpan w:val="3"/>
                  <w:vAlign w:val="center"/>
                </w:tcPr>
                <w:p w14:paraId="67BC399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生态功能分区单元</w:t>
                  </w:r>
                </w:p>
              </w:tc>
              <w:tc>
                <w:tcPr>
                  <w:tcW w:w="502" w:type="pct"/>
                  <w:vMerge w:val="restart"/>
                  <w:vAlign w:val="center"/>
                </w:tcPr>
                <w:p w14:paraId="6F20CA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所在区域面积</w:t>
                  </w:r>
                </w:p>
              </w:tc>
              <w:tc>
                <w:tcPr>
                  <w:tcW w:w="795" w:type="pct"/>
                  <w:vMerge w:val="restart"/>
                  <w:vAlign w:val="center"/>
                </w:tcPr>
                <w:p w14:paraId="2F23CB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主要生态特征</w:t>
                  </w:r>
                </w:p>
              </w:tc>
              <w:tc>
                <w:tcPr>
                  <w:tcW w:w="441" w:type="pct"/>
                  <w:vMerge w:val="restart"/>
                  <w:vAlign w:val="center"/>
                </w:tcPr>
                <w:p w14:paraId="5EBF8B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主要生态环境问题</w:t>
                  </w:r>
                </w:p>
              </w:tc>
              <w:tc>
                <w:tcPr>
                  <w:tcW w:w="458" w:type="pct"/>
                  <w:vMerge w:val="restart"/>
                  <w:vAlign w:val="center"/>
                </w:tcPr>
                <w:p w14:paraId="330B9C5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生态环境敏感性</w:t>
                  </w:r>
                </w:p>
              </w:tc>
              <w:tc>
                <w:tcPr>
                  <w:tcW w:w="537" w:type="pct"/>
                  <w:vMerge w:val="restart"/>
                  <w:vAlign w:val="center"/>
                </w:tcPr>
                <w:p w14:paraId="1A7402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主要生态系统服务功能</w:t>
                  </w:r>
                </w:p>
              </w:tc>
              <w:tc>
                <w:tcPr>
                  <w:tcW w:w="912" w:type="pct"/>
                  <w:vMerge w:val="restart"/>
                  <w:vAlign w:val="center"/>
                </w:tcPr>
                <w:p w14:paraId="5FBD5BE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保护措施与发展方向</w:t>
                  </w:r>
                </w:p>
              </w:tc>
            </w:tr>
            <w:tr w14:paraId="2735F279">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4" w:hRule="atLeast"/>
                <w:jc w:val="center"/>
              </w:trPr>
              <w:tc>
                <w:tcPr>
                  <w:tcW w:w="393" w:type="pct"/>
                  <w:vAlign w:val="center"/>
                </w:tcPr>
                <w:p w14:paraId="4B2488F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生态区</w:t>
                  </w:r>
                </w:p>
              </w:tc>
              <w:tc>
                <w:tcPr>
                  <w:tcW w:w="439" w:type="pct"/>
                  <w:vAlign w:val="center"/>
                </w:tcPr>
                <w:p w14:paraId="4839215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生态亚区</w:t>
                  </w:r>
                </w:p>
              </w:tc>
              <w:tc>
                <w:tcPr>
                  <w:tcW w:w="519" w:type="pct"/>
                  <w:vAlign w:val="center"/>
                </w:tcPr>
                <w:p w14:paraId="0A4E35E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生态功能区</w:t>
                  </w:r>
                </w:p>
              </w:tc>
              <w:tc>
                <w:tcPr>
                  <w:tcW w:w="502" w:type="pct"/>
                  <w:vMerge w:val="continue"/>
                  <w:vAlign w:val="center"/>
                </w:tcPr>
                <w:p w14:paraId="367532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5" w:type="pct"/>
                  <w:vMerge w:val="continue"/>
                  <w:vAlign w:val="center"/>
                </w:tcPr>
                <w:p w14:paraId="354E18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41" w:type="pct"/>
                  <w:vMerge w:val="continue"/>
                  <w:vAlign w:val="center"/>
                </w:tcPr>
                <w:p w14:paraId="401B8C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58" w:type="pct"/>
                  <w:vMerge w:val="continue"/>
                  <w:vAlign w:val="center"/>
                </w:tcPr>
                <w:p w14:paraId="1170E6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37" w:type="pct"/>
                  <w:vMerge w:val="continue"/>
                  <w:vAlign w:val="center"/>
                </w:tcPr>
                <w:p w14:paraId="568169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12" w:type="pct"/>
                  <w:vMerge w:val="continue"/>
                  <w:vAlign w:val="center"/>
                </w:tcPr>
                <w:p w14:paraId="051266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FA6483B">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260" w:hRule="atLeast"/>
                <w:jc w:val="center"/>
              </w:trPr>
              <w:tc>
                <w:tcPr>
                  <w:tcW w:w="393" w:type="pct"/>
                  <w:vAlign w:val="center"/>
                </w:tcPr>
                <w:p w14:paraId="344C63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高原亚热带北部常绿阔叶林生态区（Ⅲ）</w:t>
                  </w:r>
                </w:p>
              </w:tc>
              <w:tc>
                <w:tcPr>
                  <w:tcW w:w="439" w:type="pct"/>
                  <w:vAlign w:val="center"/>
                </w:tcPr>
                <w:p w14:paraId="4EE4B6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滇中高原谷盆半湿润常绿阔叶林、暖性针叶林生态亚区（Ⅲ</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tc>
              <w:tc>
                <w:tcPr>
                  <w:tcW w:w="519" w:type="pct"/>
                  <w:vAlign w:val="center"/>
                </w:tcPr>
                <w:p w14:paraId="45211E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Ⅲ1-10牛栏江上游丘原盆地水源涵养生态功能区</w:t>
                  </w:r>
                </w:p>
              </w:tc>
              <w:tc>
                <w:tcPr>
                  <w:tcW w:w="502" w:type="pct"/>
                  <w:vAlign w:val="center"/>
                </w:tcPr>
                <w:p w14:paraId="359BC9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马龙县，嵩明、宜良、寻甸县的部分地区，面积4783.52平方公里</w:t>
                  </w:r>
                </w:p>
              </w:tc>
              <w:tc>
                <w:tcPr>
                  <w:tcW w:w="795" w:type="pct"/>
                  <w:vAlign w:val="center"/>
                </w:tcPr>
                <w:p w14:paraId="470986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以石灰岩丘原盆地地貌为主。降雨量1000-1200 毫米，植被主要为云南松林和半湿润常绿阔叶林，土壤类型主要是红壤</w:t>
                  </w:r>
                </w:p>
              </w:tc>
              <w:tc>
                <w:tcPr>
                  <w:tcW w:w="441" w:type="pct"/>
                  <w:vAlign w:val="center"/>
                </w:tcPr>
                <w:p w14:paraId="004BD0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土地利用过度引起的土地退化</w:t>
                  </w:r>
                </w:p>
              </w:tc>
              <w:tc>
                <w:tcPr>
                  <w:tcW w:w="458" w:type="pct"/>
                  <w:vAlign w:val="center"/>
                </w:tcPr>
                <w:p w14:paraId="2AE369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石漠化高度及中度敏感</w:t>
                  </w:r>
                </w:p>
              </w:tc>
              <w:tc>
                <w:tcPr>
                  <w:tcW w:w="537" w:type="pct"/>
                  <w:vAlign w:val="center"/>
                </w:tcPr>
                <w:p w14:paraId="152D33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牛栏江上游的水源涵养和生态农业建设</w:t>
                  </w:r>
                </w:p>
              </w:tc>
              <w:tc>
                <w:tcPr>
                  <w:tcW w:w="912" w:type="pct"/>
                  <w:vAlign w:val="center"/>
                </w:tcPr>
                <w:p w14:paraId="3DA0A8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山地封山育林，提高森林覆盖，谷盆地区调整农业结构，推行清洁生产，保护农田生态环境，防止区域石漠化</w:t>
                  </w:r>
                </w:p>
              </w:tc>
            </w:tr>
          </w:tbl>
          <w:p w14:paraId="61F01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评价</w:t>
            </w:r>
            <w:r>
              <w:rPr>
                <w:rFonts w:hint="eastAsia" w:ascii="Times New Roman" w:hAnsi="Times New Roman" w:cs="Times New Roman"/>
                <w:b/>
                <w:bCs/>
                <w:color w:val="auto"/>
                <w:sz w:val="24"/>
                <w:highlight w:val="none"/>
                <w:lang w:val="en-US" w:eastAsia="zh-CN"/>
              </w:rPr>
              <w:t>区土地利用现状调查</w:t>
            </w:r>
          </w:p>
          <w:p w14:paraId="59A65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highlight w:val="none"/>
              </w:rPr>
            </w:pPr>
            <w:r>
              <w:rPr>
                <w:rFonts w:hint="eastAsia"/>
                <w:color w:val="auto"/>
                <w:sz w:val="24"/>
                <w:szCs w:val="24"/>
                <w:highlight w:val="none"/>
              </w:rPr>
              <w:t>项目</w:t>
            </w:r>
            <w:r>
              <w:rPr>
                <w:rFonts w:hint="default"/>
                <w:color w:val="auto"/>
                <w:sz w:val="24"/>
                <w:szCs w:val="24"/>
                <w:highlight w:val="none"/>
              </w:rPr>
              <w:t>生态环境影响评价区的土地利用类型见表</w:t>
            </w:r>
            <w:r>
              <w:rPr>
                <w:rFonts w:hint="eastAsia"/>
                <w:color w:val="auto"/>
                <w:sz w:val="24"/>
                <w:szCs w:val="24"/>
                <w:highlight w:val="none"/>
                <w:lang w:val="en-US" w:eastAsia="zh-CN"/>
              </w:rPr>
              <w:t>3</w:t>
            </w:r>
            <w:r>
              <w:rPr>
                <w:rFonts w:hint="default"/>
                <w:color w:val="auto"/>
                <w:sz w:val="24"/>
                <w:szCs w:val="24"/>
                <w:highlight w:val="none"/>
              </w:rPr>
              <w:t>-</w:t>
            </w:r>
            <w:r>
              <w:rPr>
                <w:rFonts w:hint="eastAsia"/>
                <w:color w:val="auto"/>
                <w:sz w:val="24"/>
                <w:szCs w:val="24"/>
                <w:highlight w:val="none"/>
                <w:lang w:val="en-US" w:eastAsia="zh-CN"/>
              </w:rPr>
              <w:t>2</w:t>
            </w:r>
            <w:r>
              <w:rPr>
                <w:rFonts w:hint="default"/>
                <w:color w:val="auto"/>
                <w:sz w:val="24"/>
                <w:szCs w:val="24"/>
                <w:highlight w:val="none"/>
              </w:rPr>
              <w:t>，土地利用现状分布</w:t>
            </w:r>
            <w:r>
              <w:rPr>
                <w:rFonts w:hint="eastAsia"/>
                <w:color w:val="auto"/>
                <w:sz w:val="24"/>
                <w:szCs w:val="24"/>
                <w:highlight w:val="none"/>
                <w:lang w:val="en-US" w:eastAsia="zh-CN"/>
              </w:rPr>
              <w:t>情况</w:t>
            </w:r>
            <w:r>
              <w:rPr>
                <w:rFonts w:hint="default"/>
                <w:color w:val="auto"/>
                <w:sz w:val="24"/>
                <w:szCs w:val="24"/>
                <w:highlight w:val="none"/>
              </w:rPr>
              <w:t>详见附图</w:t>
            </w:r>
            <w:r>
              <w:rPr>
                <w:rFonts w:hint="eastAsia"/>
                <w:color w:val="auto"/>
                <w:sz w:val="24"/>
                <w:szCs w:val="24"/>
                <w:highlight w:val="none"/>
                <w:lang w:val="en-US" w:eastAsia="zh-CN"/>
              </w:rPr>
              <w:t>9</w:t>
            </w:r>
            <w:r>
              <w:rPr>
                <w:rFonts w:hint="default"/>
                <w:color w:val="auto"/>
                <w:sz w:val="24"/>
                <w:szCs w:val="24"/>
                <w:highlight w:val="none"/>
              </w:rPr>
              <w:t>。</w:t>
            </w:r>
            <w:r>
              <w:rPr>
                <w:rFonts w:hint="default" w:ascii="Times New Roman" w:hAnsi="Times New Roman" w:cs="Times New Roman"/>
                <w:color w:val="auto"/>
                <w:spacing w:val="-5"/>
                <w:sz w:val="24"/>
                <w:szCs w:val="24"/>
                <w:highlight w:val="none"/>
                <w:shd w:val="clear" w:color="auto" w:fill="auto"/>
              </w:rPr>
              <w:t>评价区面积共计</w:t>
            </w:r>
            <w:r>
              <w:rPr>
                <w:rFonts w:hint="eastAsia" w:cs="Times New Roman"/>
                <w:color w:val="auto"/>
                <w:spacing w:val="-5"/>
                <w:sz w:val="24"/>
                <w:szCs w:val="24"/>
                <w:highlight w:val="none"/>
                <w:shd w:val="clear" w:color="auto" w:fill="auto"/>
                <w:lang w:val="en-US" w:eastAsia="zh-CN"/>
              </w:rPr>
              <w:t>6</w:t>
            </w:r>
            <w:r>
              <w:rPr>
                <w:rFonts w:hint="eastAsia" w:cs="Times New Roman"/>
                <w:color w:val="auto"/>
                <w:sz w:val="24"/>
                <w:szCs w:val="24"/>
                <w:highlight w:val="none"/>
                <w:lang w:val="en-US" w:eastAsia="zh-CN"/>
              </w:rPr>
              <w:t>08.98</w:t>
            </w:r>
            <w:r>
              <w:rPr>
                <w:rFonts w:hint="default" w:ascii="Times New Roman" w:hAnsi="Times New Roman" w:cs="Times New Roman"/>
                <w:color w:val="auto"/>
                <w:sz w:val="24"/>
                <w:szCs w:val="24"/>
                <w:highlight w:val="none"/>
                <w:shd w:val="clear" w:color="auto" w:fill="auto"/>
              </w:rPr>
              <w:t>hm</w:t>
            </w:r>
            <w:r>
              <w:rPr>
                <w:rFonts w:hint="default" w:ascii="Times New Roman" w:hAnsi="Times New Roman" w:cs="Times New Roman"/>
                <w:color w:val="auto"/>
                <w:sz w:val="24"/>
                <w:szCs w:val="24"/>
                <w:highlight w:val="none"/>
                <w:shd w:val="clear" w:color="auto" w:fill="auto"/>
                <w:vertAlign w:val="superscript"/>
              </w:rPr>
              <w:t>2</w:t>
            </w:r>
            <w:r>
              <w:rPr>
                <w:rFonts w:hint="default" w:ascii="Times New Roman" w:hAnsi="Times New Roman" w:cs="Times New Roman"/>
                <w:color w:val="auto"/>
                <w:spacing w:val="-4"/>
                <w:sz w:val="24"/>
                <w:szCs w:val="24"/>
                <w:highlight w:val="none"/>
                <w:shd w:val="clear" w:color="auto" w:fill="auto"/>
              </w:rPr>
              <w:t>，其中</w:t>
            </w:r>
            <w:r>
              <w:rPr>
                <w:rFonts w:hint="default" w:ascii="Times New Roman" w:hAnsi="Times New Roman" w:eastAsia="宋体" w:cs="Times New Roman"/>
                <w:i w:val="0"/>
                <w:iCs w:val="0"/>
                <w:color w:val="auto"/>
                <w:kern w:val="0"/>
                <w:sz w:val="24"/>
                <w:szCs w:val="24"/>
                <w:highlight w:val="none"/>
                <w:u w:val="none"/>
                <w:lang w:val="en-US" w:eastAsia="zh-CN" w:bidi="ar"/>
              </w:rPr>
              <w:t>乔木林地</w:t>
            </w:r>
            <w:r>
              <w:rPr>
                <w:rFonts w:hint="default" w:ascii="Times New Roman" w:hAnsi="Times New Roman" w:cs="Times New Roman"/>
                <w:color w:val="auto"/>
                <w:spacing w:val="-4"/>
                <w:sz w:val="24"/>
                <w:szCs w:val="24"/>
                <w:highlight w:val="none"/>
                <w:shd w:val="clear" w:color="auto" w:fill="auto"/>
              </w:rPr>
              <w:t>面积较大，占</w:t>
            </w:r>
            <w:r>
              <w:rPr>
                <w:rFonts w:hint="eastAsia" w:cs="Times New Roman"/>
                <w:color w:val="auto"/>
                <w:sz w:val="24"/>
                <w:szCs w:val="24"/>
                <w:highlight w:val="none"/>
                <w:lang w:val="en-US" w:eastAsia="zh-CN"/>
              </w:rPr>
              <w:t>42.17</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2"/>
                <w:sz w:val="24"/>
                <w:szCs w:val="24"/>
                <w:highlight w:val="none"/>
                <w:shd w:val="clear" w:color="auto" w:fill="auto"/>
              </w:rPr>
              <w:t>，其次为</w:t>
            </w:r>
            <w:r>
              <w:rPr>
                <w:rFonts w:hint="eastAsia" w:cs="Times New Roman"/>
                <w:i w:val="0"/>
                <w:iCs w:val="0"/>
                <w:color w:val="auto"/>
                <w:kern w:val="0"/>
                <w:sz w:val="24"/>
                <w:szCs w:val="24"/>
                <w:highlight w:val="none"/>
                <w:u w:val="none"/>
                <w:lang w:val="en-US" w:eastAsia="zh-CN" w:bidi="ar"/>
              </w:rPr>
              <w:t>灌木林地</w:t>
            </w:r>
            <w:r>
              <w:rPr>
                <w:rFonts w:hint="eastAsia" w:cs="Times New Roman"/>
                <w:color w:val="auto"/>
                <w:sz w:val="24"/>
                <w:szCs w:val="24"/>
                <w:highlight w:val="none"/>
                <w:lang w:val="en-US" w:eastAsia="zh-CN"/>
              </w:rPr>
              <w:t>22.42</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pacing w:val="-15"/>
                <w:sz w:val="24"/>
                <w:szCs w:val="24"/>
                <w:highlight w:val="none"/>
                <w:shd w:val="clear" w:color="auto" w:fill="auto"/>
              </w:rPr>
              <w:t>、</w:t>
            </w:r>
            <w:r>
              <w:rPr>
                <w:rFonts w:hint="eastAsia" w:cs="Times New Roman"/>
                <w:color w:val="auto"/>
                <w:spacing w:val="-2"/>
                <w:sz w:val="24"/>
                <w:szCs w:val="24"/>
                <w:highlight w:val="none"/>
                <w:shd w:val="clear" w:color="auto" w:fill="auto"/>
                <w:lang w:val="en-US" w:eastAsia="zh-CN"/>
              </w:rPr>
              <w:t>其他草地</w:t>
            </w:r>
            <w:r>
              <w:rPr>
                <w:rFonts w:hint="eastAsia" w:cs="Times New Roman"/>
                <w:color w:val="auto"/>
                <w:sz w:val="24"/>
                <w:szCs w:val="24"/>
                <w:highlight w:val="none"/>
                <w:lang w:val="en-US" w:eastAsia="zh-CN"/>
              </w:rPr>
              <w:t>16.02</w:t>
            </w:r>
            <w:r>
              <w:rPr>
                <w:rFonts w:hint="eastAsia" w:cs="Times New Roman"/>
                <w:i w:val="0"/>
                <w:iCs w:val="0"/>
                <w:color w:val="auto"/>
                <w:kern w:val="0"/>
                <w:sz w:val="24"/>
                <w:szCs w:val="24"/>
                <w:highlight w:val="none"/>
                <w:u w:val="none"/>
                <w:lang w:val="en-US" w:eastAsia="zh-CN" w:bidi="ar"/>
              </w:rPr>
              <w:t>%、旱地</w:t>
            </w:r>
            <w:r>
              <w:rPr>
                <w:rFonts w:hint="eastAsia" w:cs="Times New Roman"/>
                <w:color w:val="auto"/>
                <w:sz w:val="24"/>
                <w:szCs w:val="24"/>
                <w:highlight w:val="none"/>
                <w:lang w:val="en-US" w:eastAsia="zh-CN"/>
              </w:rPr>
              <w:t>15.67</w:t>
            </w:r>
            <w:r>
              <w:rPr>
                <w:rFonts w:hint="default" w:ascii="Times New Roman" w:hAnsi="Times New Roman" w:cs="Times New Roman"/>
                <w:color w:val="auto"/>
                <w:spacing w:val="-3"/>
                <w:sz w:val="24"/>
                <w:szCs w:val="24"/>
                <w:highlight w:val="none"/>
                <w:shd w:val="clear" w:color="auto" w:fill="auto"/>
              </w:rPr>
              <w:t>%</w:t>
            </w:r>
            <w:r>
              <w:rPr>
                <w:rFonts w:hint="eastAsia" w:cs="Times New Roman"/>
                <w:color w:val="auto"/>
                <w:spacing w:val="-3"/>
                <w:sz w:val="24"/>
                <w:szCs w:val="24"/>
                <w:highlight w:val="none"/>
                <w:shd w:val="clear" w:color="auto" w:fill="auto"/>
                <w:lang w:eastAsia="zh-CN"/>
              </w:rPr>
              <w:t>、</w:t>
            </w:r>
            <w:r>
              <w:rPr>
                <w:rFonts w:hint="eastAsia" w:cs="Times New Roman"/>
                <w:i w:val="0"/>
                <w:iCs w:val="0"/>
                <w:color w:val="auto"/>
                <w:kern w:val="0"/>
                <w:sz w:val="24"/>
                <w:szCs w:val="24"/>
                <w:highlight w:val="none"/>
                <w:u w:val="none"/>
                <w:lang w:val="en-US" w:eastAsia="zh-CN" w:bidi="ar"/>
              </w:rPr>
              <w:t>其他林地1.67</w:t>
            </w:r>
            <w:r>
              <w:rPr>
                <w:rFonts w:hint="default" w:ascii="Times New Roman" w:hAnsi="Times New Roman" w:cs="Times New Roman"/>
                <w:color w:val="auto"/>
                <w:spacing w:val="-3"/>
                <w:sz w:val="24"/>
                <w:szCs w:val="24"/>
                <w:highlight w:val="none"/>
                <w:shd w:val="clear" w:color="auto" w:fill="auto"/>
              </w:rPr>
              <w:t>%</w:t>
            </w:r>
            <w:r>
              <w:rPr>
                <w:rFonts w:hint="eastAsia" w:cs="Times New Roman"/>
                <w:color w:val="auto"/>
                <w:spacing w:val="-3"/>
                <w:sz w:val="24"/>
                <w:szCs w:val="24"/>
                <w:highlight w:val="none"/>
                <w:shd w:val="clear" w:color="auto" w:fill="auto"/>
                <w:lang w:eastAsia="zh-CN"/>
              </w:rPr>
              <w:t>，</w:t>
            </w:r>
            <w:r>
              <w:rPr>
                <w:rFonts w:hint="default"/>
                <w:color w:val="auto"/>
                <w:sz w:val="24"/>
                <w:szCs w:val="24"/>
                <w:highlight w:val="none"/>
              </w:rPr>
              <w:t>其它</w:t>
            </w:r>
            <w:r>
              <w:rPr>
                <w:rFonts w:hint="eastAsia"/>
                <w:color w:val="auto"/>
                <w:sz w:val="24"/>
                <w:szCs w:val="24"/>
                <w:highlight w:val="none"/>
              </w:rPr>
              <w:t>地类较少，所占比例均在</w:t>
            </w:r>
            <w:r>
              <w:rPr>
                <w:rFonts w:hint="eastAsia" w:cs="Times New Roman"/>
                <w:color w:val="auto"/>
                <w:sz w:val="24"/>
                <w:szCs w:val="24"/>
                <w:highlight w:val="none"/>
                <w:lang w:val="en-US" w:eastAsia="zh-CN"/>
              </w:rPr>
              <w:t>1.67</w:t>
            </w:r>
            <w:r>
              <w:rPr>
                <w:rFonts w:hint="eastAsia"/>
                <w:color w:val="auto"/>
                <w:sz w:val="24"/>
                <w:szCs w:val="24"/>
                <w:highlight w:val="none"/>
              </w:rPr>
              <w:t>%以下</w:t>
            </w:r>
            <w:r>
              <w:rPr>
                <w:rFonts w:hint="default"/>
                <w:color w:val="auto"/>
                <w:sz w:val="24"/>
                <w:szCs w:val="24"/>
                <w:highlight w:val="none"/>
              </w:rPr>
              <w:t>。</w:t>
            </w:r>
          </w:p>
          <w:p w14:paraId="07198613">
            <w:pPr>
              <w:pStyle w:val="1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表</w:t>
            </w:r>
            <w:r>
              <w:rPr>
                <w:rFonts w:hint="default" w:ascii="Times New Roman" w:hAnsi="Times New Roman" w:eastAsia="宋体" w:cs="Times New Roman"/>
                <w:b/>
                <w:bCs/>
                <w:color w:val="auto"/>
                <w:spacing w:val="8"/>
                <w:sz w:val="21"/>
                <w:szCs w:val="21"/>
                <w:highlight w:val="none"/>
                <w:lang w:val="en-US" w:eastAsia="zh-CN"/>
              </w:rPr>
              <w:t>3</w:t>
            </w:r>
            <w:r>
              <w:rPr>
                <w:rFonts w:hint="default" w:ascii="Times New Roman" w:hAnsi="Times New Roman" w:eastAsia="宋体" w:cs="Times New Roman"/>
                <w:b/>
                <w:bCs/>
                <w:color w:val="auto"/>
                <w:spacing w:val="8"/>
                <w:sz w:val="21"/>
                <w:szCs w:val="21"/>
                <w:highlight w:val="none"/>
              </w:rPr>
              <w:t>-</w:t>
            </w:r>
            <w:r>
              <w:rPr>
                <w:rFonts w:hint="default" w:ascii="Times New Roman" w:hAnsi="Times New Roman" w:eastAsia="宋体" w:cs="Times New Roman"/>
                <w:b/>
                <w:bCs/>
                <w:color w:val="auto"/>
                <w:spacing w:val="8"/>
                <w:sz w:val="21"/>
                <w:szCs w:val="21"/>
                <w:highlight w:val="none"/>
                <w:lang w:val="en-US" w:eastAsia="zh-CN"/>
              </w:rPr>
              <w:t>2</w:t>
            </w:r>
            <w:r>
              <w:rPr>
                <w:rFonts w:hint="default" w:ascii="Times New Roman" w:hAnsi="Times New Roman" w:eastAsia="宋体" w:cs="Times New Roman"/>
                <w:b/>
                <w:bCs/>
                <w:color w:val="auto"/>
                <w:spacing w:val="8"/>
                <w:sz w:val="21"/>
                <w:szCs w:val="21"/>
                <w:highlight w:val="none"/>
              </w:rPr>
              <w:t xml:space="preserve"> 项目评价区土地利用类型现状面积统计表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614"/>
              <w:gridCol w:w="1022"/>
              <w:gridCol w:w="912"/>
              <w:gridCol w:w="1113"/>
              <w:gridCol w:w="1173"/>
            </w:tblGrid>
            <w:tr w14:paraId="0561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2306" w:type="pct"/>
                  <w:vMerge w:val="restart"/>
                  <w:shd w:val="clear" w:color="auto" w:fill="auto"/>
                  <w:vAlign w:val="center"/>
                </w:tcPr>
                <w:p w14:paraId="6F2F6B9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土地利用现状</w:t>
                  </w:r>
                </w:p>
              </w:tc>
              <w:tc>
                <w:tcPr>
                  <w:tcW w:w="652" w:type="pct"/>
                  <w:vMerge w:val="restart"/>
                  <w:shd w:val="clear" w:color="auto" w:fill="auto"/>
                  <w:vAlign w:val="center"/>
                </w:tcPr>
                <w:p w14:paraId="712A460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面积（hm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w:t>
                  </w:r>
                </w:p>
              </w:tc>
              <w:tc>
                <w:tcPr>
                  <w:tcW w:w="582" w:type="pct"/>
                  <w:vMerge w:val="restart"/>
                  <w:shd w:val="clear" w:color="auto" w:fill="auto"/>
                  <w:vAlign w:val="center"/>
                </w:tcPr>
                <w:p w14:paraId="2F10DC7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百分比（%）</w:t>
                  </w:r>
                </w:p>
              </w:tc>
              <w:tc>
                <w:tcPr>
                  <w:tcW w:w="1458" w:type="pct"/>
                  <w:gridSpan w:val="2"/>
                  <w:shd w:val="clear" w:color="auto" w:fill="auto"/>
                  <w:vAlign w:val="center"/>
                </w:tcPr>
                <w:p w14:paraId="2568AE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项目占地面积（hm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w:t>
                  </w:r>
                </w:p>
              </w:tc>
            </w:tr>
            <w:tr w14:paraId="3972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306" w:type="pct"/>
                  <w:vMerge w:val="continue"/>
                  <w:shd w:val="clear" w:color="auto" w:fill="auto"/>
                  <w:vAlign w:val="center"/>
                </w:tcPr>
                <w:p w14:paraId="126EE6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c>
                <w:tcPr>
                  <w:tcW w:w="652" w:type="pct"/>
                  <w:vMerge w:val="continue"/>
                  <w:shd w:val="clear" w:color="auto" w:fill="auto"/>
                  <w:vAlign w:val="center"/>
                </w:tcPr>
                <w:p w14:paraId="3055731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c>
                <w:tcPr>
                  <w:tcW w:w="582" w:type="pct"/>
                  <w:vMerge w:val="continue"/>
                  <w:shd w:val="clear" w:color="auto" w:fill="auto"/>
                  <w:vAlign w:val="center"/>
                </w:tcPr>
                <w:p w14:paraId="61D2AD8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c>
                <w:tcPr>
                  <w:tcW w:w="710" w:type="pct"/>
                  <w:shd w:val="clear" w:color="auto" w:fill="auto"/>
                  <w:vAlign w:val="center"/>
                </w:tcPr>
                <w:p w14:paraId="1985AEE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永久占地</w:t>
                  </w:r>
                </w:p>
              </w:tc>
              <w:tc>
                <w:tcPr>
                  <w:tcW w:w="747" w:type="pct"/>
                  <w:shd w:val="clear" w:color="auto" w:fill="auto"/>
                  <w:vAlign w:val="center"/>
                </w:tcPr>
                <w:p w14:paraId="34BD76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临时占地</w:t>
                  </w:r>
                </w:p>
              </w:tc>
            </w:tr>
            <w:tr w14:paraId="541E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6" w:type="pct"/>
                  <w:shd w:val="clear" w:color="auto" w:fill="auto"/>
                  <w:noWrap/>
                  <w:vAlign w:val="center"/>
                </w:tcPr>
                <w:p w14:paraId="0CA9F7D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城镇村道路用地</w:t>
                  </w:r>
                </w:p>
              </w:tc>
              <w:tc>
                <w:tcPr>
                  <w:tcW w:w="652" w:type="pct"/>
                  <w:shd w:val="clear" w:color="auto" w:fill="auto"/>
                  <w:noWrap/>
                  <w:vAlign w:val="center"/>
                </w:tcPr>
                <w:p w14:paraId="5884A29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582" w:type="pct"/>
                  <w:shd w:val="clear" w:color="auto" w:fill="auto"/>
                  <w:noWrap/>
                  <w:vAlign w:val="center"/>
                </w:tcPr>
                <w:p w14:paraId="72B0D9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710" w:type="pct"/>
                  <w:shd w:val="clear" w:color="auto" w:fill="auto"/>
                  <w:noWrap/>
                  <w:vAlign w:val="center"/>
                </w:tcPr>
                <w:p w14:paraId="086F0A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47" w:type="pct"/>
                  <w:shd w:val="clear" w:color="auto" w:fill="auto"/>
                  <w:noWrap/>
                  <w:vAlign w:val="center"/>
                </w:tcPr>
                <w:p w14:paraId="5BD610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D28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06" w:type="pct"/>
                  <w:shd w:val="clear" w:color="auto" w:fill="auto"/>
                  <w:noWrap/>
                  <w:vAlign w:val="center"/>
                </w:tcPr>
                <w:p w14:paraId="19D6839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公路用地</w:t>
                  </w:r>
                </w:p>
              </w:tc>
              <w:tc>
                <w:tcPr>
                  <w:tcW w:w="652" w:type="pct"/>
                  <w:shd w:val="clear" w:color="auto" w:fill="auto"/>
                  <w:noWrap/>
                  <w:vAlign w:val="center"/>
                </w:tcPr>
                <w:p w14:paraId="38A51E0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2.22</w:t>
                  </w:r>
                </w:p>
              </w:tc>
              <w:tc>
                <w:tcPr>
                  <w:tcW w:w="582" w:type="pct"/>
                  <w:shd w:val="clear" w:color="auto" w:fill="auto"/>
                  <w:noWrap/>
                  <w:vAlign w:val="center"/>
                </w:tcPr>
                <w:p w14:paraId="6F20F1D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0.36</w:t>
                  </w:r>
                </w:p>
              </w:tc>
              <w:tc>
                <w:tcPr>
                  <w:tcW w:w="710" w:type="pct"/>
                  <w:shd w:val="clear" w:color="auto" w:fill="auto"/>
                  <w:noWrap/>
                  <w:vAlign w:val="center"/>
                </w:tcPr>
                <w:p w14:paraId="04CC85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47" w:type="pct"/>
                  <w:shd w:val="clear" w:color="auto" w:fill="auto"/>
                  <w:noWrap/>
                  <w:vAlign w:val="center"/>
                </w:tcPr>
                <w:p w14:paraId="3E5FEE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BD4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06" w:type="pct"/>
                  <w:shd w:val="clear" w:color="auto" w:fill="auto"/>
                  <w:noWrap/>
                  <w:vAlign w:val="center"/>
                </w:tcPr>
                <w:p w14:paraId="4B01ABA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灌木林地</w:t>
                  </w:r>
                </w:p>
              </w:tc>
              <w:tc>
                <w:tcPr>
                  <w:tcW w:w="652" w:type="pct"/>
                  <w:shd w:val="clear" w:color="auto" w:fill="auto"/>
                  <w:noWrap/>
                  <w:vAlign w:val="center"/>
                </w:tcPr>
                <w:p w14:paraId="6C6F1C5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136.49</w:t>
                  </w:r>
                </w:p>
              </w:tc>
              <w:tc>
                <w:tcPr>
                  <w:tcW w:w="582" w:type="pct"/>
                  <w:shd w:val="clear" w:color="auto" w:fill="auto"/>
                  <w:noWrap/>
                  <w:vAlign w:val="center"/>
                </w:tcPr>
                <w:p w14:paraId="18AD08F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22.42</w:t>
                  </w:r>
                </w:p>
              </w:tc>
              <w:tc>
                <w:tcPr>
                  <w:tcW w:w="710" w:type="pct"/>
                  <w:shd w:val="clear" w:color="auto" w:fill="auto"/>
                  <w:noWrap/>
                  <w:vAlign w:val="center"/>
                </w:tcPr>
                <w:p w14:paraId="4E483E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c>
                <w:tcPr>
                  <w:tcW w:w="747" w:type="pct"/>
                  <w:shd w:val="clear" w:color="auto" w:fill="auto"/>
                  <w:noWrap/>
                  <w:vAlign w:val="center"/>
                </w:tcPr>
                <w:p w14:paraId="189AF3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26.03</w:t>
                  </w:r>
                </w:p>
              </w:tc>
            </w:tr>
            <w:tr w14:paraId="33F7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6" w:type="pct"/>
                  <w:shd w:val="clear" w:color="auto" w:fill="auto"/>
                  <w:noWrap/>
                  <w:vAlign w:val="center"/>
                </w:tcPr>
                <w:p w14:paraId="2FEF8E8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果园</w:t>
                  </w:r>
                </w:p>
              </w:tc>
              <w:tc>
                <w:tcPr>
                  <w:tcW w:w="652" w:type="pct"/>
                  <w:shd w:val="clear" w:color="auto" w:fill="auto"/>
                  <w:noWrap/>
                  <w:vAlign w:val="center"/>
                </w:tcPr>
                <w:p w14:paraId="24251D8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w:t>
                  </w:r>
                </w:p>
              </w:tc>
              <w:tc>
                <w:tcPr>
                  <w:tcW w:w="582" w:type="pct"/>
                  <w:shd w:val="clear" w:color="auto" w:fill="auto"/>
                  <w:noWrap/>
                  <w:vAlign w:val="center"/>
                </w:tcPr>
                <w:p w14:paraId="2D6C803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c>
                <w:tcPr>
                  <w:tcW w:w="710" w:type="pct"/>
                  <w:shd w:val="clear" w:color="auto" w:fill="auto"/>
                  <w:noWrap/>
                  <w:vAlign w:val="center"/>
                </w:tcPr>
                <w:p w14:paraId="48B4A3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4348A4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4636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 w:hRule="atLeast"/>
                <w:jc w:val="center"/>
              </w:trPr>
              <w:tc>
                <w:tcPr>
                  <w:tcW w:w="2306" w:type="pct"/>
                  <w:shd w:val="clear" w:color="auto" w:fill="auto"/>
                  <w:vAlign w:val="center"/>
                </w:tcPr>
                <w:p w14:paraId="04DA72C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旱地</w:t>
                  </w:r>
                </w:p>
              </w:tc>
              <w:tc>
                <w:tcPr>
                  <w:tcW w:w="652" w:type="pct"/>
                  <w:shd w:val="clear" w:color="auto" w:fill="auto"/>
                  <w:noWrap/>
                  <w:vAlign w:val="center"/>
                </w:tcPr>
                <w:p w14:paraId="3ABC266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95.39</w:t>
                  </w:r>
                </w:p>
              </w:tc>
              <w:tc>
                <w:tcPr>
                  <w:tcW w:w="582" w:type="pct"/>
                  <w:shd w:val="clear" w:color="auto" w:fill="auto"/>
                  <w:noWrap/>
                  <w:vAlign w:val="center"/>
                </w:tcPr>
                <w:p w14:paraId="7091270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15.67</w:t>
                  </w:r>
                </w:p>
              </w:tc>
              <w:tc>
                <w:tcPr>
                  <w:tcW w:w="710" w:type="pct"/>
                  <w:shd w:val="clear" w:color="auto" w:fill="auto"/>
                  <w:noWrap/>
                  <w:vAlign w:val="center"/>
                </w:tcPr>
                <w:p w14:paraId="6A96EA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37A070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75A8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6" w:type="pct"/>
                  <w:shd w:val="clear" w:color="auto" w:fill="auto"/>
                  <w:vAlign w:val="center"/>
                </w:tcPr>
                <w:p w14:paraId="44FEA18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坑塘水面</w:t>
                  </w:r>
                </w:p>
              </w:tc>
              <w:tc>
                <w:tcPr>
                  <w:tcW w:w="652" w:type="pct"/>
                  <w:shd w:val="clear" w:color="auto" w:fill="auto"/>
                  <w:noWrap/>
                  <w:vAlign w:val="center"/>
                </w:tcPr>
                <w:p w14:paraId="011033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582" w:type="pct"/>
                  <w:shd w:val="clear" w:color="auto" w:fill="auto"/>
                  <w:noWrap/>
                  <w:vAlign w:val="center"/>
                </w:tcPr>
                <w:p w14:paraId="275ED8C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710" w:type="pct"/>
                  <w:shd w:val="clear" w:color="auto" w:fill="auto"/>
                  <w:noWrap/>
                  <w:vAlign w:val="center"/>
                </w:tcPr>
                <w:p w14:paraId="34C374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40D3F6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5C66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06" w:type="pct"/>
                  <w:shd w:val="clear" w:color="auto" w:fill="auto"/>
                  <w:vAlign w:val="center"/>
                </w:tcPr>
                <w:p w14:paraId="24CA027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裸土地</w:t>
                  </w:r>
                </w:p>
              </w:tc>
              <w:tc>
                <w:tcPr>
                  <w:tcW w:w="652" w:type="pct"/>
                  <w:shd w:val="clear" w:color="auto" w:fill="auto"/>
                  <w:noWrap/>
                  <w:vAlign w:val="center"/>
                </w:tcPr>
                <w:p w14:paraId="4696C94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582" w:type="pct"/>
                  <w:shd w:val="clear" w:color="auto" w:fill="auto"/>
                  <w:noWrap/>
                  <w:vAlign w:val="center"/>
                </w:tcPr>
                <w:p w14:paraId="56E63D5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710" w:type="pct"/>
                  <w:shd w:val="clear" w:color="auto" w:fill="auto"/>
                  <w:noWrap/>
                  <w:vAlign w:val="center"/>
                </w:tcPr>
                <w:p w14:paraId="6FC694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747" w:type="pct"/>
                  <w:shd w:val="clear" w:color="auto" w:fill="auto"/>
                  <w:noWrap/>
                  <w:vAlign w:val="center"/>
                </w:tcPr>
                <w:p w14:paraId="7BBB87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4D5F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2306" w:type="pct"/>
                  <w:shd w:val="clear" w:color="auto" w:fill="auto"/>
                  <w:vAlign w:val="center"/>
                </w:tcPr>
                <w:p w14:paraId="737044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农村道路</w:t>
                  </w:r>
                </w:p>
              </w:tc>
              <w:tc>
                <w:tcPr>
                  <w:tcW w:w="652" w:type="pct"/>
                  <w:shd w:val="clear" w:color="auto" w:fill="auto"/>
                  <w:noWrap/>
                  <w:vAlign w:val="center"/>
                </w:tcPr>
                <w:p w14:paraId="59BAC82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4.59</w:t>
                  </w:r>
                </w:p>
              </w:tc>
              <w:tc>
                <w:tcPr>
                  <w:tcW w:w="582" w:type="pct"/>
                  <w:shd w:val="clear" w:color="auto" w:fill="auto"/>
                  <w:noWrap/>
                  <w:vAlign w:val="center"/>
                </w:tcPr>
                <w:p w14:paraId="3D963E4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710" w:type="pct"/>
                  <w:shd w:val="clear" w:color="auto" w:fill="auto"/>
                  <w:noWrap/>
                  <w:vAlign w:val="center"/>
                </w:tcPr>
                <w:p w14:paraId="6D8199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450532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0.28</w:t>
                  </w:r>
                </w:p>
              </w:tc>
            </w:tr>
            <w:tr w14:paraId="1209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306" w:type="pct"/>
                  <w:shd w:val="clear" w:color="auto" w:fill="auto"/>
                  <w:vAlign w:val="center"/>
                </w:tcPr>
                <w:p w14:paraId="25CD744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农村宅基地</w:t>
                  </w:r>
                </w:p>
              </w:tc>
              <w:tc>
                <w:tcPr>
                  <w:tcW w:w="652" w:type="pct"/>
                  <w:shd w:val="clear" w:color="auto" w:fill="auto"/>
                  <w:noWrap/>
                  <w:vAlign w:val="center"/>
                </w:tcPr>
                <w:p w14:paraId="50918F9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582" w:type="pct"/>
                  <w:shd w:val="clear" w:color="auto" w:fill="auto"/>
                  <w:noWrap/>
                  <w:vAlign w:val="center"/>
                </w:tcPr>
                <w:p w14:paraId="7805B86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0.40</w:t>
                  </w:r>
                </w:p>
              </w:tc>
              <w:tc>
                <w:tcPr>
                  <w:tcW w:w="710" w:type="pct"/>
                  <w:shd w:val="clear" w:color="auto" w:fill="auto"/>
                  <w:noWrap/>
                  <w:vAlign w:val="center"/>
                </w:tcPr>
                <w:p w14:paraId="379F46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22BAF4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25C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06" w:type="pct"/>
                  <w:shd w:val="clear" w:color="auto" w:fill="auto"/>
                  <w:noWrap/>
                  <w:vAlign w:val="center"/>
                </w:tcPr>
                <w:p w14:paraId="2EC4D47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其他草地</w:t>
                  </w:r>
                </w:p>
              </w:tc>
              <w:tc>
                <w:tcPr>
                  <w:tcW w:w="652" w:type="pct"/>
                  <w:shd w:val="clear" w:color="auto" w:fill="auto"/>
                  <w:noWrap/>
                  <w:vAlign w:val="center"/>
                </w:tcPr>
                <w:p w14:paraId="24B8D9C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97.58</w:t>
                  </w:r>
                </w:p>
              </w:tc>
              <w:tc>
                <w:tcPr>
                  <w:tcW w:w="582" w:type="pct"/>
                  <w:shd w:val="clear" w:color="auto" w:fill="auto"/>
                  <w:noWrap/>
                  <w:vAlign w:val="center"/>
                </w:tcPr>
                <w:p w14:paraId="4B06560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16.02</w:t>
                  </w:r>
                </w:p>
              </w:tc>
              <w:tc>
                <w:tcPr>
                  <w:tcW w:w="710" w:type="pct"/>
                  <w:shd w:val="clear" w:color="auto" w:fill="auto"/>
                  <w:noWrap/>
                  <w:vAlign w:val="center"/>
                </w:tcPr>
                <w:p w14:paraId="64D4C8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747" w:type="pct"/>
                  <w:shd w:val="clear" w:color="auto" w:fill="auto"/>
                  <w:noWrap/>
                  <w:vAlign w:val="center"/>
                </w:tcPr>
                <w:p w14:paraId="6AC9E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41.41</w:t>
                  </w:r>
                </w:p>
              </w:tc>
            </w:tr>
            <w:tr w14:paraId="7D98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6" w:type="pct"/>
                  <w:shd w:val="clear" w:color="auto" w:fill="auto"/>
                  <w:noWrap/>
                  <w:vAlign w:val="center"/>
                </w:tcPr>
                <w:p w14:paraId="6EB4E28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其他林地</w:t>
                  </w:r>
                </w:p>
              </w:tc>
              <w:tc>
                <w:tcPr>
                  <w:tcW w:w="652" w:type="pct"/>
                  <w:shd w:val="clear" w:color="auto" w:fill="auto"/>
                  <w:noWrap/>
                  <w:vAlign w:val="center"/>
                </w:tcPr>
                <w:p w14:paraId="2DD874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10.19</w:t>
                  </w:r>
                </w:p>
              </w:tc>
              <w:tc>
                <w:tcPr>
                  <w:tcW w:w="582" w:type="pct"/>
                  <w:shd w:val="clear" w:color="auto" w:fill="auto"/>
                  <w:noWrap/>
                  <w:vAlign w:val="center"/>
                </w:tcPr>
                <w:p w14:paraId="7E7F103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1.67</w:t>
                  </w:r>
                </w:p>
              </w:tc>
              <w:tc>
                <w:tcPr>
                  <w:tcW w:w="710" w:type="pct"/>
                  <w:shd w:val="clear" w:color="auto" w:fill="auto"/>
                  <w:noWrap/>
                  <w:vAlign w:val="center"/>
                </w:tcPr>
                <w:p w14:paraId="45C7CF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225C7B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1.99</w:t>
                  </w:r>
                </w:p>
              </w:tc>
            </w:tr>
            <w:tr w14:paraId="4B25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2306" w:type="pct"/>
                  <w:shd w:val="clear" w:color="auto" w:fill="auto"/>
                  <w:noWrap/>
                  <w:vAlign w:val="center"/>
                </w:tcPr>
                <w:p w14:paraId="5F50DE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乔木林地</w:t>
                  </w:r>
                </w:p>
              </w:tc>
              <w:tc>
                <w:tcPr>
                  <w:tcW w:w="652" w:type="pct"/>
                  <w:shd w:val="clear" w:color="auto" w:fill="auto"/>
                  <w:noWrap/>
                  <w:vAlign w:val="center"/>
                </w:tcPr>
                <w:p w14:paraId="6486C52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256.79</w:t>
                  </w:r>
                </w:p>
              </w:tc>
              <w:tc>
                <w:tcPr>
                  <w:tcW w:w="582" w:type="pct"/>
                  <w:shd w:val="clear" w:color="auto" w:fill="auto"/>
                  <w:noWrap/>
                  <w:vAlign w:val="center"/>
                </w:tcPr>
                <w:p w14:paraId="1AE1085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42.17</w:t>
                  </w:r>
                </w:p>
              </w:tc>
              <w:tc>
                <w:tcPr>
                  <w:tcW w:w="710" w:type="pct"/>
                  <w:shd w:val="clear" w:color="auto" w:fill="auto"/>
                  <w:noWrap/>
                  <w:vAlign w:val="center"/>
                </w:tcPr>
                <w:p w14:paraId="485976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489CB5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3828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06" w:type="pct"/>
                  <w:shd w:val="clear" w:color="auto" w:fill="auto"/>
                  <w:noWrap/>
                  <w:vAlign w:val="center"/>
                </w:tcPr>
                <w:p w14:paraId="43FE8F9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设施农用地</w:t>
                  </w:r>
                </w:p>
              </w:tc>
              <w:tc>
                <w:tcPr>
                  <w:tcW w:w="652" w:type="pct"/>
                  <w:shd w:val="clear" w:color="auto" w:fill="auto"/>
                  <w:noWrap/>
                  <w:vAlign w:val="center"/>
                </w:tcPr>
                <w:p w14:paraId="461452A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0.27</w:t>
                  </w:r>
                </w:p>
              </w:tc>
              <w:tc>
                <w:tcPr>
                  <w:tcW w:w="582" w:type="pct"/>
                  <w:shd w:val="clear" w:color="auto" w:fill="auto"/>
                  <w:noWrap/>
                  <w:vAlign w:val="center"/>
                </w:tcPr>
                <w:p w14:paraId="5E5ED51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710" w:type="pct"/>
                  <w:shd w:val="clear" w:color="auto" w:fill="auto"/>
                  <w:noWrap/>
                  <w:vAlign w:val="center"/>
                </w:tcPr>
                <w:p w14:paraId="7C8F6B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47" w:type="pct"/>
                  <w:shd w:val="clear" w:color="auto" w:fill="auto"/>
                  <w:noWrap/>
                  <w:vAlign w:val="center"/>
                </w:tcPr>
                <w:p w14:paraId="5A2FBA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3C7B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06" w:type="pct"/>
                  <w:shd w:val="clear" w:color="auto" w:fill="auto"/>
                  <w:noWrap/>
                  <w:vAlign w:val="center"/>
                </w:tcPr>
                <w:p w14:paraId="4F7424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合计</w:t>
                  </w:r>
                </w:p>
              </w:tc>
              <w:tc>
                <w:tcPr>
                  <w:tcW w:w="652" w:type="pct"/>
                  <w:shd w:val="clear" w:color="auto" w:fill="auto"/>
                  <w:noWrap/>
                  <w:vAlign w:val="center"/>
                </w:tcPr>
                <w:p w14:paraId="645A22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608.98</w:t>
                  </w:r>
                </w:p>
              </w:tc>
              <w:tc>
                <w:tcPr>
                  <w:tcW w:w="582" w:type="pct"/>
                  <w:shd w:val="clear" w:color="auto" w:fill="auto"/>
                  <w:noWrap/>
                  <w:vAlign w:val="center"/>
                </w:tcPr>
                <w:p w14:paraId="6576E0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100.00</w:t>
                  </w:r>
                </w:p>
              </w:tc>
              <w:tc>
                <w:tcPr>
                  <w:tcW w:w="710" w:type="pct"/>
                  <w:shd w:val="clear" w:color="auto" w:fill="auto"/>
                  <w:noWrap/>
                  <w:vAlign w:val="center"/>
                </w:tcPr>
                <w:p w14:paraId="7A34AF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747" w:type="pct"/>
                  <w:shd w:val="clear" w:color="auto" w:fill="auto"/>
                  <w:noWrap/>
                  <w:vAlign w:val="center"/>
                </w:tcPr>
                <w:p w14:paraId="6B8659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69.71</w:t>
                  </w:r>
                </w:p>
              </w:tc>
            </w:tr>
          </w:tbl>
          <w:p w14:paraId="18C4C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color w:val="auto"/>
                <w:sz w:val="24"/>
                <w:highlight w:val="none"/>
              </w:rPr>
            </w:pPr>
            <w:r>
              <w:rPr>
                <w:rFonts w:hint="eastAsia"/>
                <w:b/>
                <w:bCs/>
                <w:color w:val="auto"/>
                <w:kern w:val="0"/>
                <w:sz w:val="24"/>
                <w:highlight w:val="none"/>
                <w:lang w:val="en-US" w:eastAsia="zh-CN"/>
              </w:rPr>
              <w:t>4、</w:t>
            </w:r>
            <w:r>
              <w:rPr>
                <w:rFonts w:hint="default"/>
                <w:b/>
                <w:bCs/>
                <w:color w:val="auto"/>
                <w:kern w:val="0"/>
                <w:sz w:val="24"/>
                <w:highlight w:val="none"/>
              </w:rPr>
              <w:t>生态环境质量现状</w:t>
            </w:r>
          </w:p>
          <w:p w14:paraId="46F6E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bookmarkStart w:id="18" w:name="_Hlk87730933"/>
            <w:bookmarkStart w:id="19" w:name="_Hlk67853180"/>
            <w:bookmarkStart w:id="20" w:name="_Toc119493272"/>
            <w:r>
              <w:rPr>
                <w:rFonts w:hint="eastAsia" w:ascii="Times New Roman" w:hAnsi="Times New Roman" w:eastAsia="宋体" w:cs="Times New Roman"/>
                <w:b/>
                <w:bCs/>
                <w:color w:val="auto"/>
                <w:sz w:val="24"/>
                <w:szCs w:val="24"/>
                <w:lang w:val="en-US" w:eastAsia="zh-CN"/>
              </w:rPr>
              <w:t>4.1调查方法</w:t>
            </w:r>
          </w:p>
          <w:p w14:paraId="23BBAE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对项目区内的典型植被进行调查，同时记下植物的种类，植被的组成等，确定植物种类、植物群落，记录评价区植被和植物区系状况。同时注意收集相关植物和植被调查的资料并咨询当地林业部门等，了解当地的林业资源情况、野生植物的种类组成和资源变动情况；走访群众，了解野生植物的种类和变动情况，收集相关的资料如《云南植被》《云南植物志》《中国植被》等，并查阅项目区域周边近年来发表的文献资料，对评价区的植被和植物资源进行记录、统计和分析。</w:t>
            </w:r>
          </w:p>
          <w:p w14:paraId="58C4D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4.2调查内容</w:t>
            </w:r>
          </w:p>
          <w:p w14:paraId="055E31C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hAnsi="宋体" w:cs="Times New Roman"/>
                <w:color w:val="auto"/>
                <w:kern w:val="0"/>
                <w:sz w:val="24"/>
                <w:szCs w:val="20"/>
                <w:lang w:val="en-US" w:eastAsia="zh-CN" w:bidi="ar-SA"/>
              </w:rPr>
            </w:pPr>
            <w:r>
              <w:rPr>
                <w:rFonts w:hint="eastAsia" w:hAnsi="宋体" w:cs="Times New Roman"/>
                <w:color w:val="auto"/>
                <w:kern w:val="0"/>
                <w:sz w:val="24"/>
                <w:szCs w:val="20"/>
                <w:lang w:val="en-US" w:eastAsia="zh-CN" w:bidi="ar-SA"/>
              </w:rPr>
              <w:t>调查项目内的生态环境，调查项目影响范围内的植被及动植物资源，调查项目区有无特有种、珍稀濒危保护动植物或经济价值和科研价值较高的物种。</w:t>
            </w:r>
          </w:p>
          <w:p w14:paraId="300446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hAnsi="宋体" w:cs="Times New Roman"/>
                <w:b/>
                <w:bCs/>
                <w:color w:val="auto"/>
                <w:kern w:val="0"/>
                <w:sz w:val="24"/>
                <w:szCs w:val="20"/>
                <w:lang w:val="en-US" w:eastAsia="zh-CN" w:bidi="ar-SA"/>
              </w:rPr>
            </w:pPr>
            <w:r>
              <w:rPr>
                <w:rFonts w:hint="eastAsia" w:hAnsi="宋体" w:cs="Times New Roman"/>
                <w:b/>
                <w:bCs/>
                <w:color w:val="auto"/>
                <w:kern w:val="0"/>
                <w:sz w:val="24"/>
                <w:szCs w:val="20"/>
                <w:lang w:val="en-US" w:eastAsia="zh-CN" w:bidi="ar-SA"/>
              </w:rPr>
              <w:t>4.3调查范围</w:t>
            </w:r>
          </w:p>
          <w:p w14:paraId="50810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hAnsi="宋体" w:cs="Times New Roman"/>
                <w:color w:val="auto"/>
                <w:kern w:val="0"/>
                <w:sz w:val="24"/>
                <w:szCs w:val="20"/>
                <w:highlight w:val="yellow"/>
                <w:lang w:val="en-US" w:eastAsia="zh-CN" w:bidi="ar-SA"/>
              </w:rPr>
            </w:pPr>
            <w:r>
              <w:rPr>
                <w:rFonts w:hint="eastAsia" w:hAnsi="宋体" w:cs="Times New Roman"/>
                <w:color w:val="auto"/>
                <w:kern w:val="0"/>
                <w:sz w:val="24"/>
                <w:szCs w:val="20"/>
                <w:lang w:val="en-US" w:eastAsia="zh-CN" w:bidi="ar-SA"/>
              </w:rPr>
              <w:t>调查范围为项目占地（包含临时占地）外延300m范围，</w:t>
            </w:r>
            <w:r>
              <w:rPr>
                <w:rFonts w:hint="eastAsia" w:ascii="Times New Roman" w:hAnsi="Times New Roman" w:eastAsia="宋体"/>
                <w:bCs/>
                <w:color w:val="auto"/>
                <w:sz w:val="24"/>
                <w:szCs w:val="24"/>
                <w:highlight w:val="none"/>
              </w:rPr>
              <w:t>本项目</w:t>
            </w:r>
            <w:r>
              <w:rPr>
                <w:rFonts w:hint="eastAsia"/>
                <w:bCs/>
                <w:color w:val="auto"/>
                <w:sz w:val="24"/>
                <w:szCs w:val="24"/>
                <w:highlight w:val="none"/>
                <w:lang w:val="en-US" w:eastAsia="zh-CN"/>
              </w:rPr>
              <w:t>总</w:t>
            </w:r>
            <w:r>
              <w:rPr>
                <w:rFonts w:hint="eastAsia" w:ascii="Times New Roman" w:hAnsi="Times New Roman" w:eastAsia="宋体"/>
                <w:bCs/>
                <w:color w:val="auto"/>
                <w:sz w:val="24"/>
                <w:szCs w:val="24"/>
                <w:highlight w:val="none"/>
              </w:rPr>
              <w:t>占地面积</w:t>
            </w:r>
            <w:r>
              <w:rPr>
                <w:rFonts w:hint="eastAsia" w:cs="Times New Roman"/>
                <w:color w:val="auto"/>
                <w:kern w:val="0"/>
                <w:sz w:val="24"/>
                <w:szCs w:val="24"/>
                <w:highlight w:val="none"/>
                <w:lang w:val="en-US" w:eastAsia="zh-CN"/>
              </w:rPr>
              <w:t>69.76</w:t>
            </w:r>
            <w:r>
              <w:rPr>
                <w:rFonts w:hint="eastAsia" w:ascii="Times New Roman" w:hAnsi="Times New Roman" w:eastAsia="宋体"/>
                <w:bCs/>
                <w:color w:val="auto"/>
                <w:sz w:val="24"/>
                <w:szCs w:val="24"/>
                <w:highlight w:val="none"/>
              </w:rPr>
              <w:t>hm</w:t>
            </w:r>
            <w:r>
              <w:rPr>
                <w:rFonts w:hint="default" w:ascii="Times New Roman" w:hAnsi="Times New Roman" w:eastAsia="宋体"/>
                <w:bCs/>
                <w:color w:val="auto"/>
                <w:sz w:val="24"/>
                <w:szCs w:val="24"/>
                <w:highlight w:val="none"/>
                <w:vertAlign w:val="superscript"/>
              </w:rPr>
              <w:t>2</w:t>
            </w:r>
            <w:r>
              <w:rPr>
                <w:rFonts w:hint="eastAsia" w:ascii="Times New Roman" w:hAnsi="Times New Roman" w:eastAsia="宋体"/>
                <w:bCs/>
                <w:color w:val="auto"/>
                <w:sz w:val="24"/>
                <w:szCs w:val="24"/>
                <w:highlight w:val="none"/>
              </w:rPr>
              <w:t>，评价区面积约</w:t>
            </w:r>
            <w:r>
              <w:rPr>
                <w:rFonts w:hint="eastAsia" w:cs="Times New Roman"/>
                <w:i w:val="0"/>
                <w:iCs w:val="0"/>
                <w:color w:val="auto"/>
                <w:kern w:val="0"/>
                <w:sz w:val="24"/>
                <w:szCs w:val="24"/>
                <w:highlight w:val="none"/>
                <w:u w:val="none"/>
                <w:lang w:val="en-US" w:eastAsia="zh-CN" w:bidi="ar"/>
              </w:rPr>
              <w:t>608.98</w:t>
            </w:r>
            <w:r>
              <w:rPr>
                <w:rFonts w:hint="eastAsia" w:ascii="Times New Roman" w:hAnsi="Times New Roman" w:eastAsia="宋体"/>
                <w:bCs/>
                <w:color w:val="auto"/>
                <w:sz w:val="24"/>
                <w:szCs w:val="24"/>
                <w:highlight w:val="none"/>
              </w:rPr>
              <w:t>hm</w:t>
            </w:r>
            <w:r>
              <w:rPr>
                <w:rFonts w:hint="default" w:ascii="Times New Roman" w:hAnsi="Times New Roman" w:eastAsia="宋体"/>
                <w:bCs/>
                <w:color w:val="auto"/>
                <w:sz w:val="24"/>
                <w:szCs w:val="24"/>
                <w:highlight w:val="none"/>
                <w:vertAlign w:val="superscript"/>
              </w:rPr>
              <w:t>2</w:t>
            </w:r>
            <w:r>
              <w:rPr>
                <w:rFonts w:hint="eastAsia" w:ascii="Times New Roman" w:hAnsi="Times New Roman" w:eastAsia="宋体"/>
                <w:bCs/>
                <w:color w:val="auto"/>
                <w:sz w:val="24"/>
                <w:szCs w:val="24"/>
                <w:highlight w:val="none"/>
              </w:rPr>
              <w:t>。</w:t>
            </w:r>
          </w:p>
          <w:p w14:paraId="24D1565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宋体" w:eastAsia="宋体" w:cs="Times New Roman"/>
                <w:b/>
                <w:bCs/>
                <w:color w:val="auto"/>
                <w:kern w:val="0"/>
                <w:sz w:val="24"/>
                <w:szCs w:val="20"/>
                <w:lang w:val="en-US" w:eastAsia="zh-CN" w:bidi="ar-SA"/>
              </w:rPr>
            </w:pPr>
            <w:r>
              <w:rPr>
                <w:rFonts w:hint="eastAsia" w:hAnsi="宋体" w:cs="Times New Roman"/>
                <w:b/>
                <w:bCs/>
                <w:color w:val="auto"/>
                <w:kern w:val="0"/>
                <w:sz w:val="24"/>
                <w:szCs w:val="20"/>
                <w:highlight w:val="none"/>
                <w:lang w:val="en-US" w:eastAsia="zh-CN" w:bidi="ar-SA"/>
              </w:rPr>
              <w:t>4.4</w:t>
            </w:r>
            <w:r>
              <w:rPr>
                <w:rFonts w:hint="eastAsia" w:ascii="Times New Roman" w:hAnsi="宋体" w:eastAsia="宋体" w:cs="Times New Roman"/>
                <w:b/>
                <w:bCs/>
                <w:color w:val="auto"/>
                <w:kern w:val="0"/>
                <w:sz w:val="24"/>
                <w:szCs w:val="20"/>
                <w:lang w:val="en-US" w:eastAsia="zh-CN" w:bidi="ar-SA"/>
              </w:rPr>
              <w:t>调查时间</w:t>
            </w:r>
          </w:p>
          <w:p w14:paraId="670E22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宋体"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sz w:val="24"/>
                <w:szCs w:val="24"/>
                <w:lang w:val="en-US" w:eastAsia="zh-CN"/>
              </w:rPr>
              <w:t>2024年</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日</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2024年</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日，我公司</w:t>
            </w:r>
            <w:r>
              <w:rPr>
                <w:rFonts w:hint="default" w:ascii="Times New Roman" w:hAnsi="Times New Roman" w:eastAsia="宋体" w:cs="Times New Roman"/>
                <w:color w:val="auto"/>
                <w:sz w:val="24"/>
                <w:szCs w:val="24"/>
                <w:lang w:val="en-US" w:eastAsia="zh-CN"/>
              </w:rPr>
              <w:t>项目组成员</w:t>
            </w:r>
            <w:r>
              <w:rPr>
                <w:rFonts w:hint="eastAsia" w:hAnsi="宋体" w:cs="Times New Roman"/>
                <w:color w:val="auto"/>
                <w:kern w:val="0"/>
                <w:sz w:val="24"/>
                <w:szCs w:val="20"/>
                <w:highlight w:val="none"/>
                <w:lang w:val="en-US" w:eastAsia="zh-CN" w:bidi="ar-SA"/>
              </w:rPr>
              <w:t>实地考察了</w:t>
            </w:r>
            <w:r>
              <w:rPr>
                <w:rFonts w:hint="eastAsia"/>
                <w:color w:val="auto"/>
                <w:sz w:val="24"/>
                <w:szCs w:val="24"/>
                <w:lang w:val="en-US" w:eastAsia="zh-CN"/>
              </w:rPr>
              <w:t>项目</w:t>
            </w:r>
            <w:r>
              <w:rPr>
                <w:rFonts w:hint="eastAsia" w:hAnsi="宋体" w:cs="Times New Roman"/>
                <w:color w:val="auto"/>
                <w:kern w:val="0"/>
                <w:sz w:val="24"/>
                <w:szCs w:val="20"/>
                <w:highlight w:val="none"/>
                <w:lang w:val="en-US" w:eastAsia="zh-CN" w:bidi="ar-SA"/>
              </w:rPr>
              <w:t>区及评价范围内的植被类型、野生植物种类。</w:t>
            </w:r>
          </w:p>
          <w:p w14:paraId="2FB7A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4.5</w:t>
            </w:r>
            <w:r>
              <w:rPr>
                <w:rFonts w:hint="eastAsia" w:ascii="Times New Roman" w:hAnsi="Times New Roman" w:eastAsia="宋体" w:cs="Times New Roman"/>
                <w:b/>
                <w:bCs/>
                <w:color w:val="auto"/>
                <w:sz w:val="24"/>
                <w:szCs w:val="24"/>
                <w:lang w:val="en-US" w:eastAsia="zh-CN"/>
              </w:rPr>
              <w:t>影响面积求算和制图方法</w:t>
            </w:r>
          </w:p>
          <w:p w14:paraId="727140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Cs/>
                <w:color w:val="auto"/>
                <w:sz w:val="24"/>
                <w:highlight w:val="none"/>
                <w:lang w:val="en-US" w:eastAsia="zh-CN"/>
              </w:rPr>
            </w:pPr>
            <w:r>
              <w:rPr>
                <w:rFonts w:hint="eastAsia" w:ascii="Times New Roman" w:hAnsi="Times New Roman" w:eastAsia="宋体" w:cs="Times New Roman"/>
                <w:color w:val="auto"/>
                <w:sz w:val="24"/>
                <w:szCs w:val="24"/>
                <w:lang w:val="en-US" w:eastAsia="zh-CN"/>
              </w:rPr>
              <w:t>利用评价区域卫星影像图片，根据野外植被调查、植物资源调查和动物资源调查的资料，对卫星影</w:t>
            </w:r>
            <w:r>
              <w:rPr>
                <w:rFonts w:hint="eastAsia" w:cs="Times New Roman"/>
                <w:color w:val="auto"/>
                <w:sz w:val="24"/>
                <w:szCs w:val="24"/>
                <w:lang w:val="en-US" w:eastAsia="zh-CN"/>
              </w:rPr>
              <w:t>像</w:t>
            </w:r>
            <w:r>
              <w:rPr>
                <w:rFonts w:hint="eastAsia" w:ascii="Times New Roman" w:hAnsi="Times New Roman" w:eastAsia="宋体" w:cs="Times New Roman"/>
                <w:color w:val="auto"/>
                <w:sz w:val="24"/>
                <w:szCs w:val="24"/>
                <w:lang w:val="en-US" w:eastAsia="zh-CN"/>
              </w:rPr>
              <w:t>图片进行植被解译。采用GIS方法，计算评价区和直接影响区内的各种植被类型的面积。同时完成评价区的土地利用现状图和植被类型图。</w:t>
            </w:r>
          </w:p>
          <w:p w14:paraId="4AFB6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4.6</w:t>
            </w:r>
            <w:r>
              <w:rPr>
                <w:rFonts w:hint="eastAsia" w:ascii="Times New Roman" w:hAnsi="Times New Roman" w:eastAsia="宋体" w:cs="Times New Roman"/>
                <w:b/>
                <w:bCs/>
                <w:color w:val="auto"/>
                <w:sz w:val="24"/>
                <w:szCs w:val="24"/>
                <w:highlight w:val="none"/>
                <w:lang w:val="en-US" w:eastAsia="zh-CN"/>
              </w:rPr>
              <w:t>植被现状调查与评价</w:t>
            </w:r>
          </w:p>
          <w:p w14:paraId="5415CAD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rPr>
              <w:t>1）评价区植被分类系统</w:t>
            </w:r>
          </w:p>
          <w:p w14:paraId="536BFA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项目评价区海拔在</w:t>
            </w:r>
            <w:r>
              <w:rPr>
                <w:rFonts w:hint="eastAsia" w:cs="Times New Roman"/>
                <w:color w:val="auto"/>
                <w:sz w:val="24"/>
                <w:szCs w:val="24"/>
                <w:highlight w:val="none"/>
                <w:lang w:val="en-US" w:eastAsia="zh-CN"/>
              </w:rPr>
              <w:t>2156～2262</w:t>
            </w:r>
            <w:r>
              <w:rPr>
                <w:rFonts w:hint="default" w:ascii="Times New Roman" w:hAnsi="Times New Roman" w:eastAsia="宋体" w:cs="Times New Roman"/>
                <w:color w:val="auto"/>
                <w:sz w:val="24"/>
                <w:szCs w:val="24"/>
                <w:highlight w:val="none"/>
                <w:lang w:val="en-US" w:eastAsia="zh-CN"/>
              </w:rPr>
              <w:t>m之间，</w:t>
            </w:r>
            <w:r>
              <w:rPr>
                <w:rFonts w:hint="default" w:ascii="Times New Roman" w:hAnsi="Times New Roman" w:eastAsia="宋体" w:cs="Times New Roman"/>
                <w:color w:val="auto"/>
                <w:kern w:val="0"/>
                <w:sz w:val="24"/>
                <w:szCs w:val="24"/>
                <w:highlight w:val="none"/>
                <w:lang w:val="en-US" w:eastAsia="zh-CN" w:bidi="ar"/>
              </w:rPr>
              <w:t>根据实地调查</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spacing w:val="0"/>
                <w:sz w:val="24"/>
                <w:highlight w:val="none"/>
              </w:rPr>
              <w:t>结合《云南植被》、高清遥感影像等基础资料，</w:t>
            </w:r>
            <w:r>
              <w:rPr>
                <w:rFonts w:hint="default" w:ascii="Times New Roman" w:hAnsi="Times New Roman" w:eastAsia="宋体" w:cs="Times New Roman"/>
                <w:color w:val="auto"/>
                <w:kern w:val="0"/>
                <w:sz w:val="24"/>
                <w:szCs w:val="24"/>
                <w:highlight w:val="none"/>
                <w:lang w:val="en-US" w:eastAsia="zh-CN" w:bidi="ar"/>
              </w:rPr>
              <w:t>评价区植被分为自然植被和人工植被两类，自然植被可划分为</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个植被型</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落叶阔叶林、</w:t>
            </w:r>
            <w:r>
              <w:rPr>
                <w:rFonts w:hint="default" w:ascii="Times New Roman" w:hAnsi="Times New Roman" w:eastAsia="宋体" w:cs="Times New Roman"/>
                <w:color w:val="auto"/>
                <w:kern w:val="0"/>
                <w:sz w:val="24"/>
                <w:szCs w:val="24"/>
                <w:highlight w:val="none"/>
                <w:lang w:val="en-US" w:eastAsia="zh-CN" w:bidi="ar"/>
              </w:rPr>
              <w:t>暖性针叶林</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灌丛</w:t>
            </w:r>
            <w:r>
              <w:rPr>
                <w:rFonts w:hint="eastAsia" w:cs="Times New Roman"/>
                <w:color w:val="auto"/>
                <w:kern w:val="0"/>
                <w:sz w:val="24"/>
                <w:szCs w:val="24"/>
                <w:highlight w:val="none"/>
                <w:lang w:val="en-US" w:eastAsia="zh-CN" w:bidi="ar"/>
              </w:rPr>
              <w:t>、稀树灌木草丛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个植被亚型</w:t>
            </w:r>
            <w:r>
              <w:rPr>
                <w:rFonts w:hint="eastAsia" w:ascii="Times New Roman" w:hAnsi="Times New Roman" w:eastAsia="宋体" w:cs="Times New Roman"/>
                <w:color w:val="auto"/>
                <w:kern w:val="0"/>
                <w:sz w:val="24"/>
                <w:szCs w:val="24"/>
                <w:highlight w:val="none"/>
                <w:lang w:val="en-US" w:eastAsia="zh-CN" w:bidi="ar"/>
              </w:rPr>
              <w:t>（桤木林</w:t>
            </w:r>
            <w:r>
              <w:rPr>
                <w:rFonts w:hint="eastAsia" w:cs="Times New Roman"/>
                <w:color w:val="auto"/>
                <w:kern w:val="0"/>
                <w:sz w:val="24"/>
                <w:szCs w:val="24"/>
                <w:highlight w:val="none"/>
                <w:lang w:val="en-US" w:eastAsia="zh-CN" w:bidi="ar"/>
              </w:rPr>
              <w:t>、</w:t>
            </w:r>
            <w:r>
              <w:rPr>
                <w:rFonts w:hint="eastAsia" w:cs="宋体"/>
                <w:color w:val="auto"/>
                <w:sz w:val="24"/>
                <w:szCs w:val="24"/>
                <w:highlight w:val="none"/>
                <w:lang w:bidi="ar"/>
              </w:rPr>
              <w:t>暖温性针叶林</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暖性石灰岩灌丛、暖温性稀树灌木草丛）</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个群系</w:t>
            </w:r>
            <w:r>
              <w:rPr>
                <w:rFonts w:hint="eastAsia" w:ascii="Times New Roman" w:hAnsi="Times New Roman" w:eastAsia="宋体" w:cs="Times New Roman"/>
                <w:color w:val="auto"/>
                <w:kern w:val="0"/>
                <w:sz w:val="24"/>
                <w:szCs w:val="24"/>
                <w:highlight w:val="none"/>
                <w:lang w:val="en-US" w:eastAsia="zh-CN" w:bidi="ar"/>
              </w:rPr>
              <w:t>（旱冬瓜</w:t>
            </w:r>
            <w:r>
              <w:rPr>
                <w:rFonts w:hint="eastAsia" w:cs="Times New Roman"/>
                <w:color w:val="auto"/>
                <w:kern w:val="0"/>
                <w:sz w:val="24"/>
                <w:szCs w:val="24"/>
                <w:highlight w:val="none"/>
                <w:lang w:val="en-US" w:eastAsia="zh-CN" w:bidi="ar"/>
              </w:rPr>
              <w:t>林；</w:t>
            </w:r>
            <w:r>
              <w:rPr>
                <w:rFonts w:hint="eastAsia" w:cs="宋体"/>
                <w:color w:val="auto"/>
                <w:sz w:val="24"/>
                <w:szCs w:val="24"/>
                <w:highlight w:val="none"/>
                <w:lang w:bidi="ar"/>
              </w:rPr>
              <w:t>云南</w:t>
            </w:r>
            <w:r>
              <w:rPr>
                <w:rFonts w:hint="eastAsia" w:cs="宋体"/>
                <w:color w:val="auto"/>
                <w:sz w:val="24"/>
                <w:szCs w:val="24"/>
                <w:highlight w:val="none"/>
                <w:lang w:eastAsia="zh-CN" w:bidi="ar"/>
              </w:rPr>
              <w:t>松林</w:t>
            </w:r>
            <w:r>
              <w:rPr>
                <w:rFonts w:hint="eastAsia" w:cs="Times New Roman"/>
                <w:color w:val="auto"/>
                <w:kern w:val="0"/>
                <w:sz w:val="24"/>
                <w:szCs w:val="24"/>
                <w:highlight w:val="none"/>
                <w:lang w:val="en-US" w:eastAsia="zh-CN" w:bidi="ar"/>
              </w:rPr>
              <w:t>；云南松-西南栒子灌丛</w:t>
            </w:r>
            <w:r>
              <w:rPr>
                <w:rFonts w:hint="eastAsia"/>
                <w:color w:val="auto"/>
                <w:sz w:val="24"/>
                <w:szCs w:val="24"/>
                <w:highlight w:val="none"/>
                <w:lang w:val="pt-BR" w:eastAsia="zh-CN"/>
              </w:rPr>
              <w:t>；含云南松、毛蕨、白茅稀树灌草丛</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4个群落</w:t>
            </w:r>
            <w:r>
              <w:rPr>
                <w:rFonts w:hint="eastAsia" w:ascii="Times New Roman" w:hAnsi="Times New Roman" w:eastAsia="宋体" w:cs="Times New Roman"/>
                <w:color w:val="auto"/>
                <w:kern w:val="0"/>
                <w:sz w:val="24"/>
                <w:szCs w:val="24"/>
                <w:highlight w:val="none"/>
                <w:lang w:val="en-US" w:eastAsia="zh-CN" w:bidi="ar"/>
              </w:rPr>
              <w:t>（旱冬瓜群落</w:t>
            </w:r>
            <w:r>
              <w:rPr>
                <w:rFonts w:hint="eastAsia" w:cs="Times New Roman"/>
                <w:color w:val="auto"/>
                <w:kern w:val="0"/>
                <w:sz w:val="24"/>
                <w:szCs w:val="24"/>
                <w:highlight w:val="none"/>
                <w:lang w:val="en-US" w:eastAsia="zh-CN" w:bidi="ar"/>
              </w:rPr>
              <w:t>；云南松群落；3.云南松-西南栒子群落</w:t>
            </w:r>
            <w:r>
              <w:rPr>
                <w:rFonts w:hint="eastAsia"/>
                <w:color w:val="auto"/>
                <w:sz w:val="24"/>
                <w:szCs w:val="24"/>
                <w:highlight w:val="none"/>
                <w:lang w:val="pt-BR" w:eastAsia="zh-CN"/>
              </w:rPr>
              <w:t>；含云南松、毛蕨、白茅群落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人工植被包括人工林、</w:t>
            </w:r>
            <w:r>
              <w:rPr>
                <w:rFonts w:hint="eastAsia" w:ascii="Times New Roman" w:hAnsi="Times New Roman" w:eastAsia="宋体" w:cs="Times New Roman"/>
                <w:color w:val="auto"/>
                <w:kern w:val="0"/>
                <w:sz w:val="24"/>
                <w:szCs w:val="24"/>
                <w:highlight w:val="none"/>
                <w:lang w:val="en-US" w:eastAsia="zh-CN" w:bidi="ar"/>
              </w:rPr>
              <w:t>农田植被</w:t>
            </w:r>
            <w:r>
              <w:rPr>
                <w:rFonts w:hint="default" w:ascii="Times New Roman" w:hAnsi="Times New Roman" w:eastAsia="宋体" w:cs="Times New Roman"/>
                <w:color w:val="auto"/>
                <w:kern w:val="0"/>
                <w:sz w:val="24"/>
                <w:szCs w:val="24"/>
                <w:highlight w:val="none"/>
                <w:lang w:val="en-US" w:eastAsia="zh-CN" w:bidi="ar"/>
              </w:rPr>
              <w:t>等。植被分类系统详见表3-</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14:paraId="43D4BD46">
            <w:pPr>
              <w:pStyle w:val="131"/>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val="0"/>
                <w:color w:val="auto"/>
                <w:kern w:val="0"/>
                <w:sz w:val="21"/>
                <w:szCs w:val="21"/>
                <w:highlight w:val="none"/>
                <w:lang w:val="en-US" w:eastAsia="zh-CN" w:bidi="ar-SA"/>
              </w:rPr>
            </w:pPr>
            <w:r>
              <w:rPr>
                <w:rFonts w:hint="eastAsia" w:ascii="Times New Roman" w:hAnsi="Times New Roman" w:eastAsia="宋体" w:cs="Times New Roman"/>
                <w:b/>
                <w:bCs w:val="0"/>
                <w:color w:val="auto"/>
                <w:kern w:val="0"/>
                <w:sz w:val="21"/>
                <w:szCs w:val="21"/>
                <w:highlight w:val="none"/>
                <w:lang w:val="en-US" w:eastAsia="zh-CN" w:bidi="ar-SA"/>
              </w:rPr>
              <w:t>表3-</w:t>
            </w:r>
            <w:r>
              <w:rPr>
                <w:rFonts w:hint="eastAsia" w:ascii="Times New Roman" w:eastAsia="宋体" w:cs="Times New Roman"/>
                <w:b/>
                <w:bCs w:val="0"/>
                <w:color w:val="auto"/>
                <w:kern w:val="0"/>
                <w:sz w:val="21"/>
                <w:szCs w:val="21"/>
                <w:highlight w:val="none"/>
                <w:lang w:val="en-US" w:eastAsia="zh-CN" w:bidi="ar-SA"/>
              </w:rPr>
              <w:t>3</w:t>
            </w:r>
            <w:r>
              <w:rPr>
                <w:rFonts w:hint="eastAsia" w:ascii="Times New Roman" w:hAnsi="Times New Roman" w:eastAsia="宋体" w:cs="Times New Roman"/>
                <w:b/>
                <w:bCs w:val="0"/>
                <w:color w:val="auto"/>
                <w:kern w:val="0"/>
                <w:sz w:val="21"/>
                <w:szCs w:val="21"/>
                <w:highlight w:val="none"/>
                <w:lang w:val="en-US" w:eastAsia="zh-CN" w:bidi="ar-SA"/>
              </w:rPr>
              <w:t xml:space="preserve"> 评价区内植被分类系统</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6"/>
              <w:gridCol w:w="1698"/>
            </w:tblGrid>
            <w:tr w14:paraId="49A2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916" w:type="pct"/>
                  <w:noWrap w:val="0"/>
                  <w:vAlign w:val="top"/>
                </w:tcPr>
                <w:p w14:paraId="400EED2C">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一、自然植被</w:t>
                  </w:r>
                </w:p>
              </w:tc>
              <w:tc>
                <w:tcPr>
                  <w:tcW w:w="1083" w:type="pct"/>
                  <w:noWrap w:val="0"/>
                  <w:vAlign w:val="top"/>
                </w:tcPr>
                <w:p w14:paraId="115FF86B">
                  <w:pPr>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highlight w:val="none"/>
                      <w:vertAlign w:val="baseline"/>
                      <w:lang w:val="en-US" w:eastAsia="zh-CN"/>
                    </w:rPr>
                  </w:pPr>
                  <w:r>
                    <w:rPr>
                      <w:rFonts w:hint="eastAsia" w:hAnsi="宋体" w:cs="宋体"/>
                      <w:b/>
                      <w:color w:val="auto"/>
                      <w:sz w:val="21"/>
                      <w:szCs w:val="21"/>
                      <w:highlight w:val="none"/>
                      <w:lang w:bidi="ar"/>
                    </w:rPr>
                    <w:t>分布区域</w:t>
                  </w:r>
                </w:p>
              </w:tc>
            </w:tr>
            <w:tr w14:paraId="6C5C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916" w:type="pct"/>
                  <w:noWrap w:val="0"/>
                  <w:vAlign w:val="top"/>
                </w:tcPr>
                <w:p w14:paraId="67A5777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w:t>
                  </w:r>
                  <w:r>
                    <w:rPr>
                      <w:rFonts w:hint="eastAsia" w:cs="Times New Roman"/>
                      <w:color w:val="auto"/>
                      <w:kern w:val="0"/>
                      <w:sz w:val="21"/>
                      <w:szCs w:val="21"/>
                      <w:highlight w:val="none"/>
                      <w:lang w:val="en-US" w:eastAsia="zh-CN" w:bidi="ar"/>
                    </w:rPr>
                    <w:t>落叶阔叶林</w:t>
                  </w:r>
                </w:p>
              </w:tc>
              <w:tc>
                <w:tcPr>
                  <w:tcW w:w="1083" w:type="pct"/>
                  <w:noWrap w:val="0"/>
                  <w:vAlign w:val="top"/>
                </w:tcPr>
                <w:p w14:paraId="56F74255">
                  <w:pPr>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0"/>
                      <w:sz w:val="21"/>
                      <w:szCs w:val="21"/>
                      <w:highlight w:val="none"/>
                      <w:lang w:val="en-US" w:eastAsia="zh-CN" w:bidi="ar"/>
                    </w:rPr>
                  </w:pPr>
                </w:p>
              </w:tc>
            </w:tr>
            <w:tr w14:paraId="1453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916" w:type="pct"/>
                  <w:noWrap w:val="0"/>
                  <w:vAlign w:val="top"/>
                </w:tcPr>
                <w:p w14:paraId="7A27D0F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w:t>
                  </w: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083" w:type="pct"/>
                  <w:noWrap w:val="0"/>
                  <w:vAlign w:val="top"/>
                </w:tcPr>
                <w:p w14:paraId="0FE9899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52D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916" w:type="pct"/>
                  <w:noWrap w:val="0"/>
                  <w:vAlign w:val="top"/>
                </w:tcPr>
                <w:p w14:paraId="7387CEF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（一）</w:t>
                  </w:r>
                  <w:r>
                    <w:rPr>
                      <w:rFonts w:hint="default" w:ascii="Times New Roman" w:hAnsi="Times New Roman" w:eastAsia="宋体" w:cs="Times New Roman"/>
                      <w:color w:val="auto"/>
                      <w:sz w:val="21"/>
                      <w:szCs w:val="21"/>
                      <w:highlight w:val="none"/>
                      <w:lang w:val="en-US" w:eastAsia="zh-CN"/>
                    </w:rPr>
                    <w:t>旱冬瓜</w:t>
                  </w:r>
                  <w:r>
                    <w:rPr>
                      <w:rFonts w:hint="eastAsia" w:cs="Times New Roman"/>
                      <w:color w:val="auto"/>
                      <w:sz w:val="21"/>
                      <w:szCs w:val="21"/>
                      <w:highlight w:val="none"/>
                      <w:lang w:val="en-US" w:eastAsia="zh-CN"/>
                    </w:rPr>
                    <w:t>林</w:t>
                  </w:r>
                </w:p>
              </w:tc>
              <w:tc>
                <w:tcPr>
                  <w:tcW w:w="1083" w:type="pct"/>
                  <w:noWrap w:val="0"/>
                  <w:vAlign w:val="top"/>
                </w:tcPr>
                <w:p w14:paraId="45AA626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6FBB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916" w:type="pct"/>
                  <w:noWrap w:val="0"/>
                  <w:vAlign w:val="top"/>
                </w:tcPr>
                <w:p w14:paraId="1EA8781C">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旱冬瓜</w:t>
                  </w:r>
                  <w:r>
                    <w:rPr>
                      <w:rFonts w:hint="eastAsia" w:cs="宋体"/>
                      <w:color w:val="auto"/>
                      <w:sz w:val="21"/>
                      <w:szCs w:val="21"/>
                      <w:highlight w:val="none"/>
                      <w:lang w:val="en-US" w:eastAsia="zh-CN" w:bidi="ar"/>
                    </w:rPr>
                    <w:t>群落</w:t>
                  </w:r>
                </w:p>
              </w:tc>
              <w:tc>
                <w:tcPr>
                  <w:tcW w:w="1083" w:type="pct"/>
                  <w:noWrap w:val="0"/>
                  <w:vAlign w:val="top"/>
                </w:tcPr>
                <w:p w14:paraId="692A4E0E">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5E1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916" w:type="pct"/>
                  <w:noWrap w:val="0"/>
                  <w:vAlign w:val="top"/>
                </w:tcPr>
                <w:p w14:paraId="0EDFFCF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Ⅱ.暖性针叶林</w:t>
                  </w:r>
                </w:p>
              </w:tc>
              <w:tc>
                <w:tcPr>
                  <w:tcW w:w="1083" w:type="pct"/>
                  <w:noWrap w:val="0"/>
                  <w:vAlign w:val="top"/>
                </w:tcPr>
                <w:p w14:paraId="2328CCE3">
                  <w:pPr>
                    <w:keepNext w:val="0"/>
                    <w:keepLines w:val="0"/>
                    <w:widowControl/>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0"/>
                      <w:sz w:val="21"/>
                      <w:szCs w:val="21"/>
                      <w:highlight w:val="none"/>
                      <w:lang w:val="en-US" w:eastAsia="zh-CN" w:bidi="ar"/>
                    </w:rPr>
                  </w:pPr>
                </w:p>
              </w:tc>
            </w:tr>
            <w:tr w14:paraId="1BF0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16" w:type="pct"/>
                  <w:noWrap w:val="0"/>
                  <w:vAlign w:val="top"/>
                </w:tcPr>
                <w:p w14:paraId="3D85FD4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（Ⅱ）</w:t>
                  </w:r>
                  <w:r>
                    <w:rPr>
                      <w:rFonts w:hint="eastAsia" w:cs="宋体"/>
                      <w:color w:val="auto"/>
                      <w:sz w:val="21"/>
                      <w:szCs w:val="21"/>
                      <w:highlight w:val="none"/>
                      <w:lang w:bidi="ar"/>
                    </w:rPr>
                    <w:t>暖温性针叶林</w:t>
                  </w:r>
                </w:p>
              </w:tc>
              <w:tc>
                <w:tcPr>
                  <w:tcW w:w="1083" w:type="pct"/>
                  <w:noWrap w:val="0"/>
                  <w:vAlign w:val="top"/>
                </w:tcPr>
                <w:p w14:paraId="44DA51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42D5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0582A054">
                  <w:pPr>
                    <w:keepNext w:val="0"/>
                    <w:keepLines w:val="0"/>
                    <w:widowControl/>
                    <w:suppressLineNumbers w:val="0"/>
                    <w:spacing w:before="0" w:beforeAutospacing="0" w:after="0" w:afterAutospacing="0" w:line="240" w:lineRule="auto"/>
                    <w:ind w:left="0" w:right="0"/>
                    <w:jc w:val="left"/>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二</w:t>
                  </w:r>
                  <w:r>
                    <w:rPr>
                      <w:rFonts w:hint="eastAsia" w:ascii="Times New Roman" w:hAnsi="Times New Roman" w:eastAsia="宋体" w:cs="Times New Roman"/>
                      <w:color w:val="auto"/>
                      <w:kern w:val="0"/>
                      <w:sz w:val="21"/>
                      <w:szCs w:val="21"/>
                      <w:highlight w:val="none"/>
                      <w:lang w:val="en-US" w:eastAsia="zh-CN" w:bidi="ar"/>
                    </w:rPr>
                    <w:t>）</w:t>
                  </w:r>
                  <w:r>
                    <w:rPr>
                      <w:rFonts w:hint="eastAsia" w:cs="宋体"/>
                      <w:color w:val="auto"/>
                      <w:sz w:val="21"/>
                      <w:szCs w:val="21"/>
                      <w:highlight w:val="none"/>
                      <w:lang w:bidi="ar"/>
                    </w:rPr>
                    <w:t>云南松</w:t>
                  </w:r>
                  <w:r>
                    <w:rPr>
                      <w:rFonts w:hint="eastAsia" w:cs="宋体"/>
                      <w:color w:val="auto"/>
                      <w:sz w:val="21"/>
                      <w:szCs w:val="21"/>
                      <w:highlight w:val="none"/>
                      <w:lang w:eastAsia="zh-CN" w:bidi="ar"/>
                    </w:rPr>
                    <w:t>林</w:t>
                  </w:r>
                </w:p>
              </w:tc>
              <w:tc>
                <w:tcPr>
                  <w:tcW w:w="1083" w:type="pct"/>
                  <w:noWrap w:val="0"/>
                  <w:vAlign w:val="top"/>
                </w:tcPr>
                <w:p w14:paraId="0BDDC29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795B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916" w:type="pct"/>
                  <w:noWrap w:val="0"/>
                  <w:vAlign w:val="top"/>
                </w:tcPr>
                <w:p w14:paraId="1ECE9D24">
                  <w:pPr>
                    <w:keepNext w:val="0"/>
                    <w:keepLines w:val="0"/>
                    <w:widowControl/>
                    <w:suppressLineNumbers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2.</w:t>
                  </w:r>
                  <w:r>
                    <w:rPr>
                      <w:rFonts w:hint="eastAsia" w:cs="宋体"/>
                      <w:color w:val="auto"/>
                      <w:sz w:val="21"/>
                      <w:szCs w:val="21"/>
                      <w:highlight w:val="none"/>
                      <w:lang w:bidi="ar"/>
                    </w:rPr>
                    <w:t>云南松</w:t>
                  </w:r>
                  <w:r>
                    <w:rPr>
                      <w:rFonts w:hint="eastAsia" w:cs="宋体"/>
                      <w:color w:val="auto"/>
                      <w:sz w:val="21"/>
                      <w:szCs w:val="21"/>
                      <w:highlight w:val="none"/>
                      <w:lang w:val="en-US" w:eastAsia="zh-CN" w:bidi="ar"/>
                    </w:rPr>
                    <w:t>群落</w:t>
                  </w:r>
                </w:p>
              </w:tc>
              <w:tc>
                <w:tcPr>
                  <w:tcW w:w="1083" w:type="pct"/>
                  <w:noWrap w:val="0"/>
                  <w:vAlign w:val="top"/>
                </w:tcPr>
                <w:p w14:paraId="3F17D753">
                  <w:pPr>
                    <w:keepNext w:val="0"/>
                    <w:keepLines w:val="0"/>
                    <w:widowControl/>
                    <w:suppressLineNumbers w:val="0"/>
                    <w:spacing w:before="0" w:beforeAutospacing="0" w:after="0" w:afterAutospacing="0" w:line="240" w:lineRule="auto"/>
                    <w:ind w:left="0" w:right="0"/>
                    <w:jc w:val="left"/>
                    <w:rPr>
                      <w:rFonts w:hint="eastAsia" w:cs="Times New Roman"/>
                      <w:color w:val="auto"/>
                      <w:kern w:val="0"/>
                      <w:sz w:val="21"/>
                      <w:szCs w:val="21"/>
                      <w:highlight w:val="none"/>
                      <w:lang w:val="en-US" w:eastAsia="zh-CN" w:bidi="ar"/>
                    </w:rPr>
                  </w:pPr>
                </w:p>
              </w:tc>
            </w:tr>
            <w:tr w14:paraId="17F2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DDDCB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hAnsi="宋体" w:cs="宋体"/>
                      <w:color w:val="auto"/>
                      <w:sz w:val="21"/>
                      <w:szCs w:val="21"/>
                      <w:highlight w:val="none"/>
                      <w:lang w:bidi="ar"/>
                    </w:rPr>
                    <w:t>灌丛</w:t>
                  </w:r>
                </w:p>
              </w:tc>
              <w:tc>
                <w:tcPr>
                  <w:tcW w:w="1083" w:type="pct"/>
                  <w:noWrap w:val="0"/>
                  <w:vAlign w:val="top"/>
                </w:tcPr>
                <w:p w14:paraId="692CB7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3F0E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C47006C">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eastAsia" w:ascii="Times New Roman" w:hAnsi="Times New Roman" w:eastAsia="宋体" w:cs="Times New Roman"/>
                      <w:bCs/>
                      <w:color w:val="auto"/>
                      <w:sz w:val="21"/>
                      <w:szCs w:val="21"/>
                      <w:highlight w:val="none"/>
                      <w:vertAlign w:val="baseline"/>
                      <w:lang w:val="en-US" w:eastAsia="zh-CN"/>
                    </w:rPr>
                    <w:t>暖性石灰岩灌丛</w:t>
                  </w:r>
                </w:p>
              </w:tc>
              <w:tc>
                <w:tcPr>
                  <w:tcW w:w="1083" w:type="pct"/>
                  <w:noWrap w:val="0"/>
                  <w:vAlign w:val="top"/>
                </w:tcPr>
                <w:p w14:paraId="2BD8560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733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5C5A2D8">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（三）</w:t>
                  </w:r>
                  <w:r>
                    <w:rPr>
                      <w:rFonts w:hint="eastAsia" w:ascii="Times New Roman" w:hAnsi="Times New Roman" w:eastAsia="宋体" w:cs="Times New Roman"/>
                      <w:color w:val="auto"/>
                      <w:kern w:val="0"/>
                      <w:sz w:val="21"/>
                      <w:szCs w:val="21"/>
                      <w:highlight w:val="none"/>
                      <w:lang w:val="en-US" w:eastAsia="zh-CN" w:bidi="ar"/>
                    </w:rPr>
                    <w:t>云南松-西南栒子灌丛</w:t>
                  </w:r>
                </w:p>
              </w:tc>
              <w:tc>
                <w:tcPr>
                  <w:tcW w:w="1083" w:type="pct"/>
                  <w:noWrap w:val="0"/>
                  <w:vAlign w:val="top"/>
                </w:tcPr>
                <w:p w14:paraId="790BDD3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5722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0DB4A763">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eastAsia" w:cs="宋体"/>
                      <w:color w:val="auto"/>
                      <w:sz w:val="21"/>
                      <w:szCs w:val="21"/>
                      <w:highlight w:val="none"/>
                      <w:lang w:val="en-US" w:eastAsia="zh-CN" w:bidi="ar"/>
                    </w:rPr>
                    <w:t>3.</w:t>
                  </w:r>
                  <w:r>
                    <w:rPr>
                      <w:rFonts w:hint="eastAsia" w:ascii="Times New Roman" w:hAnsi="Times New Roman" w:eastAsia="宋体" w:cs="Times New Roman"/>
                      <w:color w:val="auto"/>
                      <w:kern w:val="0"/>
                      <w:sz w:val="21"/>
                      <w:szCs w:val="21"/>
                      <w:highlight w:val="none"/>
                      <w:lang w:val="en-US" w:eastAsia="zh-CN" w:bidi="ar"/>
                    </w:rPr>
                    <w:t>云南松-西南栒子</w:t>
                  </w:r>
                  <w:r>
                    <w:rPr>
                      <w:rFonts w:hint="eastAsia" w:cs="宋体"/>
                      <w:color w:val="auto"/>
                      <w:sz w:val="21"/>
                      <w:szCs w:val="21"/>
                      <w:highlight w:val="none"/>
                      <w:lang w:val="en-US" w:eastAsia="zh-CN" w:bidi="ar"/>
                    </w:rPr>
                    <w:t>群落</w:t>
                  </w:r>
                </w:p>
              </w:tc>
              <w:tc>
                <w:tcPr>
                  <w:tcW w:w="1083" w:type="pct"/>
                  <w:noWrap w:val="0"/>
                  <w:vAlign w:val="top"/>
                </w:tcPr>
                <w:p w14:paraId="50627AAD">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50DD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2C283A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Ⅵ</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稀树灌木草丛</w:t>
                  </w:r>
                </w:p>
              </w:tc>
              <w:tc>
                <w:tcPr>
                  <w:tcW w:w="1083" w:type="pct"/>
                  <w:noWrap w:val="0"/>
                  <w:vAlign w:val="center"/>
                </w:tcPr>
                <w:p w14:paraId="2655C7B2">
                  <w:pPr>
                    <w:pStyle w:val="131"/>
                    <w:keepNext w:val="0"/>
                    <w:keepLines w:val="0"/>
                    <w:pageBreakBefore w:val="0"/>
                    <w:suppressLineNumbers w:val="0"/>
                    <w:kinsoku/>
                    <w:wordWrap/>
                    <w:overflowPunct/>
                    <w:topLinePunct w:val="0"/>
                    <w:bidi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1AD5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30E76B44">
                  <w:pPr>
                    <w:keepNext w:val="0"/>
                    <w:keepLines w:val="0"/>
                    <w:widowControl/>
                    <w:suppressLineNumbers w:val="0"/>
                    <w:spacing w:before="0" w:beforeAutospacing="0" w:after="0" w:afterAutospacing="0"/>
                    <w:ind w:left="0" w:right="0" w:firstLine="210" w:firstLineChars="1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Ⅵ</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暖温性稀树灌木草丛</w:t>
                  </w:r>
                </w:p>
              </w:tc>
              <w:tc>
                <w:tcPr>
                  <w:tcW w:w="1083" w:type="pct"/>
                  <w:noWrap w:val="0"/>
                  <w:vAlign w:val="center"/>
                </w:tcPr>
                <w:p w14:paraId="4D0A2049">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p>
              </w:tc>
            </w:tr>
            <w:tr w14:paraId="33C6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1566F5CB">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四</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含云南松、毛蕨、白茅稀树灌草丛</w:t>
                  </w:r>
                </w:p>
              </w:tc>
              <w:tc>
                <w:tcPr>
                  <w:tcW w:w="1083" w:type="pct"/>
                  <w:noWrap w:val="0"/>
                  <w:vAlign w:val="center"/>
                </w:tcPr>
                <w:p w14:paraId="09D96F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p>
              </w:tc>
            </w:tr>
            <w:tr w14:paraId="17B6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center"/>
                </w:tcPr>
                <w:p w14:paraId="380FE6D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含云南松、毛蕨、白茅</w:t>
                  </w:r>
                  <w:r>
                    <w:rPr>
                      <w:rFonts w:hint="eastAsia" w:cs="宋体"/>
                      <w:color w:val="auto"/>
                      <w:sz w:val="21"/>
                      <w:szCs w:val="21"/>
                      <w:highlight w:val="none"/>
                      <w:lang w:val="en-US" w:eastAsia="zh-CN" w:bidi="ar"/>
                    </w:rPr>
                    <w:t>群落</w:t>
                  </w:r>
                </w:p>
              </w:tc>
              <w:tc>
                <w:tcPr>
                  <w:tcW w:w="1083" w:type="pct"/>
                  <w:noWrap w:val="0"/>
                  <w:vAlign w:val="center"/>
                </w:tcPr>
                <w:p w14:paraId="7449A0C3">
                  <w:pPr>
                    <w:keepNext w:val="0"/>
                    <w:keepLines w:val="0"/>
                    <w:widowControl/>
                    <w:suppressLineNumbers w:val="0"/>
                    <w:spacing w:before="0" w:beforeAutospacing="0" w:after="0" w:afterAutospacing="0"/>
                    <w:ind w:left="0" w:right="0"/>
                    <w:jc w:val="left"/>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评价区、项目区</w:t>
                  </w:r>
                </w:p>
              </w:tc>
            </w:tr>
            <w:tr w14:paraId="4D78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916" w:type="pct"/>
                  <w:noWrap w:val="0"/>
                  <w:vAlign w:val="top"/>
                </w:tcPr>
                <w:p w14:paraId="2969DB0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二、人工植被</w:t>
                  </w:r>
                </w:p>
              </w:tc>
              <w:tc>
                <w:tcPr>
                  <w:tcW w:w="1083" w:type="pct"/>
                  <w:noWrap w:val="0"/>
                  <w:vAlign w:val="top"/>
                </w:tcPr>
                <w:p w14:paraId="4CF9EAA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bCs/>
                      <w:color w:val="auto"/>
                      <w:kern w:val="0"/>
                      <w:sz w:val="21"/>
                      <w:szCs w:val="21"/>
                      <w:highlight w:val="none"/>
                      <w:lang w:val="en-US" w:eastAsia="zh-CN" w:bidi="ar"/>
                    </w:rPr>
                  </w:pPr>
                </w:p>
              </w:tc>
            </w:tr>
            <w:tr w14:paraId="298E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17215935">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r>
                    <w:rPr>
                      <w:rFonts w:hint="eastAsia" w:cs="Times New Roman"/>
                      <w:color w:val="auto"/>
                      <w:kern w:val="0"/>
                      <w:sz w:val="21"/>
                      <w:szCs w:val="21"/>
                      <w:highlight w:val="none"/>
                      <w:lang w:val="en-US" w:eastAsia="zh-CN" w:bidi="ar"/>
                    </w:rPr>
                    <w:t>人工</w:t>
                  </w:r>
                  <w:r>
                    <w:rPr>
                      <w:rFonts w:hint="default" w:ascii="Times New Roman" w:hAnsi="Times New Roman" w:eastAsia="宋体" w:cs="Times New Roman"/>
                      <w:color w:val="auto"/>
                      <w:kern w:val="0"/>
                      <w:sz w:val="21"/>
                      <w:szCs w:val="21"/>
                      <w:highlight w:val="none"/>
                      <w:lang w:val="en-US" w:eastAsia="zh-CN" w:bidi="ar"/>
                    </w:rPr>
                    <w:t xml:space="preserve">林 </w:t>
                  </w:r>
                </w:p>
              </w:tc>
              <w:tc>
                <w:tcPr>
                  <w:tcW w:w="1083" w:type="pct"/>
                  <w:noWrap w:val="0"/>
                  <w:vAlign w:val="top"/>
                </w:tcPr>
                <w:p w14:paraId="61696173">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72AB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16" w:type="pct"/>
                  <w:noWrap w:val="0"/>
                  <w:vAlign w:val="top"/>
                </w:tcPr>
                <w:p w14:paraId="4EFE4DE7">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）旱地</w:t>
                  </w:r>
                </w:p>
              </w:tc>
              <w:tc>
                <w:tcPr>
                  <w:tcW w:w="1083" w:type="pct"/>
                  <w:noWrap w:val="0"/>
                  <w:vAlign w:val="top"/>
                </w:tcPr>
                <w:p w14:paraId="4F62E358">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评价区</w:t>
                  </w:r>
                </w:p>
              </w:tc>
            </w:tr>
            <w:tr w14:paraId="651A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1407E8A">
                  <w:pPr>
                    <w:pStyle w:val="27"/>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注：I、II、III…植被型；（I）、（II）、（III）…植被亚型；</w:t>
                  </w:r>
                  <w:r>
                    <w:rPr>
                      <w:rFonts w:hint="eastAsia" w:cs="Times New Roman"/>
                      <w:color w:val="auto"/>
                      <w:sz w:val="21"/>
                      <w:szCs w:val="21"/>
                      <w:highlight w:val="none"/>
                      <w:lang w:eastAsia="zh-CN"/>
                    </w:rPr>
                    <w:t>（一）（二）</w:t>
                  </w:r>
                  <w:r>
                    <w:rPr>
                      <w:rFonts w:hint="default" w:ascii="Times New Roman" w:hAnsi="Times New Roman" w:eastAsia="宋体" w:cs="Times New Roman"/>
                      <w:color w:val="auto"/>
                      <w:sz w:val="21"/>
                      <w:szCs w:val="21"/>
                      <w:highlight w:val="none"/>
                    </w:rPr>
                    <w:t>（三）</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群</w:t>
                  </w:r>
                  <w:r>
                    <w:rPr>
                      <w:rFonts w:hint="eastAsia" w:ascii="Times New Roman" w:hAnsi="Times New Roman" w:eastAsia="宋体" w:cs="Times New Roman"/>
                      <w:color w:val="auto"/>
                      <w:sz w:val="21"/>
                      <w:szCs w:val="21"/>
                      <w:highlight w:val="none"/>
                      <w:lang w:eastAsia="zh-CN"/>
                    </w:rPr>
                    <w:t>系</w:t>
                  </w:r>
                  <w:r>
                    <w:rPr>
                      <w:rFonts w:hint="eastAsia" w:cs="Times New Roman"/>
                      <w:color w:val="auto"/>
                      <w:sz w:val="21"/>
                      <w:szCs w:val="21"/>
                      <w:highlight w:val="none"/>
                      <w:lang w:eastAsia="zh-CN"/>
                    </w:rPr>
                    <w:t>，</w:t>
                  </w:r>
                  <w:r>
                    <w:rPr>
                      <w:rFonts w:hint="eastAsia" w:cs="Times New Roman"/>
                      <w:color w:val="auto"/>
                      <w:sz w:val="21"/>
                      <w:szCs w:val="21"/>
                      <w:lang w:eastAsia="zh-CN"/>
                    </w:rPr>
                    <w:t>1.2.3.群</w:t>
                  </w:r>
                  <w:r>
                    <w:rPr>
                      <w:rFonts w:hint="eastAsia" w:cs="Times New Roman"/>
                      <w:color w:val="auto"/>
                      <w:sz w:val="21"/>
                      <w:szCs w:val="21"/>
                      <w:lang w:val="en-US" w:eastAsia="zh-CN"/>
                    </w:rPr>
                    <w:t>落</w:t>
                  </w:r>
                </w:p>
              </w:tc>
            </w:tr>
          </w:tbl>
          <w:p w14:paraId="45E506E2">
            <w:pPr>
              <w:keepNext w:val="0"/>
              <w:keepLines w:val="0"/>
              <w:suppressLineNumbers w:val="0"/>
              <w:spacing w:before="0" w:beforeAutospacing="0" w:after="0" w:afterAutospacing="0" w:line="360" w:lineRule="auto"/>
              <w:ind w:left="0" w:right="0" w:firstLine="480" w:firstLineChars="200"/>
              <w:rPr>
                <w:rFonts w:hint="eastAsia"/>
                <w:color w:val="auto"/>
                <w:kern w:val="0"/>
                <w:sz w:val="24"/>
                <w:highlight w:val="none"/>
              </w:rPr>
            </w:pPr>
            <w:r>
              <w:rPr>
                <w:rFonts w:hint="default" w:eastAsia="宋体"/>
                <w:bCs/>
                <w:color w:val="auto"/>
                <w:kern w:val="0"/>
                <w:sz w:val="24"/>
                <w:szCs w:val="24"/>
                <w:highlight w:val="none"/>
                <w:lang w:eastAsia="zh-CN"/>
              </w:rPr>
              <w:t>（</w:t>
            </w:r>
            <w:r>
              <w:rPr>
                <w:rFonts w:hint="eastAsia" w:eastAsia="宋体"/>
                <w:bCs/>
                <w:color w:val="auto"/>
                <w:kern w:val="0"/>
                <w:sz w:val="24"/>
                <w:szCs w:val="24"/>
                <w:highlight w:val="none"/>
                <w:lang w:val="en-US" w:eastAsia="zh-CN"/>
              </w:rPr>
              <w:t>2</w:t>
            </w:r>
            <w:r>
              <w:rPr>
                <w:rFonts w:hint="default" w:eastAsia="宋体"/>
                <w:bCs/>
                <w:color w:val="auto"/>
                <w:kern w:val="0"/>
                <w:sz w:val="24"/>
                <w:szCs w:val="24"/>
                <w:highlight w:val="none"/>
                <w:lang w:eastAsia="zh-CN"/>
              </w:rPr>
              <w:t>）植被</w:t>
            </w:r>
            <w:r>
              <w:rPr>
                <w:rFonts w:hint="eastAsia" w:eastAsia="宋体"/>
                <w:bCs/>
                <w:color w:val="auto"/>
                <w:kern w:val="0"/>
                <w:sz w:val="24"/>
                <w:szCs w:val="24"/>
                <w:highlight w:val="none"/>
                <w:lang w:eastAsia="zh-CN"/>
              </w:rPr>
              <w:t>面积</w:t>
            </w:r>
          </w:p>
          <w:p w14:paraId="0422E0E6">
            <w:pPr>
              <w:keepNext w:val="0"/>
              <w:keepLines w:val="0"/>
              <w:suppressLineNumbers w:val="0"/>
              <w:spacing w:before="0" w:beforeAutospacing="0" w:after="0" w:afterAutospacing="0" w:line="360" w:lineRule="auto"/>
              <w:ind w:left="0" w:right="0" w:firstLine="480" w:firstLineChars="200"/>
              <w:rPr>
                <w:rFonts w:hint="eastAsia"/>
                <w:color w:val="auto"/>
                <w:kern w:val="0"/>
                <w:sz w:val="24"/>
                <w:szCs w:val="24"/>
                <w:highlight w:val="none"/>
              </w:rPr>
            </w:pPr>
            <w:r>
              <w:rPr>
                <w:rFonts w:hint="eastAsia"/>
                <w:color w:val="auto"/>
                <w:kern w:val="0"/>
                <w:sz w:val="24"/>
                <w:szCs w:val="24"/>
                <w:highlight w:val="none"/>
              </w:rPr>
              <w:t>评价区总面积为</w:t>
            </w:r>
            <w:r>
              <w:rPr>
                <w:rFonts w:hint="eastAsia"/>
                <w:bCs/>
                <w:color w:val="auto"/>
                <w:kern w:val="0"/>
                <w:sz w:val="24"/>
                <w:szCs w:val="24"/>
                <w:highlight w:val="none"/>
                <w:lang w:val="en-US" w:eastAsia="zh-CN"/>
              </w:rPr>
              <w:t>608.98</w:t>
            </w:r>
            <w:r>
              <w:rPr>
                <w:rFonts w:hint="default"/>
                <w:color w:val="auto"/>
                <w:kern w:val="0"/>
                <w:sz w:val="24"/>
                <w:szCs w:val="24"/>
                <w:highlight w:val="none"/>
              </w:rPr>
              <w:t>hm</w:t>
            </w:r>
            <w:r>
              <w:rPr>
                <w:rFonts w:hint="default"/>
                <w:color w:val="auto"/>
                <w:kern w:val="0"/>
                <w:sz w:val="24"/>
                <w:szCs w:val="24"/>
                <w:highlight w:val="none"/>
                <w:vertAlign w:val="superscript"/>
              </w:rPr>
              <w:t>2</w:t>
            </w:r>
            <w:r>
              <w:rPr>
                <w:rFonts w:hint="eastAsia"/>
                <w:color w:val="auto"/>
                <w:kern w:val="0"/>
                <w:sz w:val="24"/>
                <w:szCs w:val="24"/>
                <w:highlight w:val="none"/>
              </w:rPr>
              <w:t>，</w:t>
            </w:r>
            <w:r>
              <w:rPr>
                <w:rFonts w:hint="eastAsia"/>
                <w:bCs/>
                <w:color w:val="auto"/>
                <w:kern w:val="0"/>
                <w:sz w:val="24"/>
                <w:szCs w:val="24"/>
                <w:highlight w:val="none"/>
              </w:rPr>
              <w:t>以自然植被为主，占评价区总面积的</w:t>
            </w:r>
            <w:r>
              <w:rPr>
                <w:rFonts w:hint="eastAsia" w:cs="Times New Roman"/>
                <w:i w:val="0"/>
                <w:iCs w:val="0"/>
                <w:color w:val="auto"/>
                <w:kern w:val="0"/>
                <w:sz w:val="24"/>
                <w:szCs w:val="24"/>
                <w:highlight w:val="none"/>
                <w:u w:val="none"/>
                <w:lang w:val="en-US" w:eastAsia="zh-CN" w:bidi="ar"/>
              </w:rPr>
              <w:t>82.28</w:t>
            </w:r>
            <w:r>
              <w:rPr>
                <w:rFonts w:hint="default"/>
                <w:bCs/>
                <w:color w:val="auto"/>
                <w:kern w:val="0"/>
                <w:sz w:val="24"/>
                <w:szCs w:val="24"/>
                <w:highlight w:val="none"/>
              </w:rPr>
              <w:t>%</w:t>
            </w:r>
            <w:r>
              <w:rPr>
                <w:rFonts w:hint="eastAsia"/>
                <w:bCs/>
                <w:color w:val="auto"/>
                <w:kern w:val="0"/>
                <w:sz w:val="24"/>
                <w:szCs w:val="24"/>
                <w:highlight w:val="none"/>
              </w:rPr>
              <w:t>，其次为</w:t>
            </w:r>
            <w:r>
              <w:rPr>
                <w:rFonts w:hint="eastAsia"/>
                <w:iCs/>
                <w:color w:val="auto"/>
                <w:kern w:val="0"/>
                <w:sz w:val="24"/>
                <w:szCs w:val="24"/>
                <w:highlight w:val="none"/>
              </w:rPr>
              <w:t>人工</w:t>
            </w:r>
            <w:r>
              <w:rPr>
                <w:rFonts w:hint="eastAsia"/>
                <w:bCs/>
                <w:color w:val="auto"/>
                <w:kern w:val="0"/>
                <w:sz w:val="24"/>
                <w:szCs w:val="24"/>
                <w:highlight w:val="none"/>
              </w:rPr>
              <w:t>植被，占评价区总面积的</w:t>
            </w:r>
            <w:r>
              <w:rPr>
                <w:rFonts w:hint="eastAsia" w:cs="Times New Roman"/>
                <w:i w:val="0"/>
                <w:iCs w:val="0"/>
                <w:color w:val="auto"/>
                <w:kern w:val="0"/>
                <w:sz w:val="24"/>
                <w:szCs w:val="24"/>
                <w:highlight w:val="none"/>
                <w:u w:val="none"/>
                <w:lang w:val="en-US" w:eastAsia="zh-CN" w:bidi="ar"/>
              </w:rPr>
              <w:t>16.14</w:t>
            </w:r>
            <w:r>
              <w:rPr>
                <w:rFonts w:hint="default"/>
                <w:bCs/>
                <w:color w:val="auto"/>
                <w:kern w:val="0"/>
                <w:sz w:val="24"/>
                <w:szCs w:val="24"/>
                <w:highlight w:val="none"/>
              </w:rPr>
              <w:t>%</w:t>
            </w:r>
            <w:r>
              <w:rPr>
                <w:rFonts w:hint="eastAsia"/>
                <w:bCs/>
                <w:color w:val="auto"/>
                <w:kern w:val="0"/>
                <w:sz w:val="24"/>
                <w:szCs w:val="24"/>
                <w:highlight w:val="none"/>
              </w:rPr>
              <w:t>，非植被类型占评价区总面积的</w:t>
            </w:r>
            <w:r>
              <w:rPr>
                <w:rFonts w:hint="eastAsia" w:cs="Times New Roman"/>
                <w:i w:val="0"/>
                <w:iCs w:val="0"/>
                <w:color w:val="auto"/>
                <w:kern w:val="0"/>
                <w:sz w:val="24"/>
                <w:szCs w:val="24"/>
                <w:highlight w:val="none"/>
                <w:u w:val="none"/>
                <w:lang w:val="en-US" w:eastAsia="zh-CN" w:bidi="ar"/>
              </w:rPr>
              <w:t>1.58</w:t>
            </w:r>
            <w:r>
              <w:rPr>
                <w:rFonts w:hint="default"/>
                <w:bCs/>
                <w:color w:val="auto"/>
                <w:kern w:val="0"/>
                <w:sz w:val="24"/>
                <w:szCs w:val="24"/>
                <w:highlight w:val="none"/>
              </w:rPr>
              <w:t>%</w:t>
            </w:r>
            <w:r>
              <w:rPr>
                <w:rFonts w:hint="eastAsia"/>
                <w:bCs/>
                <w:color w:val="auto"/>
                <w:kern w:val="0"/>
                <w:sz w:val="24"/>
                <w:szCs w:val="24"/>
                <w:highlight w:val="none"/>
              </w:rPr>
              <w:t>，</w:t>
            </w:r>
            <w:r>
              <w:rPr>
                <w:rFonts w:hint="eastAsia"/>
                <w:color w:val="auto"/>
                <w:kern w:val="0"/>
                <w:sz w:val="24"/>
                <w:szCs w:val="24"/>
                <w:highlight w:val="none"/>
              </w:rPr>
              <w:t>各</w:t>
            </w:r>
            <w:r>
              <w:rPr>
                <w:rFonts w:hint="eastAsia"/>
                <w:iCs/>
                <w:color w:val="auto"/>
                <w:kern w:val="0"/>
                <w:sz w:val="24"/>
                <w:szCs w:val="24"/>
                <w:highlight w:val="none"/>
              </w:rPr>
              <w:t>植被</w:t>
            </w:r>
            <w:r>
              <w:rPr>
                <w:rFonts w:hint="eastAsia"/>
                <w:color w:val="auto"/>
                <w:kern w:val="0"/>
                <w:sz w:val="24"/>
                <w:szCs w:val="24"/>
                <w:highlight w:val="none"/>
              </w:rPr>
              <w:t>类型在评价区所占比例见表</w:t>
            </w:r>
            <w:r>
              <w:rPr>
                <w:rFonts w:hint="default"/>
                <w:bCs/>
                <w:color w:val="auto"/>
                <w:kern w:val="0"/>
                <w:sz w:val="24"/>
                <w:szCs w:val="24"/>
                <w:highlight w:val="none"/>
              </w:rPr>
              <w:t>3-</w:t>
            </w:r>
            <w:r>
              <w:rPr>
                <w:rFonts w:hint="eastAsia"/>
                <w:bCs/>
                <w:color w:val="auto"/>
                <w:kern w:val="0"/>
                <w:sz w:val="24"/>
                <w:szCs w:val="24"/>
                <w:highlight w:val="none"/>
                <w:lang w:val="en-US" w:eastAsia="zh-CN"/>
              </w:rPr>
              <w:t>4</w:t>
            </w:r>
            <w:r>
              <w:rPr>
                <w:rFonts w:hint="eastAsia"/>
                <w:color w:val="auto"/>
                <w:kern w:val="0"/>
                <w:sz w:val="24"/>
                <w:szCs w:val="24"/>
                <w:highlight w:val="none"/>
              </w:rPr>
              <w:t>。由表</w:t>
            </w:r>
            <w:r>
              <w:rPr>
                <w:rFonts w:hint="default"/>
                <w:bCs/>
                <w:color w:val="auto"/>
                <w:kern w:val="0"/>
                <w:sz w:val="24"/>
                <w:szCs w:val="24"/>
                <w:highlight w:val="none"/>
              </w:rPr>
              <w:t>3-</w:t>
            </w:r>
            <w:r>
              <w:rPr>
                <w:rFonts w:hint="eastAsia"/>
                <w:bCs/>
                <w:color w:val="auto"/>
                <w:kern w:val="0"/>
                <w:sz w:val="24"/>
                <w:szCs w:val="24"/>
                <w:highlight w:val="none"/>
                <w:lang w:val="en-US" w:eastAsia="zh-CN"/>
              </w:rPr>
              <w:t>4</w:t>
            </w:r>
            <w:r>
              <w:rPr>
                <w:rFonts w:hint="eastAsia"/>
                <w:color w:val="auto"/>
                <w:kern w:val="0"/>
                <w:sz w:val="24"/>
                <w:szCs w:val="24"/>
                <w:highlight w:val="none"/>
              </w:rPr>
              <w:t>可知，评价区以</w:t>
            </w:r>
            <w:r>
              <w:rPr>
                <w:rFonts w:hint="eastAsia" w:ascii="宋体" w:hAnsi="宋体" w:eastAsia="宋体" w:cs="宋体"/>
                <w:i w:val="0"/>
                <w:iCs w:val="0"/>
                <w:color w:val="auto"/>
                <w:kern w:val="0"/>
                <w:sz w:val="24"/>
                <w:szCs w:val="24"/>
                <w:highlight w:val="none"/>
                <w:u w:val="none"/>
                <w:lang w:val="en-US" w:eastAsia="zh-CN" w:bidi="ar"/>
              </w:rPr>
              <w:t>暖性针叶林</w:t>
            </w:r>
            <w:r>
              <w:rPr>
                <w:rFonts w:hint="eastAsia"/>
                <w:color w:val="auto"/>
                <w:kern w:val="0"/>
                <w:sz w:val="24"/>
                <w:szCs w:val="24"/>
                <w:highlight w:val="none"/>
              </w:rPr>
              <w:t>分布最广，占评价区总面积的</w:t>
            </w:r>
            <w:r>
              <w:rPr>
                <w:rFonts w:hint="eastAsia"/>
                <w:color w:val="auto"/>
                <w:kern w:val="0"/>
                <w:sz w:val="24"/>
                <w:szCs w:val="24"/>
                <w:highlight w:val="none"/>
                <w:lang w:val="en-US" w:eastAsia="zh-CN"/>
              </w:rPr>
              <w:t>43.62</w:t>
            </w:r>
            <w:r>
              <w:rPr>
                <w:rFonts w:hint="default"/>
                <w:color w:val="auto"/>
                <w:kern w:val="0"/>
                <w:sz w:val="24"/>
                <w:szCs w:val="24"/>
                <w:highlight w:val="none"/>
              </w:rPr>
              <w:t>%</w:t>
            </w:r>
            <w:r>
              <w:rPr>
                <w:rFonts w:hint="eastAsia"/>
                <w:color w:val="auto"/>
                <w:kern w:val="0"/>
                <w:sz w:val="24"/>
                <w:szCs w:val="24"/>
                <w:highlight w:val="none"/>
              </w:rPr>
              <w:t>；其次为</w:t>
            </w:r>
            <w:r>
              <w:rPr>
                <w:rFonts w:hint="eastAsia"/>
                <w:color w:val="auto"/>
                <w:kern w:val="0"/>
                <w:sz w:val="24"/>
                <w:szCs w:val="24"/>
                <w:highlight w:val="none"/>
                <w:lang w:val="en-US" w:eastAsia="zh-CN"/>
              </w:rPr>
              <w:t>暖性石灰岩灌丛</w:t>
            </w:r>
            <w:r>
              <w:rPr>
                <w:rFonts w:hint="eastAsia"/>
                <w:color w:val="auto"/>
                <w:kern w:val="0"/>
                <w:sz w:val="24"/>
                <w:szCs w:val="24"/>
                <w:highlight w:val="none"/>
              </w:rPr>
              <w:t>，占评价区总面积的</w:t>
            </w:r>
            <w:r>
              <w:rPr>
                <w:rFonts w:hint="eastAsia" w:cs="Times New Roman"/>
                <w:i w:val="0"/>
                <w:iCs w:val="0"/>
                <w:color w:val="auto"/>
                <w:kern w:val="0"/>
                <w:sz w:val="24"/>
                <w:szCs w:val="24"/>
                <w:highlight w:val="none"/>
                <w:u w:val="none"/>
                <w:lang w:val="en-US" w:eastAsia="zh-CN" w:bidi="ar"/>
              </w:rPr>
              <w:t>22.41</w:t>
            </w:r>
            <w:r>
              <w:rPr>
                <w:rFonts w:hint="default"/>
                <w:color w:val="auto"/>
                <w:kern w:val="0"/>
                <w:sz w:val="24"/>
                <w:szCs w:val="24"/>
                <w:highlight w:val="none"/>
              </w:rPr>
              <w:t>%</w:t>
            </w:r>
            <w:r>
              <w:rPr>
                <w:rFonts w:hint="eastAsia"/>
                <w:color w:val="auto"/>
                <w:kern w:val="0"/>
                <w:sz w:val="24"/>
                <w:szCs w:val="24"/>
                <w:highlight w:val="none"/>
              </w:rPr>
              <w:t>；第三为</w:t>
            </w:r>
            <w:r>
              <w:rPr>
                <w:rFonts w:hint="eastAsia" w:ascii="宋体" w:hAnsi="宋体" w:eastAsia="宋体" w:cs="宋体"/>
                <w:i w:val="0"/>
                <w:iCs w:val="0"/>
                <w:color w:val="auto"/>
                <w:kern w:val="0"/>
                <w:sz w:val="24"/>
                <w:szCs w:val="24"/>
                <w:highlight w:val="none"/>
                <w:u w:val="none"/>
                <w:lang w:val="en-US" w:eastAsia="zh-CN" w:bidi="ar"/>
              </w:rPr>
              <w:t>稀树灌木草丛</w:t>
            </w:r>
            <w:r>
              <w:rPr>
                <w:rFonts w:hint="eastAsia"/>
                <w:color w:val="auto"/>
                <w:kern w:val="0"/>
                <w:sz w:val="24"/>
                <w:szCs w:val="24"/>
                <w:highlight w:val="none"/>
              </w:rPr>
              <w:t>，占评价区总面积的</w:t>
            </w:r>
            <w:r>
              <w:rPr>
                <w:rFonts w:hint="default" w:ascii="Times New Roman" w:hAnsi="Times New Roman" w:eastAsia="宋体" w:cs="Times New Roman"/>
                <w:i w:val="0"/>
                <w:iCs w:val="0"/>
                <w:color w:val="auto"/>
                <w:kern w:val="0"/>
                <w:sz w:val="24"/>
                <w:szCs w:val="24"/>
                <w:highlight w:val="none"/>
                <w:u w:val="none"/>
                <w:lang w:val="en-US" w:eastAsia="zh-CN" w:bidi="ar"/>
              </w:rPr>
              <w:t>16.</w:t>
            </w:r>
            <w:r>
              <w:rPr>
                <w:rFonts w:hint="eastAsia" w:cs="Times New Roman"/>
                <w:i w:val="0"/>
                <w:iCs w:val="0"/>
                <w:color w:val="auto"/>
                <w:kern w:val="0"/>
                <w:sz w:val="24"/>
                <w:szCs w:val="24"/>
                <w:highlight w:val="none"/>
                <w:u w:val="none"/>
                <w:lang w:val="en-US" w:eastAsia="zh-CN" w:bidi="ar"/>
              </w:rPr>
              <w:t>02</w:t>
            </w:r>
            <w:r>
              <w:rPr>
                <w:rFonts w:hint="default"/>
                <w:color w:val="auto"/>
                <w:kern w:val="0"/>
                <w:sz w:val="24"/>
                <w:szCs w:val="24"/>
                <w:highlight w:val="none"/>
              </w:rPr>
              <w:t>%</w:t>
            </w:r>
            <w:r>
              <w:rPr>
                <w:rFonts w:hint="eastAsia"/>
                <w:color w:val="auto"/>
                <w:kern w:val="0"/>
                <w:sz w:val="24"/>
                <w:szCs w:val="24"/>
                <w:highlight w:val="none"/>
              </w:rPr>
              <w:t>；旱地面积为</w:t>
            </w:r>
            <w:r>
              <w:rPr>
                <w:rFonts w:hint="eastAsia" w:cs="Times New Roman"/>
                <w:i w:val="0"/>
                <w:iCs w:val="0"/>
                <w:color w:val="auto"/>
                <w:kern w:val="0"/>
                <w:sz w:val="24"/>
                <w:szCs w:val="24"/>
                <w:highlight w:val="none"/>
                <w:u w:val="none"/>
                <w:lang w:val="en-US" w:eastAsia="zh-CN" w:bidi="ar"/>
              </w:rPr>
              <w:t>95.39</w:t>
            </w:r>
            <w:r>
              <w:rPr>
                <w:rFonts w:hint="default"/>
                <w:color w:val="auto"/>
                <w:kern w:val="0"/>
                <w:sz w:val="24"/>
                <w:szCs w:val="24"/>
                <w:highlight w:val="none"/>
              </w:rPr>
              <w:t>hm</w:t>
            </w:r>
            <w:r>
              <w:rPr>
                <w:rFonts w:hint="default"/>
                <w:color w:val="auto"/>
                <w:kern w:val="0"/>
                <w:sz w:val="24"/>
                <w:szCs w:val="24"/>
                <w:highlight w:val="none"/>
                <w:vertAlign w:val="superscript"/>
              </w:rPr>
              <w:t>2</w:t>
            </w:r>
            <w:r>
              <w:rPr>
                <w:rFonts w:hint="eastAsia"/>
                <w:color w:val="auto"/>
                <w:kern w:val="0"/>
                <w:sz w:val="24"/>
                <w:szCs w:val="24"/>
                <w:highlight w:val="none"/>
              </w:rPr>
              <w:t>，占评价区总面积的</w:t>
            </w:r>
            <w:r>
              <w:rPr>
                <w:rFonts w:hint="eastAsia" w:cs="Times New Roman"/>
                <w:i w:val="0"/>
                <w:iCs w:val="0"/>
                <w:color w:val="auto"/>
                <w:kern w:val="0"/>
                <w:sz w:val="24"/>
                <w:szCs w:val="24"/>
                <w:highlight w:val="none"/>
                <w:u w:val="none"/>
                <w:lang w:val="en-US" w:eastAsia="zh-CN" w:bidi="ar"/>
              </w:rPr>
              <w:t>15.66</w:t>
            </w:r>
            <w:r>
              <w:rPr>
                <w:rFonts w:hint="default"/>
                <w:color w:val="auto"/>
                <w:kern w:val="0"/>
                <w:sz w:val="24"/>
                <w:szCs w:val="24"/>
                <w:highlight w:val="none"/>
              </w:rPr>
              <w:t>%</w:t>
            </w:r>
            <w:r>
              <w:rPr>
                <w:rFonts w:hint="eastAsia"/>
                <w:color w:val="auto"/>
                <w:kern w:val="0"/>
                <w:sz w:val="24"/>
                <w:szCs w:val="24"/>
                <w:highlight w:val="none"/>
                <w:lang w:eastAsia="zh-CN"/>
              </w:rPr>
              <w:t>，</w:t>
            </w:r>
            <w:r>
              <w:rPr>
                <w:rFonts w:hint="eastAsia"/>
                <w:color w:val="auto"/>
                <w:kern w:val="0"/>
                <w:sz w:val="24"/>
                <w:szCs w:val="24"/>
                <w:highlight w:val="none"/>
              </w:rPr>
              <w:t>其它类型较少，所占比例均在2%以下</w:t>
            </w:r>
            <w:r>
              <w:rPr>
                <w:rFonts w:hint="eastAsia" w:hAnsi="宋体"/>
                <w:color w:val="auto"/>
                <w:kern w:val="0"/>
                <w:sz w:val="24"/>
                <w:szCs w:val="24"/>
                <w:highlight w:val="none"/>
              </w:rPr>
              <w:t>。</w:t>
            </w:r>
            <w:r>
              <w:rPr>
                <w:rFonts w:hint="eastAsia"/>
                <w:bCs/>
                <w:color w:val="auto"/>
                <w:kern w:val="0"/>
                <w:sz w:val="24"/>
                <w:szCs w:val="24"/>
                <w:highlight w:val="none"/>
              </w:rPr>
              <w:t>评价区植被现状图</w:t>
            </w:r>
            <w:r>
              <w:rPr>
                <w:rFonts w:hint="eastAsia"/>
                <w:bCs/>
                <w:color w:val="auto"/>
                <w:kern w:val="0"/>
                <w:sz w:val="24"/>
                <w:szCs w:val="24"/>
                <w:highlight w:val="none"/>
                <w:lang w:val="en-US" w:eastAsia="zh-CN"/>
              </w:rPr>
              <w:t>详见附图10</w:t>
            </w:r>
            <w:r>
              <w:rPr>
                <w:rFonts w:hint="eastAsia"/>
                <w:bCs/>
                <w:color w:val="auto"/>
                <w:kern w:val="0"/>
                <w:sz w:val="24"/>
                <w:szCs w:val="24"/>
                <w:highlight w:val="none"/>
              </w:rPr>
              <w:t>。</w:t>
            </w:r>
          </w:p>
          <w:p w14:paraId="3E9C21EF">
            <w:pPr>
              <w:keepNext w:val="0"/>
              <w:keepLines w:val="0"/>
              <w:suppressLineNumbers w:val="0"/>
              <w:spacing w:before="0" w:beforeAutospacing="0" w:after="0" w:afterAutospacing="0" w:line="240" w:lineRule="auto"/>
              <w:ind w:left="0" w:right="0"/>
              <w:jc w:val="center"/>
              <w:rPr>
                <w:rFonts w:hint="eastAsia"/>
                <w:b/>
                <w:color w:val="auto"/>
                <w:sz w:val="21"/>
                <w:szCs w:val="21"/>
                <w:highlight w:val="none"/>
              </w:rPr>
            </w:pPr>
            <w:r>
              <w:rPr>
                <w:rFonts w:hint="default"/>
                <w:b/>
                <w:color w:val="auto"/>
                <w:sz w:val="21"/>
                <w:szCs w:val="21"/>
                <w:highlight w:val="none"/>
              </w:rPr>
              <w:t>表3-</w:t>
            </w:r>
            <w:r>
              <w:rPr>
                <w:rFonts w:hint="eastAsia"/>
                <w:b/>
                <w:color w:val="auto"/>
                <w:sz w:val="21"/>
                <w:szCs w:val="21"/>
                <w:highlight w:val="none"/>
                <w:lang w:val="en-US" w:eastAsia="zh-CN"/>
              </w:rPr>
              <w:t>4</w:t>
            </w:r>
            <w:r>
              <w:rPr>
                <w:rFonts w:hint="default"/>
                <w:b/>
                <w:color w:val="auto"/>
                <w:sz w:val="21"/>
                <w:szCs w:val="21"/>
                <w:highlight w:val="none"/>
              </w:rPr>
              <w:t xml:space="preserve"> </w:t>
            </w:r>
            <w:r>
              <w:rPr>
                <w:rFonts w:hint="eastAsia"/>
                <w:b/>
                <w:color w:val="auto"/>
                <w:sz w:val="21"/>
                <w:szCs w:val="21"/>
                <w:highlight w:val="none"/>
                <w:lang w:val="en-US" w:eastAsia="zh-CN"/>
              </w:rPr>
              <w:t xml:space="preserve"> </w:t>
            </w:r>
            <w:r>
              <w:rPr>
                <w:rFonts w:hint="default"/>
                <w:b/>
                <w:color w:val="auto"/>
                <w:sz w:val="21"/>
                <w:szCs w:val="21"/>
                <w:highlight w:val="none"/>
              </w:rPr>
              <w:t>评价区植被</w:t>
            </w:r>
            <w:r>
              <w:rPr>
                <w:rFonts w:hint="eastAsia"/>
                <w:b/>
                <w:color w:val="auto"/>
                <w:sz w:val="21"/>
                <w:szCs w:val="21"/>
                <w:highlight w:val="none"/>
              </w:rPr>
              <w:t>面积统计表</w:t>
            </w:r>
          </w:p>
          <w:tbl>
            <w:tblPr>
              <w:tblStyle w:val="4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7"/>
              <w:gridCol w:w="2478"/>
              <w:gridCol w:w="2307"/>
              <w:gridCol w:w="2123"/>
            </w:tblGrid>
            <w:tr w14:paraId="5035E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70F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植被类型</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3A0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面积（公顷）</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FB35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百分比（%）</w:t>
                  </w:r>
                </w:p>
              </w:tc>
            </w:tr>
            <w:tr w14:paraId="20A1B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7" w:type="pct"/>
                  <w:vMerge w:val="restart"/>
                  <w:tcBorders>
                    <w:top w:val="single" w:color="000000" w:sz="4" w:space="0"/>
                    <w:left w:val="single" w:color="000000" w:sz="4" w:space="0"/>
                    <w:right w:val="single" w:color="000000" w:sz="4" w:space="0"/>
                  </w:tcBorders>
                  <w:shd w:val="clear" w:color="auto" w:fill="auto"/>
                  <w:vAlign w:val="center"/>
                </w:tcPr>
                <w:p w14:paraId="14FA866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自然植被</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E891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落叶阔叶林</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C244">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4CB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r>
            <w:tr w14:paraId="29C8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7" w:type="pct"/>
                  <w:vMerge w:val="continue"/>
                  <w:tcBorders>
                    <w:left w:val="single" w:color="000000" w:sz="4" w:space="0"/>
                    <w:right w:val="single" w:color="000000" w:sz="4" w:space="0"/>
                  </w:tcBorders>
                  <w:shd w:val="clear" w:color="auto" w:fill="auto"/>
                  <w:vAlign w:val="center"/>
                </w:tcPr>
                <w:p w14:paraId="0CC8F52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00C0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暖性针叶林</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8D29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265.62</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27C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43.62</w:t>
                  </w:r>
                </w:p>
              </w:tc>
            </w:tr>
            <w:tr w14:paraId="2C04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7" w:type="pct"/>
                  <w:vMerge w:val="continue"/>
                  <w:tcBorders>
                    <w:left w:val="single" w:color="000000" w:sz="4" w:space="0"/>
                    <w:right w:val="single" w:color="000000" w:sz="4" w:space="0"/>
                  </w:tcBorders>
                  <w:shd w:val="clear" w:color="auto" w:fill="auto"/>
                  <w:vAlign w:val="center"/>
                </w:tcPr>
                <w:p w14:paraId="1D395F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D777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灌丛</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221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136.49</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BAD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22.41</w:t>
                  </w:r>
                </w:p>
              </w:tc>
            </w:tr>
            <w:tr w14:paraId="1D3BD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 w:hRule="atLeast"/>
              </w:trPr>
              <w:tc>
                <w:tcPr>
                  <w:tcW w:w="597" w:type="pct"/>
                  <w:vMerge w:val="continue"/>
                  <w:tcBorders>
                    <w:left w:val="single" w:color="000000" w:sz="4" w:space="0"/>
                    <w:right w:val="single" w:color="000000" w:sz="4" w:space="0"/>
                  </w:tcBorders>
                  <w:shd w:val="clear" w:color="auto" w:fill="auto"/>
                  <w:vAlign w:val="center"/>
                </w:tcPr>
                <w:p w14:paraId="1CE7EC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D21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稀树灌木草丛</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AAE8C">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97.58</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3D8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16.02</w:t>
                  </w:r>
                </w:p>
              </w:tc>
            </w:tr>
            <w:tr w14:paraId="11798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597" w:type="pct"/>
                  <w:vMerge w:val="continue"/>
                  <w:tcBorders>
                    <w:left w:val="single" w:color="000000" w:sz="4" w:space="0"/>
                    <w:bottom w:val="single" w:color="000000" w:sz="4" w:space="0"/>
                    <w:right w:val="single" w:color="000000" w:sz="4" w:space="0"/>
                  </w:tcBorders>
                  <w:shd w:val="clear" w:color="auto" w:fill="auto"/>
                  <w:vAlign w:val="center"/>
                </w:tcPr>
                <w:p w14:paraId="15E9324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472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726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501.05</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6D8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82.28</w:t>
                  </w:r>
                </w:p>
              </w:tc>
            </w:tr>
            <w:tr w14:paraId="73678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1B53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人工植被</w:t>
                  </w:r>
                </w:p>
              </w:tc>
              <w:tc>
                <w:tcPr>
                  <w:tcW w:w="1578" w:type="pct"/>
                  <w:tcBorders>
                    <w:top w:val="single" w:color="000000" w:sz="4" w:space="0"/>
                    <w:left w:val="single" w:color="000000" w:sz="4" w:space="0"/>
                    <w:right w:val="single" w:color="000000" w:sz="4" w:space="0"/>
                  </w:tcBorders>
                  <w:shd w:val="clear" w:color="auto" w:fill="auto"/>
                  <w:noWrap/>
                  <w:vAlign w:val="center"/>
                </w:tcPr>
                <w:p w14:paraId="08BB0A5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旱地</w:t>
                  </w:r>
                </w:p>
              </w:tc>
              <w:tc>
                <w:tcPr>
                  <w:tcW w:w="1470" w:type="pct"/>
                  <w:tcBorders>
                    <w:top w:val="single" w:color="000000" w:sz="4" w:space="0"/>
                    <w:left w:val="single" w:color="000000" w:sz="4" w:space="0"/>
                    <w:right w:val="single" w:color="000000" w:sz="4" w:space="0"/>
                  </w:tcBorders>
                  <w:shd w:val="clear" w:color="auto" w:fill="auto"/>
                  <w:noWrap/>
                  <w:vAlign w:val="center"/>
                </w:tcPr>
                <w:p w14:paraId="6C518BC8">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95.39</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B7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15.66</w:t>
                  </w:r>
                </w:p>
              </w:tc>
            </w:tr>
            <w:tr w14:paraId="37CFB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730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0E06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园地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6E0B">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2.88</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447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r>
            <w:tr w14:paraId="6AC10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775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5C2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6F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98.27</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274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16.14</w:t>
                  </w:r>
                </w:p>
              </w:tc>
            </w:tr>
            <w:tr w14:paraId="48F36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pct"/>
                  <w:vMerge w:val="restart"/>
                  <w:tcBorders>
                    <w:top w:val="single" w:color="000000" w:sz="4" w:space="0"/>
                    <w:left w:val="single" w:color="000000" w:sz="4" w:space="0"/>
                    <w:right w:val="single" w:color="000000" w:sz="4" w:space="0"/>
                  </w:tcBorders>
                  <w:shd w:val="clear" w:color="auto" w:fill="auto"/>
                  <w:vAlign w:val="center"/>
                </w:tcPr>
                <w:p w14:paraId="6B3FAE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非植被类型</w:t>
                  </w: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2C0F">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裸土地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75D7">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02D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5B9CC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pct"/>
                  <w:vMerge w:val="continue"/>
                  <w:tcBorders>
                    <w:left w:val="single" w:color="000000" w:sz="4" w:space="0"/>
                    <w:right w:val="single" w:color="000000" w:sz="4" w:space="0"/>
                  </w:tcBorders>
                  <w:shd w:val="clear" w:color="auto" w:fill="auto"/>
                  <w:vAlign w:val="center"/>
                </w:tcPr>
                <w:p w14:paraId="1BDA164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E9A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建设用地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92E8">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A0DF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0.40</w:t>
                  </w:r>
                </w:p>
              </w:tc>
            </w:tr>
            <w:tr w14:paraId="3545A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pct"/>
                  <w:vMerge w:val="continue"/>
                  <w:tcBorders>
                    <w:left w:val="single" w:color="000000" w:sz="4" w:space="0"/>
                    <w:right w:val="single" w:color="000000" w:sz="4" w:space="0"/>
                  </w:tcBorders>
                  <w:shd w:val="clear" w:color="auto" w:fill="auto"/>
                  <w:vAlign w:val="center"/>
                </w:tcPr>
                <w:p w14:paraId="6988576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CB7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设施农用地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D965">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0.27</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A6D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0394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97" w:type="pct"/>
                  <w:vMerge w:val="continue"/>
                  <w:tcBorders>
                    <w:left w:val="single" w:color="000000" w:sz="4" w:space="0"/>
                    <w:right w:val="single" w:color="000000" w:sz="4" w:space="0"/>
                  </w:tcBorders>
                  <w:shd w:val="clear" w:color="auto" w:fill="auto"/>
                  <w:vAlign w:val="center"/>
                </w:tcPr>
                <w:p w14:paraId="2EC84A0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D70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交通运输用地</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CB87">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6.88</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76A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r>
            <w:tr w14:paraId="3A9D8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97" w:type="pct"/>
                  <w:vMerge w:val="continue"/>
                  <w:tcBorders>
                    <w:left w:val="single" w:color="000000" w:sz="4" w:space="0"/>
                    <w:right w:val="single" w:color="000000" w:sz="4" w:space="0"/>
                  </w:tcBorders>
                  <w:shd w:val="clear" w:color="auto" w:fill="auto"/>
                  <w:vAlign w:val="center"/>
                </w:tcPr>
                <w:p w14:paraId="37B9F4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1400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水域</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48C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B10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p>
              </w:tc>
            </w:tr>
            <w:tr w14:paraId="13A9E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7" w:type="pct"/>
                  <w:vMerge w:val="continue"/>
                  <w:tcBorders>
                    <w:left w:val="single" w:color="000000" w:sz="4" w:space="0"/>
                    <w:bottom w:val="single" w:color="000000" w:sz="4" w:space="0"/>
                    <w:right w:val="single" w:color="000000" w:sz="4" w:space="0"/>
                  </w:tcBorders>
                  <w:shd w:val="clear" w:color="auto" w:fill="auto"/>
                  <w:vAlign w:val="center"/>
                </w:tcPr>
                <w:p w14:paraId="279CCF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E3E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C3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9.64</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C11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1.58</w:t>
                  </w:r>
                </w:p>
              </w:tc>
            </w:tr>
            <w:tr w14:paraId="1FD8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886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c>
                <w:tcPr>
                  <w:tcW w:w="1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9E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608.98</w:t>
                  </w:r>
                </w:p>
              </w:tc>
              <w:tc>
                <w:tcPr>
                  <w:tcW w:w="1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8E5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15587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（3）植被类型及主要特征</w:t>
            </w:r>
          </w:p>
          <w:p w14:paraId="4BAC3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自然植被</w:t>
            </w:r>
          </w:p>
          <w:p w14:paraId="3F66B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Ⅰ.落叶阔叶林</w:t>
            </w:r>
          </w:p>
          <w:p w14:paraId="439DEB3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lang w:val="en-US" w:eastAsia="zh-CN"/>
              </w:rPr>
              <w:t>落叶阔叶林，主要分布于云南全省各地的低山丘陵、中山及亚高山的中下部，海拔</w:t>
            </w:r>
            <w:r>
              <w:rPr>
                <w:rFonts w:hint="default" w:ascii="Times New Roman" w:hAnsi="Times New Roman"/>
                <w:bCs/>
                <w:color w:val="auto"/>
                <w:kern w:val="0"/>
                <w:sz w:val="24"/>
                <w:szCs w:val="24"/>
                <w:highlight w:val="none"/>
                <w:lang w:val="en-US" w:eastAsia="zh-CN"/>
              </w:rPr>
              <w:t>1000</w:t>
            </w:r>
            <w:r>
              <w:rPr>
                <w:rFonts w:hint="eastAsia" w:ascii="Times New Roman" w:hAnsi="Times New Roman"/>
                <w:bCs/>
                <w:color w:val="auto"/>
                <w:kern w:val="0"/>
                <w:sz w:val="24"/>
                <w:szCs w:val="24"/>
                <w:highlight w:val="none"/>
                <w:lang w:val="en-US" w:eastAsia="zh-CN"/>
              </w:rPr>
              <w:t>～</w:t>
            </w:r>
            <w:r>
              <w:rPr>
                <w:rFonts w:hint="default" w:ascii="Times New Roman" w:hAnsi="Times New Roman"/>
                <w:bCs/>
                <w:color w:val="auto"/>
                <w:kern w:val="0"/>
                <w:sz w:val="24"/>
                <w:szCs w:val="24"/>
                <w:highlight w:val="none"/>
                <w:lang w:val="en-US" w:eastAsia="zh-CN"/>
              </w:rPr>
              <w:t>3500</w:t>
            </w:r>
            <w:r>
              <w:rPr>
                <w:rFonts w:hint="eastAsia"/>
                <w:bCs/>
                <w:color w:val="auto"/>
                <w:kern w:val="0"/>
                <w:sz w:val="24"/>
                <w:szCs w:val="24"/>
                <w:highlight w:val="none"/>
                <w:lang w:val="en-US" w:eastAsia="zh-CN"/>
              </w:rPr>
              <w:t>m</w:t>
            </w:r>
            <w:r>
              <w:rPr>
                <w:rFonts w:hint="eastAsia" w:ascii="Times New Roman" w:hAnsi="Times New Roman"/>
                <w:bCs/>
                <w:color w:val="auto"/>
                <w:kern w:val="0"/>
                <w:sz w:val="24"/>
                <w:szCs w:val="24"/>
                <w:highlight w:val="none"/>
                <w:lang w:val="en-US" w:eastAsia="zh-CN"/>
              </w:rPr>
              <w:t>。分布幅度广，但面积不大而零星。就其绝大多数类型来说，都是常绿阔叶林经砍伐破坏后而形成的次生植被，不具地带性。这一类森林，全都是冬季落叶的。在群落外貌上，具有十分明显的季相变化。项目区的落叶阔叶林有</w:t>
            </w:r>
            <w:r>
              <w:rPr>
                <w:rFonts w:hint="default" w:ascii="Times New Roman" w:hAnsi="Times New Roman"/>
                <w:bCs/>
                <w:color w:val="auto"/>
                <w:kern w:val="0"/>
                <w:sz w:val="24"/>
                <w:szCs w:val="24"/>
                <w:highlight w:val="none"/>
                <w:lang w:val="en-US" w:eastAsia="zh-CN"/>
              </w:rPr>
              <w:t>旱冬瓜</w:t>
            </w:r>
            <w:r>
              <w:rPr>
                <w:rFonts w:hint="eastAsia" w:ascii="Times New Roman" w:hAnsi="Times New Roman"/>
                <w:bCs/>
                <w:color w:val="auto"/>
                <w:kern w:val="0"/>
                <w:sz w:val="24"/>
                <w:szCs w:val="24"/>
                <w:highlight w:val="none"/>
                <w:lang w:val="en-US" w:eastAsia="zh-CN"/>
              </w:rPr>
              <w:t xml:space="preserve">群落。面积不大，常沿山箐及沟谷呈小块状分布。 </w:t>
            </w:r>
          </w:p>
          <w:p w14:paraId="779EA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（1）旱冬瓜群落</w:t>
            </w:r>
          </w:p>
          <w:p w14:paraId="10441B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旱冬瓜群落林冠较整齐，乔木层，覆盖度75%左右，群落结构简单，可分为乔木层和草本层两层，灌木层几乎不见。</w:t>
            </w:r>
          </w:p>
          <w:p w14:paraId="76B24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乔木层高8-10m，盖度60-70%，以旱冬瓜</w:t>
            </w:r>
            <w:r>
              <w:rPr>
                <w:rFonts w:hint="default" w:ascii="Times New Roman" w:hAnsi="Times New Roman" w:eastAsia="宋体" w:cs="Times New Roman"/>
                <w:i/>
                <w:iCs/>
                <w:color w:val="auto"/>
                <w:sz w:val="24"/>
                <w:szCs w:val="24"/>
                <w:highlight w:val="none"/>
                <w:lang w:val="en-US" w:eastAsia="zh-CN"/>
              </w:rPr>
              <w:t>Alnus nepalensis</w:t>
            </w:r>
            <w:r>
              <w:rPr>
                <w:rFonts w:hint="default" w:ascii="Times New Roman" w:hAnsi="Times New Roman" w:eastAsia="宋体" w:cs="Times New Roman"/>
                <w:color w:val="auto"/>
                <w:sz w:val="24"/>
                <w:szCs w:val="24"/>
                <w:highlight w:val="none"/>
                <w:lang w:val="en-US" w:eastAsia="zh-CN"/>
              </w:rPr>
              <w:t>为单优势种，偶见有云南松</w:t>
            </w:r>
            <w:r>
              <w:rPr>
                <w:rFonts w:hint="default" w:ascii="Times New Roman" w:hAnsi="Times New Roman" w:eastAsia="宋体" w:cs="Times New Roman"/>
                <w:i/>
                <w:iCs/>
                <w:color w:val="auto"/>
                <w:sz w:val="24"/>
                <w:szCs w:val="24"/>
                <w:highlight w:val="none"/>
                <w:lang w:val="en-US" w:eastAsia="zh-CN"/>
              </w:rPr>
              <w:t>Pinus yunnanensis</w:t>
            </w:r>
            <w:r>
              <w:rPr>
                <w:rFonts w:hint="default" w:ascii="Times New Roman" w:hAnsi="Times New Roman" w:eastAsia="宋体" w:cs="Times New Roman"/>
                <w:color w:val="auto"/>
                <w:sz w:val="24"/>
                <w:szCs w:val="24"/>
                <w:highlight w:val="none"/>
                <w:lang w:val="en-US" w:eastAsia="zh-CN"/>
              </w:rPr>
              <w:t>和栓皮栎</w:t>
            </w:r>
            <w:r>
              <w:rPr>
                <w:rFonts w:hint="default" w:ascii="Times New Roman" w:hAnsi="Times New Roman" w:eastAsia="宋体" w:cs="Times New Roman"/>
                <w:i/>
                <w:iCs/>
                <w:color w:val="auto"/>
                <w:sz w:val="24"/>
                <w:szCs w:val="24"/>
                <w:highlight w:val="none"/>
                <w:lang w:val="en-US" w:eastAsia="zh-CN"/>
              </w:rPr>
              <w:t>Quercus variabilis</w:t>
            </w:r>
            <w:r>
              <w:rPr>
                <w:rFonts w:hint="default" w:ascii="Times New Roman" w:hAnsi="Times New Roman" w:eastAsia="宋体" w:cs="Times New Roman"/>
                <w:color w:val="auto"/>
                <w:sz w:val="24"/>
                <w:szCs w:val="24"/>
                <w:highlight w:val="none"/>
                <w:lang w:val="en-US" w:eastAsia="zh-CN"/>
              </w:rPr>
              <w:t>出现。草本层高0.2-0.6m，盖度40-50%，常见的有蕨菜</w:t>
            </w:r>
            <w:r>
              <w:rPr>
                <w:rFonts w:hint="default" w:ascii="Times New Roman" w:hAnsi="Times New Roman" w:eastAsia="宋体" w:cs="Times New Roman"/>
                <w:i/>
                <w:iCs/>
                <w:color w:val="auto"/>
                <w:sz w:val="24"/>
                <w:szCs w:val="24"/>
                <w:highlight w:val="none"/>
                <w:lang w:val="en-US" w:eastAsia="zh-CN"/>
              </w:rPr>
              <w:t>Pteridium aquilinumvar.latiusculum</w:t>
            </w:r>
            <w:r>
              <w:rPr>
                <w:rFonts w:hint="default" w:ascii="Times New Roman" w:hAnsi="Times New Roman" w:eastAsia="宋体" w:cs="Times New Roman"/>
                <w:color w:val="auto"/>
                <w:sz w:val="24"/>
                <w:szCs w:val="24"/>
                <w:highlight w:val="none"/>
                <w:lang w:val="en-US" w:eastAsia="zh-CN"/>
              </w:rPr>
              <w:t>、凤尾蕨</w:t>
            </w:r>
            <w:r>
              <w:rPr>
                <w:rFonts w:hint="default" w:ascii="Times New Roman" w:hAnsi="Times New Roman" w:eastAsia="宋体" w:cs="Times New Roman"/>
                <w:i/>
                <w:iCs/>
                <w:color w:val="auto"/>
                <w:sz w:val="24"/>
                <w:szCs w:val="24"/>
                <w:highlight w:val="none"/>
                <w:lang w:val="en-US" w:eastAsia="zh-CN"/>
              </w:rPr>
              <w:t>Pterisner vosa</w:t>
            </w:r>
            <w:r>
              <w:rPr>
                <w:rFonts w:hint="default" w:ascii="Times New Roman" w:hAnsi="Times New Roman" w:eastAsia="宋体" w:cs="Times New Roman"/>
                <w:color w:val="auto"/>
                <w:sz w:val="24"/>
                <w:szCs w:val="24"/>
                <w:highlight w:val="none"/>
                <w:lang w:val="en-US" w:eastAsia="zh-CN"/>
              </w:rPr>
              <w:t>、云南兔儿风</w:t>
            </w:r>
            <w:r>
              <w:rPr>
                <w:rFonts w:hint="default" w:ascii="Times New Roman" w:hAnsi="Times New Roman" w:eastAsia="宋体" w:cs="Times New Roman"/>
                <w:i/>
                <w:iCs/>
                <w:color w:val="auto"/>
                <w:sz w:val="24"/>
                <w:szCs w:val="24"/>
                <w:highlight w:val="none"/>
                <w:lang w:val="en-US" w:eastAsia="zh-CN"/>
              </w:rPr>
              <w:t>Ainsliaea yunnanensis</w:t>
            </w:r>
            <w:r>
              <w:rPr>
                <w:rFonts w:hint="default" w:ascii="Times New Roman" w:hAnsi="Times New Roman" w:eastAsia="宋体" w:cs="Times New Roman"/>
                <w:color w:val="auto"/>
                <w:sz w:val="24"/>
                <w:szCs w:val="24"/>
                <w:highlight w:val="none"/>
                <w:lang w:val="en-US" w:eastAsia="zh-CN"/>
              </w:rPr>
              <w:t>、野棉花</w:t>
            </w:r>
            <w:r>
              <w:rPr>
                <w:rFonts w:hint="default" w:ascii="Times New Roman" w:hAnsi="Times New Roman" w:eastAsia="宋体" w:cs="Times New Roman"/>
                <w:i/>
                <w:iCs/>
                <w:color w:val="auto"/>
                <w:sz w:val="24"/>
                <w:szCs w:val="24"/>
                <w:highlight w:val="none"/>
                <w:lang w:val="en-US" w:eastAsia="zh-CN"/>
              </w:rPr>
              <w:t>Anemon evitifolia</w:t>
            </w:r>
            <w:r>
              <w:rPr>
                <w:rFonts w:hint="default" w:ascii="Times New Roman" w:hAnsi="Times New Roman" w:eastAsia="宋体" w:cs="Times New Roman"/>
                <w:color w:val="auto"/>
                <w:sz w:val="24"/>
                <w:szCs w:val="24"/>
                <w:highlight w:val="none"/>
                <w:lang w:val="en-US" w:eastAsia="zh-CN"/>
              </w:rPr>
              <w:t>、云南知风草</w:t>
            </w:r>
            <w:r>
              <w:rPr>
                <w:rFonts w:hint="default" w:ascii="Times New Roman" w:hAnsi="Times New Roman" w:eastAsia="宋体" w:cs="Times New Roman"/>
                <w:i/>
                <w:iCs/>
                <w:color w:val="auto"/>
                <w:sz w:val="24"/>
                <w:szCs w:val="24"/>
                <w:highlight w:val="none"/>
                <w:lang w:val="en-US" w:eastAsia="zh-CN"/>
              </w:rPr>
              <w:t>Eragrostis ferruginea</w:t>
            </w:r>
            <w:r>
              <w:rPr>
                <w:rFonts w:hint="default" w:ascii="Times New Roman" w:hAnsi="Times New Roman" w:eastAsia="宋体" w:cs="Times New Roman"/>
                <w:color w:val="auto"/>
                <w:sz w:val="24"/>
                <w:szCs w:val="24"/>
                <w:highlight w:val="none"/>
                <w:lang w:val="en-US" w:eastAsia="zh-CN"/>
              </w:rPr>
              <w:t>、细柄草</w:t>
            </w:r>
            <w:r>
              <w:rPr>
                <w:rFonts w:hint="default" w:ascii="Times New Roman" w:hAnsi="Times New Roman" w:eastAsia="宋体" w:cs="Times New Roman"/>
                <w:i/>
                <w:iCs/>
                <w:color w:val="auto"/>
                <w:sz w:val="24"/>
                <w:szCs w:val="24"/>
                <w:highlight w:val="none"/>
                <w:lang w:val="en-US" w:eastAsia="zh-CN"/>
              </w:rPr>
              <w:t>Capillipedium parviflorum</w:t>
            </w:r>
            <w:r>
              <w:rPr>
                <w:rFonts w:hint="default" w:ascii="Times New Roman" w:hAnsi="Times New Roman" w:eastAsia="宋体" w:cs="Times New Roman"/>
                <w:color w:val="auto"/>
                <w:sz w:val="24"/>
                <w:szCs w:val="24"/>
                <w:highlight w:val="none"/>
                <w:lang w:val="en-US" w:eastAsia="zh-CN"/>
              </w:rPr>
              <w:t>、五月艾</w:t>
            </w:r>
            <w:r>
              <w:rPr>
                <w:rFonts w:hint="default" w:ascii="Times New Roman" w:hAnsi="Times New Roman" w:eastAsia="宋体" w:cs="Times New Roman"/>
                <w:i/>
                <w:iCs/>
                <w:color w:val="auto"/>
                <w:sz w:val="24"/>
                <w:szCs w:val="24"/>
                <w:highlight w:val="none"/>
                <w:lang w:val="en-US" w:eastAsia="zh-CN"/>
              </w:rPr>
              <w:t>Artemisia indica</w:t>
            </w:r>
            <w:r>
              <w:rPr>
                <w:rFonts w:hint="default" w:ascii="Times New Roman" w:hAnsi="Times New Roman" w:eastAsia="宋体" w:cs="Times New Roman"/>
                <w:color w:val="auto"/>
                <w:sz w:val="24"/>
                <w:szCs w:val="24"/>
                <w:highlight w:val="none"/>
                <w:lang w:val="en-US" w:eastAsia="zh-CN"/>
              </w:rPr>
              <w:t>、土牛膝</w:t>
            </w:r>
            <w:r>
              <w:rPr>
                <w:rFonts w:hint="default" w:ascii="Times New Roman" w:hAnsi="Times New Roman" w:eastAsia="宋体" w:cs="Times New Roman"/>
                <w:i/>
                <w:iCs/>
                <w:color w:val="auto"/>
                <w:sz w:val="24"/>
                <w:szCs w:val="24"/>
                <w:highlight w:val="none"/>
                <w:lang w:val="en-US" w:eastAsia="zh-CN"/>
              </w:rPr>
              <w:t>Achyranthes aspera</w:t>
            </w:r>
            <w:r>
              <w:rPr>
                <w:rFonts w:hint="default" w:ascii="Times New Roman" w:hAnsi="Times New Roman" w:eastAsia="宋体" w:cs="Times New Roman"/>
                <w:color w:val="auto"/>
                <w:sz w:val="24"/>
                <w:szCs w:val="24"/>
                <w:highlight w:val="none"/>
                <w:lang w:val="en-US" w:eastAsia="zh-CN"/>
              </w:rPr>
              <w:t>、白莲蒿</w:t>
            </w:r>
            <w:r>
              <w:rPr>
                <w:rFonts w:hint="default" w:ascii="Times New Roman" w:hAnsi="Times New Roman" w:eastAsia="宋体" w:cs="Times New Roman"/>
                <w:i/>
                <w:iCs/>
                <w:color w:val="auto"/>
                <w:sz w:val="24"/>
                <w:szCs w:val="24"/>
                <w:highlight w:val="none"/>
                <w:lang w:val="en-US" w:eastAsia="zh-CN"/>
              </w:rPr>
              <w:t>Artemisia gmelinii</w:t>
            </w:r>
            <w:r>
              <w:rPr>
                <w:rFonts w:hint="default" w:ascii="Times New Roman" w:hAnsi="Times New Roman" w:eastAsia="宋体" w:cs="Times New Roman"/>
                <w:color w:val="auto"/>
                <w:sz w:val="24"/>
                <w:szCs w:val="24"/>
                <w:highlight w:val="none"/>
                <w:lang w:val="en-US" w:eastAsia="zh-CN"/>
              </w:rPr>
              <w:t>等。</w:t>
            </w:r>
          </w:p>
          <w:p w14:paraId="4F018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Ⅱ</w:t>
            </w:r>
            <w:r>
              <w:rPr>
                <w:rFonts w:hint="eastAsia" w:ascii="Times New Roman" w:hAnsi="Times New Roman" w:cs="Times New Roman"/>
                <w:color w:val="auto"/>
                <w:sz w:val="24"/>
                <w:szCs w:val="24"/>
                <w:highlight w:val="none"/>
                <w:lang w:val="en-US" w:eastAsia="zh-CN"/>
              </w:rPr>
              <w:t>.</w:t>
            </w:r>
            <w:r>
              <w:rPr>
                <w:rFonts w:hint="default" w:cs="Times New Roman"/>
                <w:color w:val="auto"/>
                <w:sz w:val="24"/>
                <w:szCs w:val="24"/>
                <w:highlight w:val="none"/>
                <w:lang w:val="en-US" w:eastAsia="zh-CN"/>
              </w:rPr>
              <w:t>暖性针叶林</w:t>
            </w:r>
          </w:p>
          <w:p w14:paraId="2B8C1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①云南松林</w:t>
            </w:r>
          </w:p>
          <w:p w14:paraId="6E1BD53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评价区内的云南松林主要分布于海拔</w:t>
            </w:r>
            <w:r>
              <w:rPr>
                <w:rFonts w:hint="eastAsia"/>
                <w:bCs/>
                <w:color w:val="auto"/>
                <w:kern w:val="0"/>
                <w:sz w:val="24"/>
                <w:szCs w:val="24"/>
                <w:highlight w:val="none"/>
                <w:lang w:val="en-US" w:eastAsia="zh-CN"/>
              </w:rPr>
              <w:t>2010</w:t>
            </w:r>
            <w:r>
              <w:rPr>
                <w:rFonts w:hint="eastAsia"/>
                <w:bCs/>
                <w:color w:val="auto"/>
                <w:kern w:val="0"/>
                <w:sz w:val="24"/>
                <w:szCs w:val="24"/>
                <w:highlight w:val="none"/>
                <w:lang w:eastAsia="zh-CN"/>
              </w:rPr>
              <w:t>～</w:t>
            </w:r>
            <w:r>
              <w:rPr>
                <w:rFonts w:hint="eastAsia"/>
                <w:bCs/>
                <w:color w:val="auto"/>
                <w:kern w:val="0"/>
                <w:sz w:val="24"/>
                <w:szCs w:val="24"/>
                <w:highlight w:val="none"/>
                <w:lang w:val="en-US" w:eastAsia="zh-CN"/>
              </w:rPr>
              <w:t>2400</w:t>
            </w:r>
            <w:r>
              <w:rPr>
                <w:rFonts w:hint="eastAsia" w:ascii="Times New Roman" w:hAnsi="Times New Roman"/>
                <w:bCs/>
                <w:color w:val="auto"/>
                <w:kern w:val="0"/>
                <w:sz w:val="24"/>
                <w:szCs w:val="24"/>
                <w:highlight w:val="none"/>
              </w:rPr>
              <w:t>m，群落高约</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m，盖度约90％，群落可以分为乔木层、灌木层和草本层三层。</w:t>
            </w:r>
          </w:p>
          <w:p w14:paraId="76AF9E3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bCs/>
                <w:color w:val="auto"/>
                <w:kern w:val="0"/>
                <w:sz w:val="24"/>
                <w:szCs w:val="24"/>
                <w:highlight w:val="none"/>
              </w:rPr>
            </w:pPr>
            <w:r>
              <w:rPr>
                <w:rFonts w:hint="eastAsia" w:ascii="Times New Roman" w:hAnsi="Times New Roman"/>
                <w:bCs/>
                <w:color w:val="auto"/>
                <w:kern w:val="0"/>
                <w:sz w:val="24"/>
                <w:szCs w:val="24"/>
                <w:highlight w:val="none"/>
              </w:rPr>
              <w:t>乔木层高</w:t>
            </w:r>
            <w:r>
              <w:rPr>
                <w:rFonts w:hint="eastAsia" w:ascii="Times New Roman" w:hAnsi="Times New Roman"/>
                <w:bCs/>
                <w:color w:val="auto"/>
                <w:kern w:val="0"/>
                <w:sz w:val="24"/>
                <w:szCs w:val="24"/>
                <w:highlight w:val="none"/>
                <w:lang w:val="en-US" w:eastAsia="zh-CN"/>
              </w:rPr>
              <w:t>4</w:t>
            </w:r>
            <w:r>
              <w:rPr>
                <w:rFonts w:hint="eastAsia"/>
                <w:bCs/>
                <w:color w:val="auto"/>
                <w:kern w:val="0"/>
                <w:sz w:val="24"/>
                <w:szCs w:val="24"/>
                <w:highlight w:val="none"/>
                <w:lang w:eastAsia="zh-CN"/>
              </w:rPr>
              <w:t>～</w:t>
            </w:r>
            <w:r>
              <w:rPr>
                <w:rFonts w:hint="eastAsia" w:ascii="Times New Roman" w:hAnsi="Times New Roman"/>
                <w:bCs/>
                <w:color w:val="auto"/>
                <w:kern w:val="0"/>
                <w:sz w:val="24"/>
                <w:szCs w:val="24"/>
                <w:highlight w:val="none"/>
                <w:lang w:val="en-US" w:eastAsia="zh-CN"/>
              </w:rPr>
              <w:t>9</w:t>
            </w:r>
            <w:r>
              <w:rPr>
                <w:rFonts w:hint="eastAsia" w:ascii="Times New Roman" w:hAnsi="Times New Roman"/>
                <w:bCs/>
                <w:color w:val="auto"/>
                <w:kern w:val="0"/>
                <w:sz w:val="24"/>
                <w:szCs w:val="24"/>
                <w:highlight w:val="none"/>
              </w:rPr>
              <w:t>m，层盖度在60%。以云南松</w:t>
            </w:r>
            <w:r>
              <w:rPr>
                <w:rFonts w:hint="eastAsia" w:ascii="Times New Roman" w:hAnsi="Times New Roman"/>
                <w:bCs/>
                <w:i/>
                <w:iCs/>
                <w:color w:val="auto"/>
                <w:kern w:val="0"/>
                <w:sz w:val="24"/>
                <w:szCs w:val="24"/>
                <w:highlight w:val="none"/>
              </w:rPr>
              <w:t>Pinusyunnanensis</w:t>
            </w:r>
            <w:r>
              <w:rPr>
                <w:rFonts w:hint="eastAsia" w:ascii="Times New Roman" w:hAnsi="Times New Roman"/>
                <w:bCs/>
                <w:color w:val="auto"/>
                <w:kern w:val="0"/>
                <w:sz w:val="24"/>
                <w:szCs w:val="24"/>
                <w:highlight w:val="none"/>
              </w:rPr>
              <w:t>为建群种和标志种，</w:t>
            </w:r>
            <w:r>
              <w:rPr>
                <w:rFonts w:hint="eastAsia" w:ascii="Times New Roman" w:hAnsi="宋体" w:eastAsia="宋体"/>
                <w:color w:val="auto"/>
                <w:sz w:val="24"/>
                <w:szCs w:val="24"/>
                <w:highlight w:val="none"/>
                <w:lang w:val="en-US" w:eastAsia="zh-CN"/>
              </w:rPr>
              <w:t>伴生有</w:t>
            </w:r>
            <w:r>
              <w:rPr>
                <w:rFonts w:hint="eastAsia" w:ascii="Times New Roman" w:hAnsi="宋体" w:eastAsia="宋体"/>
                <w:color w:val="auto"/>
                <w:sz w:val="24"/>
                <w:szCs w:val="24"/>
                <w:highlight w:val="none"/>
              </w:rPr>
              <w:t>旱冬瓜</w:t>
            </w:r>
            <w:r>
              <w:rPr>
                <w:rFonts w:hint="eastAsia" w:ascii="Times New Roman" w:hAnsi="宋体" w:eastAsia="宋体"/>
                <w:i/>
                <w:iCs/>
                <w:color w:val="auto"/>
                <w:sz w:val="24"/>
                <w:szCs w:val="24"/>
                <w:highlight w:val="none"/>
              </w:rPr>
              <w:t>Alnus</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nepalensis</w:t>
            </w:r>
            <w:r>
              <w:rPr>
                <w:rFonts w:hint="eastAsia" w:ascii="Times New Roman" w:hAnsi="宋体" w:eastAsia="宋体"/>
                <w:color w:val="auto"/>
                <w:sz w:val="24"/>
                <w:szCs w:val="24"/>
                <w:highlight w:val="none"/>
              </w:rPr>
              <w:t>、</w:t>
            </w:r>
            <w:r>
              <w:rPr>
                <w:rFonts w:hint="eastAsia" w:ascii="Times New Roman" w:hAnsi="宋体" w:eastAsia="宋体" w:cs="Times New Roman"/>
                <w:color w:val="auto"/>
                <w:sz w:val="24"/>
                <w:szCs w:val="24"/>
                <w:highlight w:val="none"/>
                <w:lang w:val="en-US" w:eastAsia="zh-CN"/>
              </w:rPr>
              <w:t>华山松</w:t>
            </w:r>
            <w:r>
              <w:rPr>
                <w:rFonts w:hint="eastAsia" w:ascii="Times New Roman" w:hAnsi="宋体" w:eastAsia="宋体" w:cs="Times New Roman"/>
                <w:i/>
                <w:iCs/>
                <w:color w:val="auto"/>
                <w:sz w:val="24"/>
                <w:szCs w:val="24"/>
                <w:highlight w:val="none"/>
                <w:lang w:val="en-US" w:eastAsia="zh-CN"/>
              </w:rPr>
              <w:t>Pinus armandi、</w:t>
            </w:r>
            <w:r>
              <w:rPr>
                <w:rFonts w:hint="eastAsia" w:ascii="Times New Roman" w:hAnsi="宋体" w:eastAsia="宋体" w:cs="Times New Roman"/>
                <w:color w:val="auto"/>
                <w:sz w:val="24"/>
                <w:szCs w:val="24"/>
                <w:highlight w:val="none"/>
                <w:lang w:val="en-US" w:eastAsia="zh-CN"/>
              </w:rPr>
              <w:t>栓皮栎</w:t>
            </w:r>
            <w:r>
              <w:rPr>
                <w:rFonts w:hint="eastAsia" w:ascii="Times New Roman" w:hAnsi="宋体" w:eastAsia="宋体" w:cs="Times New Roman"/>
                <w:i/>
                <w:iCs/>
                <w:color w:val="auto"/>
                <w:sz w:val="24"/>
                <w:szCs w:val="24"/>
                <w:highlight w:val="none"/>
                <w:lang w:val="en-US" w:eastAsia="zh-CN"/>
              </w:rPr>
              <w:t>Quercus variabilis、</w:t>
            </w:r>
            <w:r>
              <w:rPr>
                <w:rFonts w:hint="eastAsia" w:ascii="Times New Roman" w:hAnsi="宋体" w:eastAsia="宋体" w:cs="Times New Roman"/>
                <w:color w:val="auto"/>
                <w:sz w:val="24"/>
                <w:szCs w:val="24"/>
                <w:highlight w:val="none"/>
                <w:lang w:val="en-US" w:eastAsia="zh-CN"/>
              </w:rPr>
              <w:t>滇青冈</w:t>
            </w:r>
            <w:r>
              <w:rPr>
                <w:rFonts w:hint="eastAsia" w:ascii="Times New Roman" w:hAnsi="宋体" w:eastAsia="宋体" w:cs="Times New Roman"/>
                <w:i/>
                <w:iCs/>
                <w:color w:val="auto"/>
                <w:sz w:val="24"/>
                <w:szCs w:val="24"/>
                <w:highlight w:val="none"/>
                <w:lang w:val="en-US" w:eastAsia="zh-CN"/>
              </w:rPr>
              <w:t>Cyclobalanopsis glaucoides</w:t>
            </w:r>
            <w:r>
              <w:rPr>
                <w:rFonts w:hint="eastAsia" w:ascii="Times New Roman" w:hAnsi="宋体" w:eastAsia="宋体"/>
                <w:color w:val="auto"/>
                <w:sz w:val="24"/>
                <w:szCs w:val="24"/>
                <w:highlight w:val="none"/>
              </w:rPr>
              <w:t>等。</w:t>
            </w:r>
          </w:p>
          <w:p w14:paraId="4C6ABB7A">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olor w:val="auto"/>
                <w:highlight w:val="none"/>
              </w:rPr>
            </w:pPr>
            <w:r>
              <w:rPr>
                <w:rFonts w:hint="eastAsia" w:ascii="Times New Roman" w:hAnsi="宋体" w:eastAsia="宋体"/>
                <w:color w:val="auto"/>
                <w:sz w:val="24"/>
                <w:szCs w:val="24"/>
                <w:highlight w:val="none"/>
              </w:rPr>
              <w:t>灌木层高约0.8-1.5m，层盖度约10%-35%，</w:t>
            </w:r>
            <w:r>
              <w:rPr>
                <w:rFonts w:hint="eastAsia" w:ascii="Times New Roman" w:hAnsi="Times New Roman" w:eastAsia="宋体" w:cs="Times New Roman"/>
                <w:bCs/>
                <w:color w:val="auto"/>
                <w:kern w:val="0"/>
                <w:sz w:val="24"/>
                <w:szCs w:val="24"/>
                <w:highlight w:val="none"/>
              </w:rPr>
              <w:t>灌木层主要树种为云南松的幼树，其他灌木</w:t>
            </w:r>
            <w:r>
              <w:rPr>
                <w:rFonts w:hint="eastAsia" w:ascii="Times New Roman" w:hAnsi="宋体" w:eastAsia="宋体"/>
                <w:color w:val="auto"/>
                <w:sz w:val="24"/>
                <w:szCs w:val="24"/>
                <w:highlight w:val="none"/>
              </w:rPr>
              <w:t>主要有火棘</w:t>
            </w:r>
            <w:r>
              <w:rPr>
                <w:rFonts w:hint="eastAsia" w:ascii="Times New Roman" w:hAnsi="宋体" w:eastAsia="宋体"/>
                <w:i/>
                <w:iCs/>
                <w:color w:val="auto"/>
                <w:sz w:val="24"/>
                <w:szCs w:val="24"/>
                <w:highlight w:val="none"/>
              </w:rPr>
              <w:t>Pyracantha</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fortuneana</w:t>
            </w:r>
            <w:r>
              <w:rPr>
                <w:rFonts w:hint="eastAsia" w:ascii="Times New Roman" w:hAnsi="宋体" w:eastAsia="宋体"/>
                <w:color w:val="auto"/>
                <w:sz w:val="24"/>
                <w:szCs w:val="24"/>
                <w:highlight w:val="none"/>
              </w:rPr>
              <w:t>、野拔子</w:t>
            </w:r>
            <w:r>
              <w:rPr>
                <w:rFonts w:hint="eastAsia" w:ascii="Times New Roman" w:hAnsi="宋体" w:eastAsia="宋体"/>
                <w:i/>
                <w:iCs/>
                <w:color w:val="auto"/>
                <w:sz w:val="24"/>
                <w:szCs w:val="24"/>
                <w:highlight w:val="none"/>
              </w:rPr>
              <w:t>Elsholtzia rugulosa</w:t>
            </w:r>
            <w:r>
              <w:rPr>
                <w:rFonts w:hint="eastAsia" w:ascii="Times New Roman" w:hAnsi="宋体" w:eastAsia="宋体"/>
                <w:color w:val="auto"/>
                <w:sz w:val="24"/>
                <w:szCs w:val="24"/>
                <w:highlight w:val="none"/>
              </w:rPr>
              <w:t>、</w:t>
            </w:r>
            <w:r>
              <w:rPr>
                <w:rFonts w:hint="default"/>
                <w:color w:val="auto"/>
                <w:sz w:val="24"/>
                <w:highlight w:val="none"/>
              </w:rPr>
              <w:t>小铁仔</w:t>
            </w:r>
            <w:r>
              <w:rPr>
                <w:rFonts w:hint="default"/>
                <w:i/>
                <w:iCs/>
                <w:color w:val="auto"/>
                <w:sz w:val="24"/>
                <w:highlight w:val="none"/>
              </w:rPr>
              <w:t>Myrsine africana</w:t>
            </w:r>
            <w:r>
              <w:rPr>
                <w:rFonts w:hint="eastAsia" w:ascii="Times New Roman" w:hAnsi="宋体" w:eastAsia="宋体"/>
                <w:color w:val="auto"/>
                <w:sz w:val="24"/>
                <w:szCs w:val="24"/>
                <w:highlight w:val="none"/>
              </w:rPr>
              <w:t>、</w:t>
            </w:r>
            <w:r>
              <w:rPr>
                <w:rFonts w:hint="default" w:ascii="Times New Roman" w:hAnsi="Times New Roman" w:eastAsia="宋体" w:cs="Times New Roman"/>
                <w:bCs/>
                <w:color w:val="auto"/>
                <w:sz w:val="24"/>
                <w:highlight w:val="none"/>
              </w:rPr>
              <w:t>西南栒子</w:t>
            </w:r>
            <w:r>
              <w:rPr>
                <w:rFonts w:hint="default" w:ascii="Times New Roman" w:hAnsi="Times New Roman" w:eastAsia="宋体" w:cs="Times New Roman"/>
                <w:bCs/>
                <w:i/>
                <w:color w:val="auto"/>
                <w:sz w:val="24"/>
                <w:highlight w:val="none"/>
              </w:rPr>
              <w:t>Cotoneaster franchetii</w:t>
            </w:r>
            <w:r>
              <w:rPr>
                <w:rFonts w:hint="eastAsia" w:ascii="Times New Roman" w:hAnsi="宋体" w:eastAsia="宋体"/>
                <w:color w:val="auto"/>
                <w:sz w:val="24"/>
                <w:szCs w:val="24"/>
                <w:highlight w:val="none"/>
              </w:rPr>
              <w:t>等。</w:t>
            </w:r>
          </w:p>
          <w:p w14:paraId="07D1B0B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bCs/>
                <w:color w:val="auto"/>
                <w:kern w:val="0"/>
                <w:sz w:val="24"/>
                <w:szCs w:val="24"/>
                <w:highlight w:val="none"/>
                <w:lang w:eastAsia="zh-CN"/>
              </w:rPr>
            </w:pPr>
            <w:r>
              <w:rPr>
                <w:rFonts w:hint="eastAsia" w:ascii="Times New Roman" w:hAnsi="Times New Roman"/>
                <w:bCs/>
                <w:color w:val="auto"/>
                <w:kern w:val="0"/>
                <w:sz w:val="24"/>
                <w:szCs w:val="24"/>
                <w:highlight w:val="none"/>
              </w:rPr>
              <w:t>草本层高多在</w:t>
            </w:r>
            <w:r>
              <w:rPr>
                <w:rFonts w:hint="eastAsia" w:ascii="Times New Roman" w:hAnsi="Times New Roman"/>
                <w:bCs/>
                <w:color w:val="auto"/>
                <w:kern w:val="0"/>
                <w:sz w:val="24"/>
                <w:szCs w:val="24"/>
                <w:highlight w:val="none"/>
                <w:lang w:val="en-US" w:eastAsia="zh-CN"/>
              </w:rPr>
              <w:t>0.8</w:t>
            </w:r>
            <w:r>
              <w:rPr>
                <w:rFonts w:hint="eastAsia" w:ascii="Times New Roman" w:hAnsi="Times New Roman"/>
                <w:bCs/>
                <w:color w:val="auto"/>
                <w:kern w:val="0"/>
                <w:sz w:val="24"/>
                <w:szCs w:val="24"/>
                <w:highlight w:val="none"/>
              </w:rPr>
              <w:t>m以下，层盖度约15%，主要物种有毛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宋体" w:eastAsia="宋体" w:cs="Times New Roman"/>
                <w:color w:val="auto"/>
                <w:sz w:val="24"/>
                <w:szCs w:val="24"/>
                <w:highlight w:val="none"/>
                <w:lang w:val="en-US" w:eastAsia="zh-CN"/>
              </w:rPr>
              <w:t>、青蒿</w:t>
            </w:r>
            <w:r>
              <w:rPr>
                <w:rFonts w:hint="eastAsia" w:ascii="Times New Roman" w:hAnsi="宋体" w:eastAsia="宋体" w:cs="Times New Roman"/>
                <w:i/>
                <w:iCs/>
                <w:color w:val="auto"/>
                <w:sz w:val="24"/>
                <w:szCs w:val="24"/>
                <w:highlight w:val="none"/>
                <w:lang w:val="en-US" w:eastAsia="zh-CN"/>
              </w:rPr>
              <w:t>Artemisia carvifolia</w:t>
            </w:r>
            <w:r>
              <w:rPr>
                <w:rFonts w:hint="eastAsia" w:ascii="Times New Roman" w:hAnsi="宋体" w:eastAsia="宋体" w:cs="Times New Roman"/>
                <w:color w:val="auto"/>
                <w:sz w:val="24"/>
                <w:szCs w:val="24"/>
                <w:highlight w:val="none"/>
                <w:lang w:val="en-US" w:eastAsia="zh-CN"/>
              </w:rPr>
              <w:t>、</w:t>
            </w:r>
            <w:r>
              <w:rPr>
                <w:rFonts w:hint="eastAsia"/>
                <w:color w:val="auto"/>
                <w:sz w:val="24"/>
                <w:szCs w:val="24"/>
                <w:highlight w:val="none"/>
                <w:lang w:val="en-US" w:eastAsia="zh-CN"/>
              </w:rPr>
              <w:t>华火绒草</w:t>
            </w:r>
            <w:r>
              <w:rPr>
                <w:rFonts w:hint="eastAsia" w:ascii="Times New Roman" w:hAnsi="Times New Roman" w:eastAsia="Times New Roman" w:cs="Times New Roman"/>
                <w:i/>
                <w:iCs/>
                <w:color w:val="auto"/>
                <w:sz w:val="24"/>
                <w:szCs w:val="24"/>
                <w:highlight w:val="none"/>
              </w:rPr>
              <w:t>Leontopodium sinense</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ascii="Times New Roman" w:hAnsi="Times New Roman"/>
                <w:bCs/>
                <w:color w:val="auto"/>
                <w:kern w:val="0"/>
                <w:sz w:val="24"/>
                <w:szCs w:val="24"/>
                <w:highlight w:val="none"/>
              </w:rPr>
              <w:t>等组成。</w:t>
            </w:r>
          </w:p>
          <w:p w14:paraId="57F56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仿宋" w:hAnsi="仿宋" w:eastAsia="仿宋" w:cs="仿宋"/>
                <w:color w:val="auto"/>
                <w:sz w:val="24"/>
                <w:szCs w:val="24"/>
                <w:highlight w:val="none"/>
                <w:lang w:val="en-US" w:eastAsia="zh-CN"/>
              </w:rPr>
              <w:t>Ⅲ</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灌丛</w:t>
            </w:r>
          </w:p>
          <w:p w14:paraId="6776D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val="en-US" w:eastAsia="zh-CN"/>
              </w:rPr>
            </w:pPr>
            <w:r>
              <w:rPr>
                <w:rFonts w:hint="default" w:ascii="Times New Roman" w:hAnsi="Times New Roman" w:eastAsia="宋体" w:cs="Times New Roman"/>
                <w:color w:val="auto"/>
                <w:sz w:val="24"/>
                <w:szCs w:val="24"/>
                <w:highlight w:val="none"/>
                <w:lang w:val="en-US" w:eastAsia="zh-CN"/>
              </w:rPr>
              <w:t>（Ⅱ）</w:t>
            </w:r>
            <w:r>
              <w:rPr>
                <w:rFonts w:hint="eastAsia" w:ascii="Times New Roman" w:hAnsi="Times New Roman" w:eastAsia="宋体" w:cs="Times New Roman"/>
                <w:color w:val="auto"/>
                <w:sz w:val="24"/>
                <w:szCs w:val="24"/>
                <w:highlight w:val="none"/>
                <w:lang w:val="en-US" w:eastAsia="zh-CN"/>
              </w:rPr>
              <w:t>暖性石灰岩灌丛</w:t>
            </w:r>
          </w:p>
          <w:p w14:paraId="56ED3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云南的植被中，灌丛类型多样且分布较广，有些是长期以来受到人为的限制已使得它长久存在，不易恢复成原来的森林，如干热河谷旱生灌丛。评价区属于典型的滇中高原核心地带，是云南省人类活动较为悠久的地区之一，也是云南喀斯特地貌分布比较广的地区。历史上由于生产而砍伐平地森林，大多数平地上的乔木几乎损失殆尽，而靠近人类活动区附近的石灰岩干旱山坡也常常被破坏，低矮的灌木和禾草往往组成最优势的群落，是滇中高原上较为显著的植被。有不少次生的灌丛属于不稳定的群落，如果减少人类干扰，可以恢复成次生稀树灌木草丛或云南松林，在此次调查中这类植被并未划入到灌丛中，而是列为其他群落的次生类型。在本评价区，海拔跨度比较小，生境较为均质，仅有一种植被亚型分布：暖性石灰岩灌丛。</w:t>
            </w:r>
          </w:p>
          <w:p w14:paraId="3BC8201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sz w:val="24"/>
                <w:szCs w:val="24"/>
                <w:lang w:val="en-US" w:eastAsia="zh-CN"/>
              </w:rPr>
              <w:t>暖性石灰岩灌丛主要分布于亚热带气候下的各低山丘陵，海拔1400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2500m左右，具有一定的次生性。</w:t>
            </w:r>
            <w:r>
              <w:rPr>
                <w:rFonts w:hint="eastAsia" w:cs="Times New Roman"/>
                <w:color w:val="auto"/>
                <w:sz w:val="24"/>
                <w:szCs w:val="24"/>
                <w:lang w:val="en-US" w:eastAsia="zh-CN"/>
              </w:rPr>
              <w:t>常</w:t>
            </w:r>
            <w:r>
              <w:rPr>
                <w:rFonts w:hint="default" w:ascii="Times New Roman" w:hAnsi="Times New Roman" w:eastAsia="宋体" w:cs="Times New Roman"/>
                <w:color w:val="auto"/>
                <w:sz w:val="24"/>
                <w:szCs w:val="24"/>
                <w:lang w:val="en-US" w:eastAsia="zh-CN"/>
              </w:rPr>
              <w:t>分布于滇中、滇东及滇东南各地的石灰岩山地。这些石灰岩山地因为长期受人类活动的持续影响，本植被亚型分布极广泛，群落中含有耐贫瘠的植物种类，是石灰岩地半湿润常绿阔叶林遭破坏后形成的，若进一步地破坏，则向旱生荒草坡石山演变。该群落类型主要</w:t>
            </w:r>
            <w:r>
              <w:rPr>
                <w:rFonts w:hint="eastAsia" w:cs="Times New Roman"/>
                <w:color w:val="auto"/>
                <w:sz w:val="24"/>
                <w:szCs w:val="24"/>
                <w:lang w:val="en-US" w:eastAsia="zh-CN"/>
              </w:rPr>
              <w:t>是</w:t>
            </w:r>
            <w:r>
              <w:rPr>
                <w:rFonts w:hint="default" w:ascii="Times New Roman" w:hAnsi="Times New Roman" w:eastAsia="宋体" w:cs="Times New Roman"/>
                <w:color w:val="auto"/>
                <w:sz w:val="24"/>
                <w:szCs w:val="24"/>
                <w:lang w:val="en-US" w:eastAsia="zh-CN"/>
              </w:rPr>
              <w:t>石灰岩裸露地或低矮丘陵峰岭上，土壤瘠薄，</w:t>
            </w:r>
            <w:r>
              <w:rPr>
                <w:rFonts w:hint="eastAsia" w:cs="Times New Roman"/>
                <w:color w:val="auto"/>
                <w:sz w:val="24"/>
                <w:szCs w:val="24"/>
                <w:lang w:val="en-US" w:eastAsia="zh-CN"/>
              </w:rPr>
              <w:t>水土流失</w:t>
            </w:r>
            <w:r>
              <w:rPr>
                <w:rFonts w:hint="default" w:ascii="Times New Roman" w:hAnsi="Times New Roman" w:eastAsia="宋体" w:cs="Times New Roman"/>
                <w:color w:val="auto"/>
                <w:sz w:val="24"/>
                <w:szCs w:val="24"/>
                <w:lang w:val="en-US" w:eastAsia="zh-CN"/>
              </w:rPr>
              <w:t>严重，生境干燥，调查中发现</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个群系：</w:t>
            </w:r>
            <w:r>
              <w:rPr>
                <w:rFonts w:hint="eastAsia" w:ascii="Times New Roman" w:hAnsi="Times New Roman" w:eastAsia="宋体" w:cs="Times New Roman"/>
                <w:bCs/>
                <w:color w:val="auto"/>
                <w:kern w:val="0"/>
                <w:sz w:val="24"/>
                <w:szCs w:val="24"/>
                <w:highlight w:val="none"/>
                <w:lang w:val="pt-BR"/>
              </w:rPr>
              <w:t>云南松-西南栒子</w:t>
            </w:r>
            <w:r>
              <w:rPr>
                <w:rFonts w:hint="default" w:ascii="Times New Roman" w:hAnsi="Times New Roman" w:eastAsia="宋体" w:cs="Times New Roman"/>
                <w:color w:val="auto"/>
                <w:sz w:val="24"/>
                <w:szCs w:val="24"/>
                <w:lang w:val="en-US" w:eastAsia="zh-CN"/>
              </w:rPr>
              <w:t>灌丛。</w:t>
            </w:r>
          </w:p>
          <w:p w14:paraId="1D3C15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①</w:t>
            </w:r>
            <w:r>
              <w:rPr>
                <w:rFonts w:hint="eastAsia" w:ascii="Times New Roman" w:hAnsi="Times New Roman" w:eastAsia="宋体" w:cs="Times New Roman"/>
                <w:bCs/>
                <w:color w:val="auto"/>
                <w:kern w:val="0"/>
                <w:sz w:val="24"/>
                <w:szCs w:val="24"/>
                <w:highlight w:val="none"/>
                <w:lang w:val="pt-BR"/>
              </w:rPr>
              <w:t>云南松-西南栒子</w:t>
            </w:r>
            <w:r>
              <w:rPr>
                <w:rFonts w:hint="eastAsia" w:ascii="Times New Roman" w:hAnsi="Times New Roman" w:eastAsia="宋体" w:cs="Times New Roman"/>
                <w:color w:val="auto"/>
                <w:sz w:val="24"/>
                <w:szCs w:val="24"/>
                <w:highlight w:val="none"/>
                <w:lang w:val="en-US" w:eastAsia="zh-CN"/>
              </w:rPr>
              <w:t>灌丛</w:t>
            </w:r>
          </w:p>
          <w:p w14:paraId="7A71800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eastAsia="宋体" w:cs="Times New Roman"/>
                <w:bCs/>
                <w:color w:val="auto"/>
                <w:kern w:val="0"/>
                <w:sz w:val="24"/>
                <w:szCs w:val="24"/>
                <w:highlight w:val="none"/>
              </w:rPr>
              <w:t>该群落为评价区常见，群落盖度约70%，</w:t>
            </w:r>
            <w:r>
              <w:rPr>
                <w:rFonts w:hint="default" w:ascii="Times New Roman" w:hAnsi="Times New Roman"/>
                <w:bCs/>
                <w:color w:val="auto"/>
                <w:sz w:val="24"/>
                <w:highlight w:val="none"/>
              </w:rPr>
              <w:t>高度1</w:t>
            </w:r>
            <w:r>
              <w:rPr>
                <w:rFonts w:hint="eastAsia"/>
                <w:bCs/>
                <w:color w:val="auto"/>
                <w:sz w:val="24"/>
                <w:highlight w:val="none"/>
                <w:lang w:eastAsia="zh-CN"/>
              </w:rPr>
              <w:t>～</w:t>
            </w:r>
            <w:r>
              <w:rPr>
                <w:rFonts w:hint="default" w:ascii="Times New Roman" w:hAnsi="Times New Roman"/>
                <w:bCs/>
                <w:color w:val="auto"/>
                <w:sz w:val="24"/>
                <w:highlight w:val="none"/>
              </w:rPr>
              <w:t>3m</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可分为灌木层和草本层。灌木层盖度约55%，</w:t>
            </w:r>
            <w:r>
              <w:rPr>
                <w:rFonts w:hint="eastAsia" w:cs="Times New Roman"/>
                <w:bCs/>
                <w:color w:val="auto"/>
                <w:kern w:val="0"/>
                <w:sz w:val="24"/>
                <w:szCs w:val="24"/>
                <w:highlight w:val="none"/>
                <w:lang w:val="en-US" w:eastAsia="zh-CN"/>
              </w:rPr>
              <w:t>常见物种</w:t>
            </w:r>
            <w:r>
              <w:rPr>
                <w:rFonts w:hint="eastAsia" w:ascii="Times New Roman" w:hAnsi="Times New Roman" w:eastAsia="宋体" w:cs="Times New Roman"/>
                <w:bCs/>
                <w:color w:val="auto"/>
                <w:kern w:val="0"/>
                <w:sz w:val="24"/>
                <w:szCs w:val="24"/>
                <w:highlight w:val="none"/>
              </w:rPr>
              <w:t>以</w:t>
            </w:r>
            <w:r>
              <w:rPr>
                <w:rFonts w:hint="eastAsia" w:ascii="Times New Roman" w:hAnsi="Times New Roman"/>
                <w:bCs/>
                <w:color w:val="auto"/>
                <w:kern w:val="0"/>
                <w:sz w:val="24"/>
                <w:szCs w:val="24"/>
                <w:highlight w:val="none"/>
              </w:rPr>
              <w:t>云南松</w:t>
            </w:r>
            <w:r>
              <w:rPr>
                <w:rFonts w:hint="eastAsia"/>
                <w:bCs/>
                <w:color w:val="auto"/>
                <w:kern w:val="0"/>
                <w:sz w:val="24"/>
                <w:szCs w:val="24"/>
                <w:highlight w:val="none"/>
                <w:lang w:eastAsia="zh-CN"/>
              </w:rPr>
              <w:t>幼树</w:t>
            </w:r>
            <w:r>
              <w:rPr>
                <w:rFonts w:hint="eastAsia" w:ascii="Times New Roman" w:hAnsi="Times New Roman"/>
                <w:bCs/>
                <w:i/>
                <w:iCs/>
                <w:color w:val="auto"/>
                <w:kern w:val="0"/>
                <w:sz w:val="24"/>
                <w:szCs w:val="24"/>
                <w:highlight w:val="none"/>
              </w:rPr>
              <w:t>Pinusyunnanensis</w:t>
            </w:r>
            <w:r>
              <w:rPr>
                <w:rFonts w:hint="eastAsia" w:ascii="Times New Roman" w:hAnsi="Times New Roman" w:eastAsia="宋体" w:cs="Times New Roman"/>
                <w:bCs/>
                <w:i/>
                <w:iCs/>
                <w:color w:val="auto"/>
                <w:kern w:val="0"/>
                <w:sz w:val="24"/>
                <w:szCs w:val="24"/>
                <w:highlight w:val="none"/>
                <w:lang w:eastAsia="zh-CN"/>
              </w:rPr>
              <w:t>、</w:t>
            </w:r>
            <w:r>
              <w:rPr>
                <w:rFonts w:hint="default" w:ascii="Times New Roman" w:hAnsi="Times New Roman" w:eastAsia="宋体" w:cs="Times New Roman"/>
                <w:bCs/>
                <w:color w:val="auto"/>
                <w:sz w:val="24"/>
                <w:highlight w:val="none"/>
              </w:rPr>
              <w:t>西南栒子</w:t>
            </w:r>
            <w:r>
              <w:rPr>
                <w:rFonts w:hint="default" w:ascii="Times New Roman" w:hAnsi="Times New Roman" w:eastAsia="宋体" w:cs="Times New Roman"/>
                <w:bCs/>
                <w:i/>
                <w:color w:val="auto"/>
                <w:sz w:val="24"/>
                <w:highlight w:val="none"/>
              </w:rPr>
              <w:t>Cotoneaster franchetii</w:t>
            </w:r>
            <w:r>
              <w:rPr>
                <w:rFonts w:hint="eastAsia" w:ascii="Times New Roman" w:hAnsi="Times New Roman" w:eastAsia="宋体" w:cs="Times New Roman"/>
                <w:bCs/>
                <w:color w:val="auto"/>
                <w:kern w:val="0"/>
                <w:sz w:val="24"/>
                <w:szCs w:val="24"/>
                <w:highlight w:val="none"/>
              </w:rPr>
              <w:t>为优势</w:t>
            </w:r>
            <w:r>
              <w:rPr>
                <w:rFonts w:hint="eastAsia" w:ascii="Times New Roman" w:hAnsi="Times New Roman" w:eastAsia="宋体" w:cs="Times New Roman"/>
                <w:bCs/>
                <w:color w:val="auto"/>
                <w:kern w:val="0"/>
                <w:sz w:val="24"/>
                <w:szCs w:val="24"/>
                <w:highlight w:val="none"/>
                <w:lang w:val="en-US" w:eastAsia="zh-CN"/>
              </w:rPr>
              <w:t>种</w:t>
            </w:r>
            <w:r>
              <w:rPr>
                <w:rFonts w:hint="eastAsia" w:ascii="Times New Roman" w:hAnsi="Times New Roman" w:eastAsia="宋体" w:cs="Times New Roman"/>
                <w:bCs/>
                <w:color w:val="auto"/>
                <w:kern w:val="0"/>
                <w:sz w:val="24"/>
                <w:szCs w:val="24"/>
                <w:highlight w:val="none"/>
              </w:rPr>
              <w:t>，伴有华西小石积</w:t>
            </w:r>
            <w:r>
              <w:rPr>
                <w:rFonts w:hint="eastAsia" w:ascii="Times New Roman" w:hAnsi="Times New Roman" w:eastAsia="宋体" w:cs="Times New Roman"/>
                <w:bCs/>
                <w:i/>
                <w:iCs/>
                <w:color w:val="auto"/>
                <w:kern w:val="0"/>
                <w:sz w:val="24"/>
                <w:szCs w:val="24"/>
                <w:highlight w:val="none"/>
              </w:rPr>
              <w:t>Osteomelesschwerinae</w:t>
            </w:r>
            <w:r>
              <w:rPr>
                <w:rFonts w:hint="eastAsia" w:ascii="Times New Roman" w:hAnsi="宋体" w:eastAsia="宋体"/>
                <w:color w:val="auto"/>
                <w:sz w:val="24"/>
                <w:szCs w:val="24"/>
                <w:highlight w:val="none"/>
              </w:rPr>
              <w:t>、野拔子</w:t>
            </w:r>
            <w:r>
              <w:rPr>
                <w:rFonts w:hint="eastAsia" w:ascii="Times New Roman" w:hAnsi="宋体" w:eastAsia="宋体"/>
                <w:i/>
                <w:iCs/>
                <w:color w:val="auto"/>
                <w:sz w:val="24"/>
                <w:szCs w:val="24"/>
                <w:highlight w:val="none"/>
              </w:rPr>
              <w:t>Elsholtzia rugulosa</w:t>
            </w:r>
            <w:r>
              <w:rPr>
                <w:rFonts w:hint="eastAsia" w:cs="Times New Roman"/>
                <w:bCs/>
                <w:i/>
                <w:iCs/>
                <w:color w:val="auto"/>
                <w:kern w:val="0"/>
                <w:sz w:val="24"/>
                <w:szCs w:val="24"/>
                <w:highlight w:val="none"/>
                <w:lang w:eastAsia="zh-CN"/>
              </w:rPr>
              <w:t>、</w:t>
            </w:r>
            <w:r>
              <w:rPr>
                <w:rFonts w:hint="default"/>
                <w:color w:val="auto"/>
                <w:sz w:val="24"/>
                <w:highlight w:val="none"/>
              </w:rPr>
              <w:t>小铁仔</w:t>
            </w:r>
            <w:r>
              <w:rPr>
                <w:rFonts w:hint="default"/>
                <w:i/>
                <w:iCs/>
                <w:color w:val="auto"/>
                <w:sz w:val="24"/>
                <w:highlight w:val="none"/>
              </w:rPr>
              <w:t>Myrsine africana</w:t>
            </w:r>
            <w:r>
              <w:rPr>
                <w:rFonts w:hint="eastAsia" w:ascii="Times New Roman" w:hAnsi="宋体" w:eastAsia="宋体"/>
                <w:color w:val="auto"/>
                <w:sz w:val="24"/>
                <w:szCs w:val="24"/>
                <w:highlight w:val="none"/>
              </w:rPr>
              <w:t>、</w:t>
            </w:r>
            <w:r>
              <w:rPr>
                <w:rFonts w:hint="eastAsia" w:ascii="Times New Roman" w:hAnsi="Times New Roman" w:eastAsia="宋体" w:cs="Times New Roman"/>
                <w:bCs/>
                <w:color w:val="auto"/>
                <w:kern w:val="0"/>
                <w:sz w:val="24"/>
                <w:szCs w:val="24"/>
                <w:highlight w:val="none"/>
              </w:rPr>
              <w:t>马桑</w:t>
            </w:r>
            <w:r>
              <w:rPr>
                <w:rFonts w:hint="eastAsia" w:ascii="Times New Roman" w:hAnsi="Times New Roman" w:eastAsia="宋体" w:cs="Times New Roman"/>
                <w:bCs/>
                <w:i/>
                <w:iCs/>
                <w:color w:val="auto"/>
                <w:kern w:val="0"/>
                <w:sz w:val="24"/>
                <w:szCs w:val="24"/>
                <w:highlight w:val="none"/>
              </w:rPr>
              <w:t>Coriarianepalensis</w:t>
            </w:r>
            <w:r>
              <w:rPr>
                <w:rFonts w:hint="eastAsia" w:eastAsia="宋体" w:cs="Times New Roman"/>
                <w:bCs/>
                <w:i w:val="0"/>
                <w:iCs w:val="0"/>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车桑子</w:t>
            </w:r>
            <w:r>
              <w:rPr>
                <w:rFonts w:hint="eastAsia" w:ascii="Times New Roman" w:hAnsi="Times New Roman" w:eastAsia="宋体" w:cs="Times New Roman"/>
                <w:bCs/>
                <w:i/>
                <w:iCs/>
                <w:color w:val="auto"/>
                <w:kern w:val="0"/>
                <w:sz w:val="24"/>
                <w:szCs w:val="24"/>
                <w:highlight w:val="none"/>
              </w:rPr>
              <w:t>Dodonaea viscosa</w:t>
            </w:r>
            <w:r>
              <w:rPr>
                <w:rFonts w:hint="eastAsia"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bCs/>
                <w:color w:val="auto"/>
                <w:kern w:val="0"/>
                <w:sz w:val="24"/>
                <w:szCs w:val="24"/>
                <w:highlight w:val="none"/>
                <w:lang w:eastAsia="zh-CN"/>
              </w:rPr>
              <w:t>沙针</w:t>
            </w:r>
            <w:r>
              <w:rPr>
                <w:rFonts w:hint="default" w:ascii="Times New Roman" w:hAnsi="Times New Roman" w:eastAsia="宋体" w:cs="Times New Roman"/>
                <w:bCs/>
                <w:i/>
                <w:iCs/>
                <w:color w:val="auto"/>
                <w:kern w:val="0"/>
                <w:sz w:val="24"/>
                <w:szCs w:val="24"/>
                <w:highlight w:val="none"/>
                <w:lang w:eastAsia="zh-CN"/>
              </w:rPr>
              <w:t>Osyris wightiana</w:t>
            </w:r>
            <w:r>
              <w:rPr>
                <w:rFonts w:hint="default" w:ascii="Times New Roman" w:hAnsi="Times New Roman" w:eastAsia="宋体" w:cs="Times New Roman"/>
                <w:bCs/>
                <w:color w:val="auto"/>
                <w:kern w:val="0"/>
                <w:sz w:val="24"/>
                <w:szCs w:val="24"/>
                <w:highlight w:val="none"/>
                <w:lang w:eastAsia="zh-CN"/>
              </w:rPr>
              <w:t>、余甘子</w:t>
            </w:r>
            <w:r>
              <w:rPr>
                <w:rFonts w:hint="default" w:ascii="Times New Roman" w:hAnsi="Times New Roman" w:eastAsia="宋体" w:cs="Times New Roman"/>
                <w:bCs/>
                <w:i/>
                <w:iCs/>
                <w:color w:val="auto"/>
                <w:kern w:val="0"/>
                <w:sz w:val="24"/>
                <w:szCs w:val="24"/>
                <w:highlight w:val="none"/>
                <w:lang w:eastAsia="zh-CN"/>
              </w:rPr>
              <w:t>Phyllanthus emblica</w:t>
            </w:r>
            <w:r>
              <w:rPr>
                <w:rFonts w:hint="eastAsia" w:eastAsia="宋体" w:cs="Times New Roman"/>
                <w:bCs/>
                <w:i w:val="0"/>
                <w:iCs w:val="0"/>
                <w:color w:val="auto"/>
                <w:kern w:val="0"/>
                <w:sz w:val="24"/>
                <w:szCs w:val="24"/>
                <w:highlight w:val="none"/>
                <w:lang w:eastAsia="zh-CN"/>
              </w:rPr>
              <w:t>、</w:t>
            </w:r>
            <w:r>
              <w:rPr>
                <w:rFonts w:hint="eastAsia" w:ascii="Times New Roman" w:hAnsi="Times New Roman"/>
                <w:bCs/>
                <w:color w:val="auto"/>
                <w:kern w:val="0"/>
                <w:sz w:val="24"/>
                <w:szCs w:val="24"/>
                <w:highlight w:val="none"/>
              </w:rPr>
              <w:t>黄茅</w:t>
            </w:r>
            <w:r>
              <w:rPr>
                <w:rFonts w:hint="eastAsia" w:ascii="Times New Roman" w:hAnsi="Times New Roman"/>
                <w:bCs/>
                <w:i/>
                <w:iCs/>
                <w:color w:val="auto"/>
                <w:kern w:val="0"/>
                <w:sz w:val="24"/>
                <w:szCs w:val="24"/>
                <w:highlight w:val="none"/>
              </w:rPr>
              <w:t>Heteropogoncontortus</w:t>
            </w:r>
            <w:r>
              <w:rPr>
                <w:rFonts w:hint="eastAsia" w:ascii="Times New Roman" w:hAnsi="宋体" w:eastAsia="宋体"/>
                <w:i w:val="0"/>
                <w:iCs w:val="0"/>
                <w:color w:val="auto"/>
                <w:sz w:val="24"/>
                <w:szCs w:val="24"/>
                <w:highlight w:val="none"/>
                <w:lang w:val="en-US" w:eastAsia="zh-CN"/>
              </w:rPr>
              <w:t>等</w:t>
            </w:r>
            <w:r>
              <w:rPr>
                <w:rFonts w:hint="eastAsia" w:ascii="Times New Roman" w:hAnsi="Times New Roman" w:eastAsia="宋体" w:cs="Times New Roman"/>
                <w:bCs/>
                <w:color w:val="auto"/>
                <w:kern w:val="0"/>
                <w:sz w:val="24"/>
                <w:szCs w:val="24"/>
                <w:highlight w:val="none"/>
              </w:rPr>
              <w:t>种类。</w:t>
            </w:r>
          </w:p>
          <w:p w14:paraId="1E82AD7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kern w:val="0"/>
                <w:sz w:val="24"/>
                <w:szCs w:val="24"/>
                <w:highlight w:val="none"/>
              </w:rPr>
            </w:pPr>
            <w:r>
              <w:rPr>
                <w:rFonts w:hint="eastAsia" w:ascii="Times New Roman" w:hAnsi="Times New Roman"/>
                <w:bCs/>
                <w:color w:val="auto"/>
                <w:kern w:val="0"/>
                <w:sz w:val="24"/>
                <w:szCs w:val="24"/>
                <w:highlight w:val="none"/>
              </w:rPr>
              <w:t>草本层高多在</w:t>
            </w:r>
            <w:r>
              <w:rPr>
                <w:rFonts w:hint="eastAsia" w:ascii="Times New Roman" w:hAnsi="Times New Roman" w:eastAsia="宋体" w:cs="Times New Roman"/>
                <w:bCs/>
                <w:color w:val="auto"/>
                <w:kern w:val="0"/>
                <w:sz w:val="24"/>
                <w:szCs w:val="24"/>
                <w:highlight w:val="none"/>
              </w:rPr>
              <w:t>草本层高度0.1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rPr>
              <w:t>草本层高度0.1</w:t>
            </w:r>
            <w:r>
              <w:rPr>
                <w:rFonts w:hint="eastAsia"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0.8m、因坡向等生境及受人为干扰的程度不同，层盖度</w:t>
            </w:r>
            <w:r>
              <w:rPr>
                <w:rFonts w:hint="eastAsia" w:cs="Times New Roman"/>
                <w:bCs/>
                <w:color w:val="auto"/>
                <w:kern w:val="0"/>
                <w:sz w:val="24"/>
                <w:szCs w:val="24"/>
                <w:highlight w:val="none"/>
                <w:lang w:eastAsia="zh-CN"/>
              </w:rPr>
              <w:t>30%～40%</w:t>
            </w:r>
            <w:r>
              <w:rPr>
                <w:rFonts w:hint="eastAsia" w:ascii="Times New Roman" w:hAnsi="Times New Roman" w:eastAsia="宋体" w:cs="Times New Roman"/>
                <w:bCs/>
                <w:color w:val="auto"/>
                <w:kern w:val="0"/>
                <w:sz w:val="24"/>
                <w:szCs w:val="24"/>
                <w:highlight w:val="none"/>
              </w:rPr>
              <w:t>不等，常见的有</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宋体" w:eastAsia="宋体"/>
                <w:i/>
                <w:iCs/>
                <w:color w:val="auto"/>
                <w:sz w:val="24"/>
                <w:szCs w:val="24"/>
                <w:highlight w:val="none"/>
                <w:lang w:eastAsia="zh-CN"/>
              </w:rPr>
              <w:t>、</w:t>
            </w:r>
            <w:r>
              <w:rPr>
                <w:rFonts w:hint="eastAsia" w:ascii="Times New Roman" w:hAnsi="Times New Roman"/>
                <w:bCs/>
                <w:color w:val="auto"/>
                <w:kern w:val="0"/>
                <w:sz w:val="24"/>
                <w:szCs w:val="24"/>
                <w:highlight w:val="none"/>
              </w:rPr>
              <w:t>黄茅</w:t>
            </w:r>
            <w:r>
              <w:rPr>
                <w:rFonts w:hint="eastAsia" w:ascii="Times New Roman" w:hAnsi="Times New Roman"/>
                <w:bCs/>
                <w:i/>
                <w:iCs/>
                <w:color w:val="auto"/>
                <w:kern w:val="0"/>
                <w:sz w:val="24"/>
                <w:szCs w:val="24"/>
                <w:highlight w:val="none"/>
              </w:rPr>
              <w:t>Heteropogoncontortus</w:t>
            </w:r>
            <w:r>
              <w:rPr>
                <w:rFonts w:hint="eastAsia" w:ascii="Times New Roman" w:hAnsi="Times New Roman"/>
                <w:bCs/>
                <w:color w:val="auto"/>
                <w:kern w:val="0"/>
                <w:sz w:val="24"/>
                <w:szCs w:val="24"/>
                <w:highlight w:val="none"/>
              </w:rPr>
              <w:t>、荩草</w:t>
            </w:r>
            <w:r>
              <w:rPr>
                <w:rFonts w:hint="eastAsia" w:ascii="Times New Roman" w:hAnsi="Times New Roman"/>
                <w:bCs/>
                <w:i/>
                <w:iCs/>
                <w:color w:val="auto"/>
                <w:kern w:val="0"/>
                <w:sz w:val="24"/>
                <w:szCs w:val="24"/>
                <w:highlight w:val="none"/>
              </w:rPr>
              <w:t>Arthraxonhispidus</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ascii="Times New Roman" w:hAnsi="Times New Roman"/>
                <w:bCs/>
                <w:color w:val="auto"/>
                <w:kern w:val="0"/>
                <w:sz w:val="24"/>
                <w:szCs w:val="24"/>
                <w:highlight w:val="none"/>
              </w:rPr>
              <w:t>等组成。</w:t>
            </w:r>
          </w:p>
          <w:p w14:paraId="6AFE8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仿宋" w:hAnsi="仿宋" w:eastAsia="仿宋" w:cs="仿宋"/>
                <w:color w:val="auto"/>
                <w:sz w:val="24"/>
                <w:szCs w:val="24"/>
                <w:highlight w:val="none"/>
                <w:lang w:val="en-US" w:eastAsia="zh-CN"/>
              </w:rPr>
              <w:t>Ⅳ</w:t>
            </w:r>
            <w:r>
              <w:rPr>
                <w:rFonts w:hint="default" w:ascii="Times New Roman" w:hAnsi="Times New Roman" w:eastAsia="宋体" w:cs="Times New Roman"/>
                <w:color w:val="auto"/>
                <w:sz w:val="24"/>
                <w:szCs w:val="24"/>
                <w:highlight w:val="none"/>
                <w:lang w:val="en-US" w:eastAsia="zh-CN"/>
              </w:rPr>
              <w:t>.稀树灌木草丛</w:t>
            </w:r>
          </w:p>
          <w:p w14:paraId="0394A22B">
            <w:pPr>
              <w:keepNext w:val="0"/>
              <w:keepLines w:val="0"/>
              <w:suppressLineNumbers w:val="0"/>
              <w:adjustRightInd w:val="0"/>
              <w:spacing w:before="0" w:beforeAutospacing="0" w:after="0" w:afterAutospacing="0" w:line="360" w:lineRule="auto"/>
              <w:ind w:left="0" w:right="0" w:firstLine="484" w:firstLineChars="202"/>
              <w:rPr>
                <w:rFonts w:hint="default"/>
                <w:color w:val="auto"/>
              </w:rPr>
            </w:pPr>
            <w:r>
              <w:rPr>
                <w:rFonts w:hint="eastAsia" w:ascii="Times New Roman" w:hAnsi="Times New Roman" w:eastAsia="宋体" w:cs="Times New Roman"/>
                <w:color w:val="auto"/>
                <w:sz w:val="24"/>
                <w:lang w:val="en-US" w:eastAsia="zh-CN"/>
              </w:rPr>
              <w:t>稀树灌木草丛可分为干热性稀树灌木草丛、热性稀树灌木草丛、暖热性稀树灌木草丛和暖温性稀树灌木草丛植被亚型。本评价区海拔2070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以上，属于典型的滇中高原，仅分布有暖温性稀树灌木草丛一种植被亚型。</w:t>
            </w:r>
            <w:r>
              <w:rPr>
                <w:rFonts w:hint="eastAsia" w:cs="Times New Roman"/>
                <w:color w:val="auto"/>
                <w:sz w:val="24"/>
                <w:lang w:val="en-US" w:eastAsia="zh-CN"/>
              </w:rPr>
              <w:t>评价</w:t>
            </w:r>
            <w:r>
              <w:rPr>
                <w:rFonts w:hint="eastAsia" w:ascii="Times New Roman" w:hAnsi="Times New Roman" w:eastAsia="宋体" w:cs="Times New Roman"/>
                <w:color w:val="auto"/>
                <w:sz w:val="24"/>
                <w:lang w:val="en-US" w:eastAsia="zh-CN"/>
              </w:rPr>
              <w:t>区内仅分布有一个群系：含云南松、毛蕨的中草丛</w:t>
            </w:r>
            <w:r>
              <w:rPr>
                <w:rFonts w:hint="eastAsia" w:cs="Times New Roman"/>
                <w:color w:val="auto"/>
                <w:sz w:val="24"/>
                <w:lang w:val="en-US" w:eastAsia="zh-CN"/>
              </w:rPr>
              <w:t>，</w:t>
            </w:r>
            <w:r>
              <w:rPr>
                <w:rFonts w:hint="eastAsia" w:cs="Times New Roman"/>
                <w:color w:val="auto"/>
                <w:sz w:val="24"/>
                <w:szCs w:val="24"/>
                <w:lang w:val="en-US" w:eastAsia="zh-CN"/>
              </w:rPr>
              <w:t>一个群落：</w:t>
            </w:r>
            <w:r>
              <w:rPr>
                <w:rFonts w:hint="eastAsia" w:ascii="Times New Roman" w:hAnsi="Times New Roman" w:eastAsia="宋体" w:cs="Times New Roman"/>
                <w:color w:val="auto"/>
                <w:kern w:val="0"/>
                <w:sz w:val="24"/>
                <w:szCs w:val="24"/>
                <w:highlight w:val="none"/>
                <w:lang w:val="en-US" w:eastAsia="zh-CN" w:bidi="ar"/>
              </w:rPr>
              <w:t>含云南松、毛蕨、白茅</w:t>
            </w:r>
            <w:r>
              <w:rPr>
                <w:rFonts w:hint="eastAsia" w:cs="宋体"/>
                <w:color w:val="auto"/>
                <w:sz w:val="24"/>
                <w:szCs w:val="24"/>
                <w:highlight w:val="none"/>
                <w:lang w:val="en-US" w:eastAsia="zh-CN" w:bidi="ar"/>
              </w:rPr>
              <w:t>群落</w:t>
            </w:r>
            <w:r>
              <w:rPr>
                <w:rFonts w:hint="eastAsia" w:ascii="Times New Roman" w:hAnsi="Times New Roman" w:eastAsia="宋体" w:cs="Times New Roman"/>
                <w:color w:val="auto"/>
                <w:sz w:val="24"/>
                <w:szCs w:val="24"/>
                <w:lang w:val="en-US" w:eastAsia="zh-CN"/>
              </w:rPr>
              <w:t>。</w:t>
            </w:r>
            <w:r>
              <w:rPr>
                <w:rFonts w:hint="eastAsia" w:ascii="宋体" w:hAnsi="宋体" w:eastAsia="宋体" w:cs="宋体"/>
                <w:color w:val="auto"/>
                <w:kern w:val="0"/>
                <w:sz w:val="24"/>
                <w:szCs w:val="24"/>
                <w:lang w:val="en-US" w:eastAsia="zh-CN" w:bidi="ar"/>
              </w:rPr>
              <w:t xml:space="preserve"> </w:t>
            </w:r>
          </w:p>
          <w:p w14:paraId="45212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w:t>
            </w:r>
            <w:r>
              <w:rPr>
                <w:rFonts w:hint="eastAsia" w:ascii="Times New Roman" w:hAnsi="Times New Roman" w:eastAsia="宋体" w:cs="Times New Roman"/>
                <w:bCs/>
                <w:color w:val="auto"/>
                <w:sz w:val="24"/>
                <w:highlight w:val="none"/>
                <w:lang w:val="en-US" w:eastAsia="zh-CN"/>
              </w:rPr>
              <w:t>含云南松、毛蕨、白茅稀树灌草丛</w:t>
            </w:r>
          </w:p>
          <w:p w14:paraId="3472EB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highlight w:val="none"/>
              </w:rPr>
            </w:pPr>
            <w:r>
              <w:rPr>
                <w:rFonts w:hint="eastAsia" w:ascii="Times New Roman" w:hAnsi="Times New Roman"/>
                <w:bCs/>
                <w:color w:val="auto"/>
                <w:sz w:val="24"/>
                <w:highlight w:val="none"/>
                <w:lang w:val="en-US" w:eastAsia="zh-CN"/>
              </w:rPr>
              <w:t>该</w:t>
            </w:r>
            <w:r>
              <w:rPr>
                <w:rFonts w:hint="eastAsia" w:ascii="Times New Roman" w:hAnsi="Times New Roman"/>
                <w:bCs/>
                <w:color w:val="auto"/>
                <w:sz w:val="24"/>
                <w:highlight w:val="none"/>
              </w:rPr>
              <w:t>群落是区域内各类森林、灌丛植被在长期、反复、剧烈的垦殖、放牧、砍伐等人为活动破坏下，形成的极度次生化的植被。乔木层仅有零星的云南松孤立木，灌木层分散低矮，仅草本层发育。</w:t>
            </w:r>
          </w:p>
          <w:p w14:paraId="69D19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highlight w:val="none"/>
              </w:rPr>
            </w:pPr>
            <w:r>
              <w:rPr>
                <w:rFonts w:hint="eastAsia" w:ascii="Times New Roman" w:hAnsi="Times New Roman"/>
                <w:bCs/>
                <w:color w:val="auto"/>
                <w:sz w:val="24"/>
                <w:highlight w:val="none"/>
              </w:rPr>
              <w:t>群落乔木层为零星分布的孤立木，盖度不超过1</w:t>
            </w:r>
            <w:r>
              <w:rPr>
                <w:rFonts w:hint="default" w:ascii="Times New Roman" w:hAnsi="Times New Roman"/>
                <w:bCs/>
                <w:color w:val="auto"/>
                <w:sz w:val="24"/>
                <w:highlight w:val="none"/>
              </w:rPr>
              <w:t>0%，</w:t>
            </w:r>
            <w:r>
              <w:rPr>
                <w:rFonts w:hint="eastAsia" w:ascii="Times New Roman" w:hAnsi="Times New Roman"/>
                <w:bCs/>
                <w:color w:val="auto"/>
                <w:sz w:val="24"/>
                <w:highlight w:val="none"/>
              </w:rPr>
              <w:t>高5</w:t>
            </w:r>
            <w:r>
              <w:rPr>
                <w:rFonts w:hint="eastAsia" w:ascii="Times New Roman" w:hAnsi="Times New Roman"/>
                <w:bCs/>
                <w:color w:val="auto"/>
                <w:sz w:val="24"/>
                <w:highlight w:val="none"/>
                <w:lang w:eastAsia="zh-CN"/>
              </w:rPr>
              <w:t>～</w:t>
            </w:r>
            <w:r>
              <w:rPr>
                <w:rFonts w:hint="default" w:ascii="Times New Roman" w:hAnsi="Times New Roman"/>
                <w:bCs/>
                <w:color w:val="auto"/>
                <w:sz w:val="24"/>
                <w:highlight w:val="none"/>
              </w:rPr>
              <w:t>8</w:t>
            </w:r>
            <w:r>
              <w:rPr>
                <w:rFonts w:hint="eastAsia" w:ascii="Times New Roman" w:hAnsi="Times New Roman"/>
                <w:bCs/>
                <w:color w:val="auto"/>
                <w:sz w:val="24"/>
                <w:highlight w:val="none"/>
              </w:rPr>
              <w:t>m，仅有云南松</w:t>
            </w:r>
            <w:r>
              <w:rPr>
                <w:rFonts w:hint="default" w:ascii="Times New Roman" w:hAnsi="Times New Roman"/>
                <w:bCs/>
                <w:i/>
                <w:color w:val="auto"/>
                <w:sz w:val="24"/>
                <w:highlight w:val="none"/>
              </w:rPr>
              <w:t>Pinus</w:t>
            </w:r>
            <w:r>
              <w:rPr>
                <w:rFonts w:hint="default" w:ascii="Times New Roman" w:hAnsi="Times New Roman"/>
                <w:bCs/>
                <w:color w:val="auto"/>
                <w:sz w:val="24"/>
                <w:highlight w:val="none"/>
              </w:rPr>
              <w:t xml:space="preserve"> </w:t>
            </w:r>
            <w:r>
              <w:rPr>
                <w:rFonts w:hint="default" w:ascii="Times New Roman" w:hAnsi="Times New Roman"/>
                <w:bCs/>
                <w:i/>
                <w:color w:val="auto"/>
                <w:sz w:val="24"/>
                <w:highlight w:val="none"/>
              </w:rPr>
              <w:t>yunnanensis</w:t>
            </w:r>
            <w:r>
              <w:rPr>
                <w:rFonts w:hint="eastAsia" w:ascii="Times New Roman" w:hAnsi="Times New Roman"/>
                <w:bCs/>
                <w:color w:val="auto"/>
                <w:sz w:val="24"/>
                <w:highlight w:val="none"/>
              </w:rPr>
              <w:t>一种。</w:t>
            </w:r>
          </w:p>
          <w:p w14:paraId="614804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bCs/>
                <w:color w:val="auto"/>
                <w:sz w:val="24"/>
                <w:highlight w:val="none"/>
              </w:rPr>
            </w:pPr>
            <w:r>
              <w:rPr>
                <w:rFonts w:hint="eastAsia" w:ascii="Times New Roman" w:hAnsi="Times New Roman"/>
                <w:bCs/>
                <w:color w:val="auto"/>
                <w:sz w:val="24"/>
                <w:highlight w:val="none"/>
              </w:rPr>
              <w:t>灌木层盖度约</w:t>
            </w:r>
            <w:r>
              <w:rPr>
                <w:rFonts w:hint="eastAsia" w:ascii="Times New Roman" w:hAnsi="Times New Roman"/>
                <w:bCs/>
                <w:color w:val="auto"/>
                <w:sz w:val="24"/>
                <w:highlight w:val="none"/>
                <w:lang w:eastAsia="zh-CN"/>
              </w:rPr>
              <w:t>10%</w:t>
            </w:r>
            <w:r>
              <w:rPr>
                <w:rFonts w:hint="eastAsia"/>
                <w:bCs/>
                <w:color w:val="auto"/>
                <w:sz w:val="24"/>
                <w:highlight w:val="none"/>
                <w:lang w:eastAsia="zh-CN"/>
              </w:rPr>
              <w:t>～</w:t>
            </w:r>
            <w:r>
              <w:rPr>
                <w:rFonts w:hint="eastAsia" w:ascii="Times New Roman" w:hAnsi="Times New Roman"/>
                <w:bCs/>
                <w:color w:val="auto"/>
                <w:sz w:val="24"/>
                <w:highlight w:val="none"/>
                <w:lang w:eastAsia="zh-CN"/>
              </w:rPr>
              <w:t>25%</w:t>
            </w:r>
            <w:r>
              <w:rPr>
                <w:rFonts w:hint="default" w:ascii="Times New Roman" w:hAnsi="Times New Roman"/>
                <w:bCs/>
                <w:color w:val="auto"/>
                <w:sz w:val="24"/>
                <w:highlight w:val="none"/>
              </w:rPr>
              <w:t>，</w:t>
            </w:r>
            <w:r>
              <w:rPr>
                <w:rFonts w:hint="eastAsia" w:ascii="Times New Roman" w:hAnsi="Times New Roman"/>
                <w:bCs/>
                <w:color w:val="auto"/>
                <w:sz w:val="24"/>
                <w:highlight w:val="none"/>
              </w:rPr>
              <w:t>平均高度0</w:t>
            </w:r>
            <w:r>
              <w:rPr>
                <w:rFonts w:hint="default" w:ascii="Times New Roman" w:hAnsi="Times New Roman"/>
                <w:bCs/>
                <w:color w:val="auto"/>
                <w:sz w:val="24"/>
                <w:highlight w:val="none"/>
              </w:rPr>
              <w:t>.7</w:t>
            </w:r>
            <w:r>
              <w:rPr>
                <w:rFonts w:hint="eastAsia" w:ascii="Times New Roman" w:hAnsi="Times New Roman"/>
                <w:bCs/>
                <w:color w:val="auto"/>
                <w:sz w:val="24"/>
                <w:highlight w:val="none"/>
              </w:rPr>
              <w:t>m，多为云南松</w:t>
            </w:r>
            <w:r>
              <w:rPr>
                <w:rFonts w:hint="default" w:ascii="Times New Roman" w:hAnsi="Times New Roman"/>
                <w:bCs/>
                <w:i/>
                <w:color w:val="auto"/>
                <w:sz w:val="24"/>
                <w:highlight w:val="none"/>
              </w:rPr>
              <w:t>Pinus</w:t>
            </w:r>
            <w:r>
              <w:rPr>
                <w:rFonts w:hint="default" w:ascii="Times New Roman" w:hAnsi="Times New Roman"/>
                <w:bCs/>
                <w:color w:val="auto"/>
                <w:sz w:val="24"/>
                <w:highlight w:val="none"/>
              </w:rPr>
              <w:t xml:space="preserve"> </w:t>
            </w:r>
            <w:r>
              <w:rPr>
                <w:rFonts w:hint="default" w:ascii="Times New Roman" w:hAnsi="Times New Roman"/>
                <w:bCs/>
                <w:i/>
                <w:color w:val="auto"/>
                <w:sz w:val="24"/>
                <w:highlight w:val="none"/>
              </w:rPr>
              <w:t>yunnanensis</w:t>
            </w:r>
            <w:r>
              <w:rPr>
                <w:rFonts w:hint="eastAsia" w:ascii="Times New Roman" w:hAnsi="Times New Roman"/>
                <w:bCs/>
                <w:color w:val="auto"/>
                <w:sz w:val="24"/>
                <w:highlight w:val="none"/>
              </w:rPr>
              <w:t>的幼树，</w:t>
            </w:r>
            <w:r>
              <w:rPr>
                <w:rFonts w:hint="eastAsia" w:ascii="Times New Roman" w:hAnsi="Times New Roman"/>
                <w:bCs/>
                <w:color w:val="auto"/>
                <w:sz w:val="24"/>
                <w:highlight w:val="none"/>
                <w:lang w:val="en-US" w:eastAsia="zh-CN"/>
              </w:rPr>
              <w:t>其他</w:t>
            </w:r>
            <w:r>
              <w:rPr>
                <w:rFonts w:hint="eastAsia" w:ascii="Times New Roman" w:hAnsi="Times New Roman"/>
                <w:bCs/>
                <w:color w:val="auto"/>
                <w:sz w:val="24"/>
                <w:highlight w:val="none"/>
              </w:rPr>
              <w:t>灌木植物有</w:t>
            </w:r>
            <w:r>
              <w:rPr>
                <w:rFonts w:hint="default" w:ascii="Times New Roman" w:hAnsi="Times New Roman" w:eastAsia="宋体" w:cs="Times New Roman"/>
                <w:bCs/>
                <w:color w:val="auto"/>
                <w:sz w:val="24"/>
                <w:highlight w:val="none"/>
              </w:rPr>
              <w:t>西南栒子</w:t>
            </w:r>
            <w:r>
              <w:rPr>
                <w:rFonts w:hint="default" w:ascii="Times New Roman" w:hAnsi="Times New Roman" w:eastAsia="宋体" w:cs="Times New Roman"/>
                <w:bCs/>
                <w:i/>
                <w:color w:val="auto"/>
                <w:sz w:val="24"/>
                <w:highlight w:val="none"/>
              </w:rPr>
              <w:t>Cotoneaster franchetii</w:t>
            </w:r>
            <w:r>
              <w:rPr>
                <w:rFonts w:hint="default" w:ascii="Times New Roman" w:hAnsi="Times New Roman"/>
                <w:bCs/>
                <w:color w:val="auto"/>
                <w:sz w:val="24"/>
                <w:highlight w:val="none"/>
              </w:rPr>
              <w:t>、</w:t>
            </w:r>
            <w:r>
              <w:rPr>
                <w:rFonts w:hint="eastAsia"/>
                <w:bCs/>
                <w:color w:val="auto"/>
                <w:sz w:val="24"/>
                <w:highlight w:val="none"/>
                <w:lang w:eastAsia="zh-CN"/>
              </w:rPr>
              <w:t>豪猪刺</w:t>
            </w:r>
            <w:r>
              <w:rPr>
                <w:rFonts w:hint="eastAsia" w:ascii="Times New Roman" w:hAnsi="Times New Roman" w:eastAsia="宋体" w:cs="Times New Roman"/>
                <w:bCs/>
                <w:i/>
                <w:color w:val="auto"/>
                <w:sz w:val="24"/>
                <w:highlight w:val="none"/>
                <w:lang w:val="en-US" w:eastAsia="zh-CN"/>
              </w:rPr>
              <w:t>Berberis julianae</w:t>
            </w:r>
            <w:r>
              <w:rPr>
                <w:rFonts w:hint="eastAsia" w:ascii="Times New Roman" w:hAnsi="Times New Roman" w:cs="Times New Roman"/>
                <w:bCs/>
                <w:i/>
                <w:color w:val="auto"/>
                <w:sz w:val="24"/>
                <w:highlight w:val="none"/>
                <w:lang w:val="en-US" w:eastAsia="zh-CN"/>
              </w:rPr>
              <w:t>、</w:t>
            </w:r>
            <w:r>
              <w:rPr>
                <w:rFonts w:hint="default" w:ascii="Times New Roman" w:hAnsi="Times New Roman"/>
                <w:bCs/>
                <w:color w:val="auto"/>
                <w:sz w:val="24"/>
                <w:highlight w:val="none"/>
              </w:rPr>
              <w:t>小铁仔</w:t>
            </w:r>
            <w:r>
              <w:rPr>
                <w:rFonts w:hint="default" w:ascii="Times New Roman" w:hAnsi="Times New Roman"/>
                <w:bCs/>
                <w:i/>
                <w:color w:val="auto"/>
                <w:sz w:val="24"/>
                <w:highlight w:val="none"/>
              </w:rPr>
              <w:t>Myrsine</w:t>
            </w:r>
            <w:r>
              <w:rPr>
                <w:rFonts w:hint="default" w:ascii="Times New Roman" w:hAnsi="Times New Roman"/>
                <w:bCs/>
                <w:color w:val="auto"/>
                <w:sz w:val="24"/>
                <w:highlight w:val="none"/>
              </w:rPr>
              <w:t xml:space="preserve"> </w:t>
            </w:r>
            <w:r>
              <w:rPr>
                <w:rFonts w:hint="default" w:ascii="Times New Roman" w:hAnsi="Times New Roman"/>
                <w:bCs/>
                <w:i/>
                <w:color w:val="auto"/>
                <w:sz w:val="24"/>
                <w:highlight w:val="none"/>
              </w:rPr>
              <w:t>africana</w:t>
            </w:r>
            <w:r>
              <w:rPr>
                <w:rFonts w:hint="default" w:ascii="Times New Roman" w:hAnsi="Times New Roman"/>
                <w:bCs/>
                <w:color w:val="auto"/>
                <w:sz w:val="24"/>
                <w:highlight w:val="none"/>
              </w:rPr>
              <w:t>、</w:t>
            </w:r>
            <w:r>
              <w:rPr>
                <w:rFonts w:hint="eastAsia" w:ascii="Times New Roman" w:hAnsi="宋体" w:eastAsia="宋体"/>
                <w:color w:val="auto"/>
                <w:sz w:val="24"/>
                <w:szCs w:val="24"/>
                <w:highlight w:val="none"/>
              </w:rPr>
              <w:t>火棘</w:t>
            </w:r>
            <w:r>
              <w:rPr>
                <w:rFonts w:hint="eastAsia" w:ascii="Times New Roman" w:hAnsi="宋体" w:eastAsia="宋体"/>
                <w:i/>
                <w:iCs/>
                <w:color w:val="auto"/>
                <w:sz w:val="24"/>
                <w:szCs w:val="24"/>
                <w:highlight w:val="none"/>
              </w:rPr>
              <w:t>Pyracantha</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fortuneana</w:t>
            </w:r>
            <w:r>
              <w:rPr>
                <w:rFonts w:hint="eastAsia" w:ascii="Times New Roman" w:hAnsi="宋体" w:eastAsia="宋体"/>
                <w:color w:val="auto"/>
                <w:sz w:val="24"/>
                <w:szCs w:val="24"/>
                <w:highlight w:val="none"/>
              </w:rPr>
              <w:t>、野拔子</w:t>
            </w:r>
            <w:r>
              <w:rPr>
                <w:rFonts w:hint="eastAsia" w:ascii="Times New Roman" w:hAnsi="宋体" w:eastAsia="宋体"/>
                <w:i/>
                <w:iCs/>
                <w:color w:val="auto"/>
                <w:sz w:val="24"/>
                <w:szCs w:val="24"/>
                <w:highlight w:val="none"/>
              </w:rPr>
              <w:t>Elsholtzia rugulosa</w:t>
            </w:r>
            <w:r>
              <w:rPr>
                <w:rFonts w:hint="eastAsia" w:ascii="Times New Roman" w:hAnsi="Times New Roman"/>
                <w:bCs/>
                <w:color w:val="auto"/>
                <w:sz w:val="24"/>
                <w:highlight w:val="none"/>
              </w:rPr>
              <w:t>等。</w:t>
            </w:r>
          </w:p>
          <w:p w14:paraId="41CCF7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bCs/>
                <w:color w:val="auto"/>
                <w:sz w:val="24"/>
                <w:szCs w:val="24"/>
                <w:highlight w:val="none"/>
              </w:rPr>
            </w:pPr>
            <w:r>
              <w:rPr>
                <w:rFonts w:hint="eastAsia" w:ascii="Times New Roman" w:hAnsi="Times New Roman"/>
                <w:bCs/>
                <w:color w:val="auto"/>
                <w:sz w:val="24"/>
                <w:szCs w:val="24"/>
                <w:highlight w:val="none"/>
              </w:rPr>
              <w:t>根据立地条件不同，群落草本层盖度</w:t>
            </w:r>
            <w:r>
              <w:rPr>
                <w:rFonts w:hint="eastAsia" w:ascii="Times New Roman" w:hAnsi="Times New Roman"/>
                <w:bCs/>
                <w:color w:val="auto"/>
                <w:sz w:val="24"/>
                <w:szCs w:val="24"/>
                <w:highlight w:val="none"/>
                <w:lang w:eastAsia="zh-CN"/>
              </w:rPr>
              <w:t>40%</w:t>
            </w:r>
            <w:r>
              <w:rPr>
                <w:rFonts w:hint="eastAsia"/>
                <w:bCs/>
                <w:color w:val="auto"/>
                <w:sz w:val="24"/>
                <w:szCs w:val="24"/>
                <w:highlight w:val="none"/>
                <w:lang w:eastAsia="zh-CN"/>
              </w:rPr>
              <w:t>～</w:t>
            </w:r>
            <w:r>
              <w:rPr>
                <w:rFonts w:hint="eastAsia" w:ascii="Times New Roman" w:hAnsi="Times New Roman"/>
                <w:bCs/>
                <w:color w:val="auto"/>
                <w:sz w:val="24"/>
                <w:szCs w:val="24"/>
                <w:highlight w:val="none"/>
                <w:lang w:eastAsia="zh-CN"/>
              </w:rPr>
              <w:t>90%</w:t>
            </w:r>
            <w:r>
              <w:rPr>
                <w:rFonts w:hint="default" w:ascii="Times New Roman" w:hAnsi="Times New Roman"/>
                <w:bCs/>
                <w:color w:val="auto"/>
                <w:sz w:val="24"/>
                <w:szCs w:val="24"/>
                <w:highlight w:val="none"/>
              </w:rPr>
              <w:t>，</w:t>
            </w:r>
            <w:r>
              <w:rPr>
                <w:rFonts w:hint="eastAsia" w:ascii="Times New Roman" w:hAnsi="Times New Roman"/>
                <w:bCs/>
                <w:color w:val="auto"/>
                <w:sz w:val="24"/>
                <w:szCs w:val="24"/>
                <w:highlight w:val="none"/>
              </w:rPr>
              <w:t>最高可达1</w:t>
            </w:r>
            <w:r>
              <w:rPr>
                <w:rFonts w:hint="default" w:ascii="Times New Roman" w:hAnsi="Times New Roman"/>
                <w:bCs/>
                <w:color w:val="auto"/>
                <w:sz w:val="24"/>
                <w:szCs w:val="24"/>
                <w:highlight w:val="none"/>
              </w:rPr>
              <w:t>.8</w:t>
            </w:r>
            <w:r>
              <w:rPr>
                <w:rFonts w:hint="eastAsia" w:ascii="Times New Roman" w:hAnsi="Times New Roman"/>
                <w:bCs/>
                <w:color w:val="auto"/>
                <w:sz w:val="24"/>
                <w:szCs w:val="24"/>
                <w:highlight w:val="none"/>
              </w:rPr>
              <w:t>m，以</w:t>
            </w:r>
            <w:r>
              <w:rPr>
                <w:rFonts w:hint="eastAsia" w:ascii="Times New Roman" w:hAnsi="Times New Roman"/>
                <w:bCs/>
                <w:color w:val="auto"/>
                <w:kern w:val="0"/>
                <w:sz w:val="24"/>
                <w:szCs w:val="24"/>
                <w:highlight w:val="none"/>
              </w:rPr>
              <w:t>毛</w:t>
            </w:r>
            <w:r>
              <w:rPr>
                <w:rFonts w:hint="default"/>
                <w:color w:val="auto"/>
                <w:sz w:val="24"/>
                <w:szCs w:val="24"/>
                <w:highlight w:val="none"/>
              </w:rPr>
              <w:t>蕨</w:t>
            </w:r>
            <w:r>
              <w:rPr>
                <w:rFonts w:hint="eastAsia" w:ascii="Times New Roman" w:hAnsi="Times New Roman"/>
                <w:bCs/>
                <w:color w:val="auto"/>
                <w:kern w:val="0"/>
                <w:sz w:val="24"/>
                <w:szCs w:val="24"/>
                <w:highlight w:val="none"/>
                <w:lang w:val="en-US" w:eastAsia="zh-CN"/>
              </w:rPr>
              <w:t>菜</w:t>
            </w:r>
            <w:r>
              <w:rPr>
                <w:rFonts w:hint="eastAsia" w:ascii="Times New Roman" w:hAnsi="Times New Roman"/>
                <w:bCs/>
                <w:i/>
                <w:iCs/>
                <w:color w:val="auto"/>
                <w:kern w:val="0"/>
                <w:sz w:val="24"/>
                <w:szCs w:val="24"/>
                <w:highlight w:val="none"/>
              </w:rPr>
              <w:t>Pteridium revolutum</w:t>
            </w:r>
            <w:r>
              <w:rPr>
                <w:rFonts w:hint="eastAsia" w:ascii="Times New Roman" w:hAnsi="Times New Roman"/>
                <w:bCs/>
                <w:i/>
                <w:iCs/>
                <w:color w:val="auto"/>
                <w:kern w:val="0"/>
                <w:sz w:val="24"/>
                <w:szCs w:val="24"/>
                <w:highlight w:val="none"/>
                <w:lang w:eastAsia="zh-CN"/>
              </w:rPr>
              <w:t>、</w:t>
            </w:r>
            <w:r>
              <w:rPr>
                <w:rFonts w:hint="eastAsia" w:ascii="Times New Roman" w:hAnsi="宋体" w:eastAsia="宋体"/>
                <w:color w:val="auto"/>
                <w:sz w:val="24"/>
                <w:szCs w:val="24"/>
                <w:highlight w:val="none"/>
              </w:rPr>
              <w:t>白茅</w:t>
            </w:r>
            <w:r>
              <w:rPr>
                <w:rFonts w:hint="eastAsia" w:ascii="Times New Roman" w:hAnsi="宋体" w:eastAsia="宋体"/>
                <w:i/>
                <w:iCs/>
                <w:color w:val="auto"/>
                <w:sz w:val="24"/>
                <w:szCs w:val="24"/>
                <w:highlight w:val="none"/>
              </w:rPr>
              <w:t>Imperatacy</w:t>
            </w:r>
            <w:r>
              <w:rPr>
                <w:rFonts w:hint="eastAsia" w:ascii="Times New Roman" w:hAnsi="宋体" w:eastAsia="宋体"/>
                <w:i/>
                <w:iCs/>
                <w:color w:val="auto"/>
                <w:sz w:val="24"/>
                <w:szCs w:val="24"/>
                <w:highlight w:val="none"/>
                <w:lang w:val="en-US" w:eastAsia="zh-CN"/>
              </w:rPr>
              <w:t xml:space="preserve"> </w:t>
            </w:r>
            <w:r>
              <w:rPr>
                <w:rFonts w:hint="eastAsia" w:ascii="Times New Roman" w:hAnsi="宋体" w:eastAsia="宋体"/>
                <w:i/>
                <w:iCs/>
                <w:color w:val="auto"/>
                <w:sz w:val="24"/>
                <w:szCs w:val="24"/>
                <w:highlight w:val="none"/>
              </w:rPr>
              <w:t>lindrica</w:t>
            </w:r>
            <w:r>
              <w:rPr>
                <w:rFonts w:hint="eastAsia" w:ascii="Times New Roman" w:hAnsi="Times New Roman"/>
                <w:bCs/>
                <w:color w:val="auto"/>
                <w:sz w:val="24"/>
                <w:szCs w:val="24"/>
                <w:highlight w:val="none"/>
              </w:rPr>
              <w:t>为绝对优势，此外还常见</w:t>
            </w:r>
            <w:r>
              <w:rPr>
                <w:rFonts w:hint="eastAsia"/>
                <w:color w:val="auto"/>
                <w:sz w:val="24"/>
                <w:highlight w:val="none"/>
              </w:rPr>
              <w:t>大丁草</w:t>
            </w:r>
            <w:r>
              <w:rPr>
                <w:rFonts w:hint="eastAsia"/>
                <w:i/>
                <w:iCs/>
                <w:color w:val="auto"/>
                <w:sz w:val="24"/>
                <w:highlight w:val="none"/>
              </w:rPr>
              <w:t>Gerbera anandria</w:t>
            </w:r>
            <w:r>
              <w:rPr>
                <w:rFonts w:hint="eastAsia"/>
                <w:color w:val="auto"/>
                <w:sz w:val="24"/>
                <w:highlight w:val="none"/>
              </w:rPr>
              <w:t>、刺芒野古草</w:t>
            </w:r>
            <w:r>
              <w:rPr>
                <w:rFonts w:hint="eastAsia"/>
                <w:i/>
                <w:iCs/>
                <w:color w:val="auto"/>
                <w:sz w:val="24"/>
                <w:highlight w:val="none"/>
              </w:rPr>
              <w:t>Arundinella</w:t>
            </w:r>
            <w:r>
              <w:rPr>
                <w:rFonts w:hint="default"/>
                <w:i/>
                <w:iCs/>
                <w:color w:val="auto"/>
                <w:sz w:val="24"/>
                <w:highlight w:val="none"/>
              </w:rPr>
              <w:t xml:space="preserve"> </w:t>
            </w:r>
            <w:r>
              <w:rPr>
                <w:rFonts w:hint="eastAsia"/>
                <w:i/>
                <w:iCs/>
                <w:color w:val="auto"/>
                <w:sz w:val="24"/>
                <w:highlight w:val="none"/>
              </w:rPr>
              <w:t>setosa</w:t>
            </w:r>
            <w:r>
              <w:rPr>
                <w:rFonts w:hint="eastAsia"/>
                <w:color w:val="auto"/>
                <w:sz w:val="24"/>
                <w:highlight w:val="none"/>
              </w:rPr>
              <w:t>、荩草</w:t>
            </w:r>
            <w:r>
              <w:rPr>
                <w:rFonts w:hint="eastAsia"/>
                <w:i/>
                <w:iCs/>
                <w:color w:val="auto"/>
                <w:sz w:val="24"/>
                <w:highlight w:val="none"/>
              </w:rPr>
              <w:t>Arthraxon hispidus</w:t>
            </w:r>
            <w:r>
              <w:rPr>
                <w:rFonts w:hint="eastAsia"/>
                <w:color w:val="auto"/>
                <w:sz w:val="24"/>
                <w:highlight w:val="none"/>
              </w:rPr>
              <w:t>、旱茅</w:t>
            </w:r>
            <w:r>
              <w:rPr>
                <w:rFonts w:hint="eastAsia"/>
                <w:i/>
                <w:iCs/>
                <w:color w:val="auto"/>
                <w:sz w:val="24"/>
                <w:highlight w:val="none"/>
              </w:rPr>
              <w:t>Eremopogon delavayi</w:t>
            </w:r>
            <w:r>
              <w:rPr>
                <w:rFonts w:hint="eastAsia"/>
                <w:color w:val="auto"/>
                <w:sz w:val="24"/>
                <w:highlight w:val="none"/>
              </w:rPr>
              <w:t>、</w:t>
            </w:r>
            <w:r>
              <w:rPr>
                <w:rFonts w:hint="eastAsia"/>
                <w:color w:val="auto"/>
                <w:sz w:val="24"/>
                <w:szCs w:val="28"/>
                <w:highlight w:val="none"/>
              </w:rPr>
              <w:t>龙须草</w:t>
            </w:r>
            <w:r>
              <w:rPr>
                <w:rFonts w:hint="eastAsia"/>
                <w:i/>
                <w:iCs/>
                <w:color w:val="auto"/>
                <w:sz w:val="24"/>
                <w:szCs w:val="28"/>
                <w:highlight w:val="none"/>
              </w:rPr>
              <w:t>Eulaliopsis binata</w:t>
            </w:r>
            <w:r>
              <w:rPr>
                <w:rFonts w:hint="eastAsia"/>
                <w:color w:val="auto"/>
                <w:sz w:val="24"/>
                <w:szCs w:val="28"/>
                <w:highlight w:val="none"/>
              </w:rPr>
              <w:t>、硬秆子草</w:t>
            </w:r>
            <w:r>
              <w:rPr>
                <w:rFonts w:hint="eastAsia"/>
                <w:i/>
                <w:iCs/>
                <w:color w:val="auto"/>
                <w:sz w:val="24"/>
                <w:szCs w:val="28"/>
                <w:highlight w:val="none"/>
              </w:rPr>
              <w:t>Capillipedium glaucopsis</w:t>
            </w:r>
            <w:r>
              <w:rPr>
                <w:rFonts w:hint="eastAsia"/>
                <w:color w:val="auto"/>
                <w:sz w:val="24"/>
                <w:szCs w:val="28"/>
                <w:highlight w:val="none"/>
              </w:rPr>
              <w:t>、</w:t>
            </w:r>
            <w:r>
              <w:rPr>
                <w:rFonts w:hint="default"/>
                <w:color w:val="auto"/>
                <w:sz w:val="24"/>
                <w:szCs w:val="28"/>
                <w:highlight w:val="none"/>
              </w:rPr>
              <w:t>飞机草</w:t>
            </w:r>
            <w:r>
              <w:rPr>
                <w:rFonts w:hint="default"/>
                <w:i/>
                <w:iCs/>
                <w:color w:val="auto"/>
                <w:sz w:val="24"/>
                <w:szCs w:val="28"/>
                <w:highlight w:val="none"/>
              </w:rPr>
              <w:t>Chromolaena odoratal</w:t>
            </w:r>
            <w:r>
              <w:rPr>
                <w:rFonts w:hint="eastAsia"/>
                <w:color w:val="auto"/>
                <w:sz w:val="24"/>
                <w:szCs w:val="28"/>
                <w:highlight w:val="none"/>
              </w:rPr>
              <w:t>、车前草</w:t>
            </w:r>
            <w:r>
              <w:rPr>
                <w:rFonts w:hint="eastAsia"/>
                <w:i/>
                <w:iCs/>
                <w:color w:val="auto"/>
                <w:sz w:val="24"/>
                <w:szCs w:val="28"/>
                <w:highlight w:val="none"/>
              </w:rPr>
              <w:t>Plantago asiatica</w:t>
            </w:r>
            <w:r>
              <w:rPr>
                <w:rFonts w:hint="eastAsia"/>
                <w:color w:val="auto"/>
                <w:sz w:val="24"/>
                <w:szCs w:val="28"/>
                <w:highlight w:val="none"/>
              </w:rPr>
              <w:t>、</w:t>
            </w:r>
            <w:r>
              <w:rPr>
                <w:rFonts w:hint="eastAsia" w:ascii="Times New Roman" w:hAnsi="Times New Roman" w:eastAsia="宋体" w:cs="Times New Roman"/>
                <w:bCs/>
                <w:color w:val="auto"/>
                <w:kern w:val="0"/>
                <w:sz w:val="24"/>
                <w:szCs w:val="24"/>
                <w:highlight w:val="none"/>
              </w:rPr>
              <w:t>蛇莓</w:t>
            </w:r>
            <w:r>
              <w:rPr>
                <w:rFonts w:hint="eastAsia" w:ascii="Times New Roman" w:hAnsi="Times New Roman"/>
                <w:bCs/>
                <w:i/>
                <w:iCs/>
                <w:color w:val="auto"/>
                <w:kern w:val="0"/>
                <w:sz w:val="24"/>
                <w:szCs w:val="24"/>
                <w:highlight w:val="none"/>
              </w:rPr>
              <w:t>Duchesnea indica</w:t>
            </w:r>
            <w:r>
              <w:rPr>
                <w:rFonts w:hint="eastAsia" w:ascii="Times New Roman" w:hAnsi="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地石榴</w:t>
            </w:r>
            <w:r>
              <w:rPr>
                <w:rFonts w:hint="default" w:ascii="Times New Roman" w:hAnsi="Times New Roman" w:eastAsia="宋体" w:cs="Times New Roman"/>
                <w:bCs/>
                <w:i/>
                <w:iCs/>
                <w:color w:val="auto"/>
                <w:kern w:val="0"/>
                <w:sz w:val="24"/>
                <w:szCs w:val="24"/>
                <w:highlight w:val="none"/>
                <w:lang w:val="en-US" w:eastAsia="zh-CN"/>
              </w:rPr>
              <w:t>Ficus ti-koua</w:t>
            </w:r>
            <w:r>
              <w:rPr>
                <w:rFonts w:hint="eastAsia" w:cs="Times New Roman"/>
                <w:i/>
                <w:iCs/>
                <w:color w:val="auto"/>
                <w:kern w:val="0"/>
                <w:sz w:val="24"/>
                <w:szCs w:val="24"/>
                <w:highlight w:val="none"/>
                <w:lang w:eastAsia="zh-CN"/>
              </w:rPr>
              <w:t>、</w:t>
            </w:r>
            <w:r>
              <w:rPr>
                <w:rFonts w:hint="eastAsia" w:cs="Times New Roman"/>
                <w:i w:val="0"/>
                <w:iCs w:val="0"/>
                <w:color w:val="auto"/>
                <w:kern w:val="0"/>
                <w:sz w:val="24"/>
                <w:szCs w:val="24"/>
                <w:highlight w:val="none"/>
                <w:lang w:val="en-US" w:eastAsia="zh-CN"/>
              </w:rPr>
              <w:t>鼠曲草</w:t>
            </w:r>
            <w:r>
              <w:rPr>
                <w:rFonts w:hint="eastAsia" w:ascii="Times New Roman" w:hAnsi="宋体" w:eastAsia="宋体" w:cs="Times New Roman"/>
                <w:i/>
                <w:iCs/>
                <w:color w:val="auto"/>
                <w:sz w:val="24"/>
                <w:szCs w:val="24"/>
                <w:highlight w:val="none"/>
              </w:rPr>
              <w:t>Herba Gnaphalii Affinis</w:t>
            </w:r>
            <w:r>
              <w:rPr>
                <w:rFonts w:hint="eastAsia"/>
                <w:color w:val="auto"/>
                <w:sz w:val="24"/>
                <w:szCs w:val="28"/>
                <w:highlight w:val="none"/>
              </w:rPr>
              <w:t>等</w:t>
            </w:r>
            <w:r>
              <w:rPr>
                <w:rFonts w:hint="eastAsia" w:ascii="Times New Roman" w:hAnsi="Times New Roman"/>
                <w:bCs/>
                <w:color w:val="auto"/>
                <w:sz w:val="24"/>
                <w:szCs w:val="24"/>
                <w:highlight w:val="none"/>
              </w:rPr>
              <w:t>。</w:t>
            </w:r>
          </w:p>
          <w:p w14:paraId="604BAC06">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2）人工植被</w:t>
            </w:r>
          </w:p>
          <w:p w14:paraId="44AC40A0">
            <w:pPr>
              <w:keepNext w:val="0"/>
              <w:keepLines w:val="0"/>
              <w:suppressLineNumbers w:val="0"/>
              <w:adjustRightInd w:val="0"/>
              <w:spacing w:before="0" w:beforeAutospacing="0" w:after="0" w:afterAutospacing="0" w:line="360" w:lineRule="auto"/>
              <w:ind w:left="0" w:right="0" w:firstLine="480" w:firstLineChars="200"/>
              <w:rPr>
                <w:rFonts w:hint="default"/>
                <w:color w:val="auto"/>
                <w:sz w:val="24"/>
                <w:szCs w:val="28"/>
                <w:highlight w:val="none"/>
              </w:rPr>
            </w:pPr>
            <w:r>
              <w:rPr>
                <w:rFonts w:hint="eastAsia"/>
                <w:color w:val="auto"/>
                <w:sz w:val="24"/>
                <w:szCs w:val="28"/>
                <w:highlight w:val="none"/>
              </w:rPr>
              <w:t>评价区及周边区域耕地分布广，面积大。由于气候干燥，缺少灌溉用水，评价区的耕地多为旱地，主要种植玉米、</w:t>
            </w:r>
            <w:r>
              <w:rPr>
                <w:rFonts w:hint="eastAsia"/>
                <w:color w:val="auto"/>
                <w:sz w:val="24"/>
                <w:szCs w:val="28"/>
                <w:highlight w:val="none"/>
                <w:lang w:val="en-US" w:eastAsia="zh-CN"/>
              </w:rPr>
              <w:t>烤烟</w:t>
            </w:r>
            <w:r>
              <w:rPr>
                <w:rFonts w:hint="eastAsia"/>
                <w:color w:val="auto"/>
                <w:sz w:val="24"/>
                <w:szCs w:val="28"/>
                <w:highlight w:val="none"/>
              </w:rPr>
              <w:t>等，部分耕地已经弃耕为荒地（荒草地）。</w:t>
            </w:r>
          </w:p>
          <w:p w14:paraId="6DB2FBEA">
            <w:pPr>
              <w:pStyle w:val="1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3</w:t>
            </w:r>
            <w:r>
              <w:rPr>
                <w:rFonts w:hint="default" w:ascii="Times New Roman" w:hAnsi="宋体" w:eastAsia="宋体" w:cs="Times New Roman"/>
                <w:color w:val="auto"/>
                <w:highlight w:val="none"/>
                <w:lang w:val="en-US" w:eastAsia="zh-CN"/>
              </w:rPr>
              <w:t>）保护植物及古树名木</w:t>
            </w:r>
          </w:p>
          <w:p w14:paraId="79BB2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①重点保护植物</w:t>
            </w:r>
            <w:r>
              <w:rPr>
                <w:rFonts w:hint="eastAsia" w:cs="Times New Roman"/>
                <w:color w:val="auto"/>
                <w:sz w:val="24"/>
                <w:szCs w:val="24"/>
                <w:highlight w:val="none"/>
                <w:lang w:val="en-US" w:eastAsia="zh-CN"/>
              </w:rPr>
              <w:t>与特有种</w:t>
            </w:r>
          </w:p>
          <w:p w14:paraId="172F4BEF">
            <w:pPr>
              <w:pStyle w:val="131"/>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eastAsia="宋体" w:cs="Times New Roman"/>
                <w:color w:val="auto"/>
                <w:kern w:val="2"/>
                <w:sz w:val="24"/>
                <w:szCs w:val="24"/>
                <w:highlight w:val="none"/>
                <w:shd w:val="clear" w:color="auto" w:fill="auto"/>
                <w:lang w:val="en-US" w:eastAsia="zh-CN" w:bidi="ar-SA"/>
              </w:rPr>
            </w:pPr>
            <w:r>
              <w:rPr>
                <w:rFonts w:hint="default" w:ascii="Times New Roman" w:hAnsi="宋体" w:eastAsia="宋体" w:cs="Times New Roman"/>
                <w:color w:val="auto"/>
                <w:kern w:val="2"/>
                <w:sz w:val="24"/>
                <w:szCs w:val="24"/>
                <w:highlight w:val="none"/>
                <w:shd w:val="clear" w:color="auto" w:fill="auto"/>
                <w:lang w:val="en-US" w:eastAsia="zh-CN" w:bidi="ar-SA"/>
              </w:rPr>
              <w:t>根据野外考察结果，本</w:t>
            </w:r>
            <w:r>
              <w:rPr>
                <w:rFonts w:hint="eastAsia" w:ascii="Times New Roman" w:hAnsi="宋体" w:eastAsia="宋体" w:cs="Times New Roman"/>
                <w:color w:val="auto"/>
                <w:kern w:val="2"/>
                <w:sz w:val="24"/>
                <w:szCs w:val="24"/>
                <w:highlight w:val="none"/>
                <w:shd w:val="clear" w:color="auto" w:fill="auto"/>
                <w:lang w:val="en-US" w:eastAsia="zh-CN" w:bidi="ar-SA"/>
              </w:rPr>
              <w:t>项目</w:t>
            </w:r>
            <w:r>
              <w:rPr>
                <w:rFonts w:hint="default" w:ascii="Times New Roman" w:hAnsi="宋体" w:eastAsia="宋体" w:cs="Times New Roman"/>
                <w:color w:val="auto"/>
                <w:kern w:val="2"/>
                <w:sz w:val="24"/>
                <w:szCs w:val="24"/>
                <w:highlight w:val="none"/>
                <w:shd w:val="clear" w:color="auto" w:fill="auto"/>
                <w:lang w:val="en-US" w:eastAsia="zh-CN" w:bidi="ar-SA"/>
              </w:rPr>
              <w:t>生态环境影响评价区内无《国家重点保护野生植物名录》（2021）记载的野生保护植物，无</w:t>
            </w:r>
            <w:r>
              <w:rPr>
                <w:rFonts w:hint="eastAsia" w:ascii="Times New Roman" w:hAnsi="宋体" w:eastAsia="宋体" w:cs="Times New Roman"/>
                <w:color w:val="auto"/>
                <w:kern w:val="2"/>
                <w:sz w:val="24"/>
                <w:szCs w:val="24"/>
                <w:highlight w:val="none"/>
                <w:shd w:val="clear" w:color="auto" w:fill="auto"/>
                <w:lang w:val="en-US" w:eastAsia="zh-CN" w:bidi="ar-SA"/>
              </w:rPr>
              <w:t>《云南省重点保护野生植物名录》（2023年）</w:t>
            </w:r>
            <w:r>
              <w:rPr>
                <w:rFonts w:hint="default" w:ascii="Times New Roman" w:hAnsi="宋体" w:eastAsia="宋体" w:cs="Times New Roman"/>
                <w:color w:val="auto"/>
                <w:kern w:val="2"/>
                <w:sz w:val="24"/>
                <w:szCs w:val="24"/>
                <w:highlight w:val="none"/>
                <w:shd w:val="clear" w:color="auto" w:fill="auto"/>
                <w:lang w:val="en-US" w:eastAsia="zh-CN" w:bidi="ar-SA"/>
              </w:rPr>
              <w:t>记载的野生保护植物</w:t>
            </w:r>
            <w:r>
              <w:rPr>
                <w:rFonts w:hint="eastAsia" w:ascii="Times New Roman" w:hAnsi="宋体" w:eastAsia="宋体" w:cs="Times New Roman"/>
                <w:color w:val="auto"/>
                <w:kern w:val="2"/>
                <w:sz w:val="24"/>
                <w:szCs w:val="24"/>
                <w:highlight w:val="none"/>
                <w:shd w:val="clear" w:color="auto" w:fill="auto"/>
                <w:lang w:val="en-US" w:eastAsia="zh-CN" w:bidi="ar-SA"/>
              </w:rPr>
              <w:t>，无《云南省极小种群野生植物保护名录》</w:t>
            </w:r>
            <w:r>
              <w:rPr>
                <w:rFonts w:hint="default" w:ascii="Times New Roman" w:hAnsi="宋体" w:eastAsia="宋体" w:cs="Times New Roman"/>
                <w:color w:val="auto"/>
                <w:kern w:val="2"/>
                <w:sz w:val="24"/>
                <w:szCs w:val="24"/>
                <w:highlight w:val="none"/>
                <w:shd w:val="clear" w:color="auto" w:fill="auto"/>
                <w:lang w:val="en-US" w:eastAsia="zh-CN" w:bidi="ar-SA"/>
              </w:rPr>
              <w:t>记载的</w:t>
            </w:r>
            <w:r>
              <w:rPr>
                <w:rFonts w:hint="eastAsia" w:ascii="Times New Roman" w:hAnsi="宋体" w:eastAsia="宋体" w:cs="Times New Roman"/>
                <w:color w:val="auto"/>
                <w:kern w:val="2"/>
                <w:sz w:val="24"/>
                <w:szCs w:val="24"/>
                <w:highlight w:val="none"/>
                <w:shd w:val="clear" w:color="auto" w:fill="auto"/>
                <w:lang w:val="en-US" w:eastAsia="zh-CN" w:bidi="ar-SA"/>
              </w:rPr>
              <w:t>极小种群野生保护植物</w:t>
            </w:r>
            <w:r>
              <w:rPr>
                <w:rFonts w:hint="default" w:ascii="Times New Roman" w:hAnsi="宋体" w:eastAsia="宋体" w:cs="Times New Roman"/>
                <w:color w:val="auto"/>
                <w:kern w:val="2"/>
                <w:sz w:val="24"/>
                <w:szCs w:val="24"/>
                <w:highlight w:val="none"/>
                <w:shd w:val="clear" w:color="auto" w:fill="auto"/>
                <w:lang w:val="en-US" w:eastAsia="zh-CN" w:bidi="ar-SA"/>
              </w:rPr>
              <w:t>。现场调查未发现区域局域分布的物种。</w:t>
            </w:r>
          </w:p>
          <w:p w14:paraId="59499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②名木古树</w:t>
            </w:r>
          </w:p>
          <w:p w14:paraId="255679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根据云南省林业厅文件云林保护字</w:t>
            </w:r>
            <w:r>
              <w:rPr>
                <w:rFonts w:hint="eastAsia" w:cs="Times New Roman"/>
                <w:color w:val="auto"/>
                <w:kern w:val="0"/>
                <w:sz w:val="24"/>
                <w:szCs w:val="24"/>
                <w:highlight w:val="none"/>
                <w:lang w:eastAsia="zh-CN"/>
              </w:rPr>
              <w:t>〔1996〕65号</w:t>
            </w:r>
            <w:r>
              <w:rPr>
                <w:rFonts w:hint="default" w:ascii="Times New Roman" w:hAnsi="Times New Roman" w:cs="Times New Roman"/>
                <w:color w:val="auto"/>
                <w:kern w:val="0"/>
                <w:sz w:val="24"/>
                <w:szCs w:val="24"/>
                <w:highlight w:val="none"/>
                <w:lang w:eastAsia="zh-CN"/>
              </w:rPr>
              <w:t>《关于印发云南省古树名木名录的通知》和实地走访，在评价区范围内未发现有名木古树分布。</w:t>
            </w:r>
          </w:p>
          <w:p w14:paraId="0343B6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color w:val="auto"/>
                <w:sz w:val="24"/>
                <w:szCs w:val="24"/>
                <w:highlight w:val="none"/>
                <w:shd w:val="clear" w:color="auto" w:fill="auto"/>
                <w:lang w:val="en-US" w:eastAsia="zh-CN"/>
              </w:rPr>
            </w:pPr>
            <w:r>
              <w:rPr>
                <w:rFonts w:hint="eastAsia" w:ascii="Times New Roman" w:hAnsi="宋体" w:eastAsia="宋体" w:cs="Times New Roman"/>
                <w:color w:val="auto"/>
                <w:sz w:val="24"/>
                <w:szCs w:val="24"/>
                <w:highlight w:val="none"/>
                <w:shd w:val="clear" w:color="auto" w:fill="auto"/>
                <w:lang w:val="en-US" w:eastAsia="zh-CN"/>
              </w:rPr>
              <w:t>综上，根据现场调查和查阅相关资料，项目评价区内，未发现国家级和省级重点保护野生植物，也未发现珍稀濒危植物、古树名木、地方狭隘物种分布。</w:t>
            </w:r>
          </w:p>
          <w:p w14:paraId="3C491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eastAsia" w:cs="Times New Roman"/>
                <w:b/>
                <w:bCs/>
                <w:color w:val="auto"/>
                <w:sz w:val="24"/>
                <w:szCs w:val="24"/>
                <w:highlight w:val="none"/>
                <w:lang w:val="en-US" w:eastAsia="zh-CN"/>
              </w:rPr>
              <w:t>4.7</w:t>
            </w:r>
            <w:r>
              <w:rPr>
                <w:rFonts w:hint="default" w:ascii="Times New Roman" w:hAnsi="Times New Roman" w:eastAsia="宋体" w:cs="Times New Roman"/>
                <w:b/>
                <w:bCs/>
                <w:color w:val="auto"/>
                <w:sz w:val="24"/>
                <w:szCs w:val="24"/>
                <w:highlight w:val="none"/>
                <w:lang w:val="en-US" w:eastAsia="zh-CN"/>
              </w:rPr>
              <w:t>陆生脊椎动物现状</w:t>
            </w:r>
          </w:p>
          <w:p w14:paraId="72563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（1）两栖类</w:t>
            </w:r>
          </w:p>
          <w:p w14:paraId="7F6EE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color w:val="auto"/>
                <w:sz w:val="24"/>
                <w:highlight w:val="none"/>
              </w:rPr>
              <w:t>评价区</w:t>
            </w:r>
            <w:r>
              <w:rPr>
                <w:rFonts w:hint="eastAsia"/>
                <w:color w:val="auto"/>
                <w:sz w:val="24"/>
                <w:highlight w:val="none"/>
              </w:rPr>
              <w:t>范围不大</w:t>
            </w:r>
            <w:r>
              <w:rPr>
                <w:rFonts w:hint="default"/>
                <w:color w:val="auto"/>
                <w:sz w:val="24"/>
                <w:highlight w:val="none"/>
              </w:rPr>
              <w:t>，生境主要</w:t>
            </w:r>
            <w:r>
              <w:rPr>
                <w:rFonts w:hint="eastAsia"/>
                <w:color w:val="auto"/>
                <w:sz w:val="24"/>
                <w:highlight w:val="none"/>
              </w:rPr>
              <w:t>是灌草丛、松林、耕地、河流等</w:t>
            </w:r>
            <w:r>
              <w:rPr>
                <w:rFonts w:hint="default"/>
                <w:color w:val="auto"/>
                <w:sz w:val="24"/>
                <w:highlight w:val="none"/>
              </w:rPr>
              <w:t>，</w:t>
            </w:r>
            <w:r>
              <w:rPr>
                <w:rFonts w:hint="eastAsia"/>
                <w:color w:val="auto"/>
                <w:sz w:val="24"/>
                <w:highlight w:val="none"/>
              </w:rPr>
              <w:t>生境类型单一，受人类干扰影响严重，且区域气候干热，</w:t>
            </w:r>
            <w:r>
              <w:rPr>
                <w:rFonts w:hint="default"/>
                <w:color w:val="auto"/>
                <w:sz w:val="24"/>
                <w:highlight w:val="none"/>
              </w:rPr>
              <w:t>两栖动物种类数量</w:t>
            </w:r>
            <w:r>
              <w:rPr>
                <w:rFonts w:hint="eastAsia"/>
                <w:color w:val="auto"/>
                <w:sz w:val="24"/>
                <w:highlight w:val="none"/>
              </w:rPr>
              <w:t>不多。根据现场</w:t>
            </w:r>
            <w:r>
              <w:rPr>
                <w:rFonts w:hint="default"/>
                <w:color w:val="auto"/>
                <w:sz w:val="24"/>
                <w:highlight w:val="none"/>
              </w:rPr>
              <w:t>调查</w:t>
            </w:r>
            <w:r>
              <w:rPr>
                <w:rFonts w:hint="eastAsia"/>
                <w:color w:val="auto"/>
                <w:sz w:val="24"/>
                <w:highlight w:val="none"/>
              </w:rPr>
              <w:t>及相关资料</w:t>
            </w:r>
            <w:r>
              <w:rPr>
                <w:rFonts w:hint="default"/>
                <w:color w:val="auto"/>
                <w:sz w:val="24"/>
                <w:highlight w:val="none"/>
              </w:rPr>
              <w:t>，</w:t>
            </w:r>
            <w:r>
              <w:rPr>
                <w:rFonts w:hint="eastAsia"/>
                <w:color w:val="auto"/>
                <w:sz w:val="24"/>
                <w:highlight w:val="none"/>
              </w:rPr>
              <w:t>项目生态环境影响</w:t>
            </w:r>
            <w:r>
              <w:rPr>
                <w:rFonts w:hint="default"/>
                <w:color w:val="auto"/>
                <w:sz w:val="24"/>
                <w:highlight w:val="none"/>
              </w:rPr>
              <w:t>评价区内</w:t>
            </w:r>
            <w:r>
              <w:rPr>
                <w:rFonts w:hint="eastAsia"/>
                <w:color w:val="auto"/>
                <w:sz w:val="24"/>
                <w:highlight w:val="none"/>
              </w:rPr>
              <w:t>分布</w:t>
            </w:r>
            <w:r>
              <w:rPr>
                <w:rFonts w:hint="default"/>
                <w:color w:val="auto"/>
                <w:sz w:val="24"/>
                <w:highlight w:val="none"/>
              </w:rPr>
              <w:t>有</w:t>
            </w:r>
            <w:r>
              <w:rPr>
                <w:rFonts w:hint="eastAsia"/>
                <w:color w:val="auto"/>
                <w:sz w:val="24"/>
                <w:highlight w:val="none"/>
              </w:rPr>
              <w:t>黑眶蟾蜍</w:t>
            </w:r>
            <w:r>
              <w:rPr>
                <w:rFonts w:hint="eastAsia"/>
                <w:i/>
                <w:iCs/>
                <w:color w:val="auto"/>
                <w:sz w:val="24"/>
                <w:highlight w:val="none"/>
              </w:rPr>
              <w:t>Duttaphrynus melanostictus</w:t>
            </w:r>
            <w:r>
              <w:rPr>
                <w:rFonts w:hint="eastAsia"/>
                <w:color w:val="auto"/>
                <w:sz w:val="24"/>
                <w:highlight w:val="none"/>
              </w:rPr>
              <w:t>、滇蛙</w:t>
            </w:r>
            <w:r>
              <w:rPr>
                <w:rFonts w:hint="eastAsia"/>
                <w:i/>
                <w:iCs/>
                <w:color w:val="auto"/>
                <w:sz w:val="24"/>
                <w:highlight w:val="none"/>
              </w:rPr>
              <w:t>Dianrana</w:t>
            </w:r>
            <w:r>
              <w:rPr>
                <w:rFonts w:hint="eastAsia"/>
                <w:color w:val="auto"/>
                <w:sz w:val="24"/>
                <w:highlight w:val="none"/>
              </w:rPr>
              <w:t xml:space="preserve"> </w:t>
            </w:r>
            <w:r>
              <w:rPr>
                <w:rFonts w:hint="eastAsia"/>
                <w:i/>
                <w:iCs/>
                <w:color w:val="auto"/>
                <w:sz w:val="24"/>
                <w:highlight w:val="none"/>
              </w:rPr>
              <w:t>pleuraden</w:t>
            </w:r>
            <w:r>
              <w:rPr>
                <w:rFonts w:hint="eastAsia"/>
                <w:color w:val="auto"/>
                <w:sz w:val="24"/>
                <w:highlight w:val="none"/>
              </w:rPr>
              <w:t>、泽蛙</w:t>
            </w:r>
            <w:r>
              <w:rPr>
                <w:rFonts w:hint="eastAsia"/>
                <w:i/>
                <w:iCs/>
                <w:color w:val="auto"/>
                <w:sz w:val="24"/>
                <w:highlight w:val="none"/>
              </w:rPr>
              <w:t>Fejervarya</w:t>
            </w:r>
            <w:r>
              <w:rPr>
                <w:rFonts w:hint="eastAsia"/>
                <w:color w:val="auto"/>
                <w:sz w:val="24"/>
                <w:highlight w:val="none"/>
              </w:rPr>
              <w:t xml:space="preserve"> </w:t>
            </w:r>
            <w:r>
              <w:rPr>
                <w:rFonts w:hint="eastAsia"/>
                <w:i/>
                <w:iCs/>
                <w:color w:val="auto"/>
                <w:sz w:val="24"/>
                <w:highlight w:val="none"/>
              </w:rPr>
              <w:t>multistriata</w:t>
            </w:r>
            <w:r>
              <w:rPr>
                <w:rFonts w:hint="eastAsia"/>
                <w:color w:val="auto"/>
                <w:sz w:val="24"/>
                <w:highlight w:val="none"/>
              </w:rPr>
              <w:t>等</w:t>
            </w:r>
            <w:r>
              <w:rPr>
                <w:rFonts w:hint="eastAsia"/>
                <w:color w:val="auto"/>
                <w:sz w:val="24"/>
                <w:highlight w:val="none"/>
                <w:lang w:eastAsia="zh-CN"/>
              </w:rPr>
              <w:t>。</w:t>
            </w:r>
            <w:r>
              <w:rPr>
                <w:rFonts w:hint="eastAsia" w:ascii="Times New Roman" w:hAnsi="宋体" w:eastAsia="宋体"/>
                <w:color w:val="auto"/>
                <w:sz w:val="24"/>
                <w:szCs w:val="24"/>
                <w:highlight w:val="none"/>
                <w:lang w:val="en-US" w:eastAsia="zh-CN"/>
              </w:rPr>
              <w:t>评价区未记录</w:t>
            </w:r>
            <w:r>
              <w:rPr>
                <w:rFonts w:hint="eastAsia" w:hAnsi="宋体"/>
                <w:color w:val="auto"/>
                <w:sz w:val="24"/>
                <w:szCs w:val="24"/>
                <w:highlight w:val="none"/>
                <w:lang w:val="en-US" w:eastAsia="zh-CN"/>
              </w:rPr>
              <w:t>到</w:t>
            </w:r>
            <w:r>
              <w:rPr>
                <w:rFonts w:hint="eastAsia" w:ascii="Times New Roman" w:hAnsi="宋体" w:eastAsia="宋体"/>
                <w:color w:val="auto"/>
                <w:sz w:val="24"/>
                <w:szCs w:val="24"/>
                <w:highlight w:val="none"/>
                <w:lang w:val="en-US" w:eastAsia="zh-CN"/>
              </w:rPr>
              <w:t>国家和云南省重点保护</w:t>
            </w:r>
            <w:r>
              <w:rPr>
                <w:rFonts w:hint="default" w:ascii="Times New Roman" w:hAnsi="Times New Roman" w:eastAsia="宋体" w:cs="Times New Roman"/>
                <w:color w:val="auto"/>
                <w:sz w:val="24"/>
                <w:szCs w:val="24"/>
                <w:highlight w:val="none"/>
                <w:lang w:val="en-US" w:eastAsia="zh-CN"/>
              </w:rPr>
              <w:t>两栖</w:t>
            </w:r>
            <w:r>
              <w:rPr>
                <w:rFonts w:hint="eastAsia" w:ascii="Times New Roman" w:hAnsi="宋体" w:eastAsia="宋体"/>
                <w:color w:val="auto"/>
                <w:sz w:val="24"/>
                <w:szCs w:val="24"/>
                <w:highlight w:val="none"/>
                <w:lang w:val="en-US" w:eastAsia="zh-CN"/>
              </w:rPr>
              <w:t>类动物分布。</w:t>
            </w:r>
          </w:p>
          <w:p w14:paraId="6C1BF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宋体" w:eastAsia="宋体"/>
                <w:color w:val="auto"/>
                <w:sz w:val="24"/>
                <w:szCs w:val="24"/>
                <w:lang w:val="en-US" w:eastAsia="zh-CN"/>
              </w:rPr>
              <w:t>评价范围调查记录到的两栖动物，绝大部分在我省分布范围广、种群数量稳定，无国家或省级重点保护的两栖动物和中国脊椎动物红色名录中列为“极危”、“濒危”、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60976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（2）爬行类</w:t>
            </w:r>
          </w:p>
          <w:p w14:paraId="6568C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highlight w:val="none"/>
                <w:lang w:val="en-US" w:eastAsia="zh-CN"/>
              </w:rPr>
            </w:pPr>
            <w:r>
              <w:rPr>
                <w:rFonts w:hint="eastAsia" w:ascii="Times New Roman" w:hAnsi="宋体" w:eastAsia="宋体"/>
                <w:color w:val="auto"/>
                <w:sz w:val="24"/>
                <w:szCs w:val="24"/>
                <w:highlight w:val="none"/>
                <w:lang w:val="en-US" w:eastAsia="zh-CN"/>
              </w:rPr>
              <w:t>经调查，评价区分布的爬行动物种类和数量也不多，常见的主要有云南半叶趾虎</w:t>
            </w:r>
            <w:r>
              <w:rPr>
                <w:rFonts w:hint="eastAsia" w:ascii="Times New Roman" w:hAnsi="宋体" w:eastAsia="宋体"/>
                <w:i/>
                <w:iCs/>
                <w:color w:val="auto"/>
                <w:sz w:val="24"/>
                <w:szCs w:val="24"/>
                <w:highlight w:val="none"/>
                <w:lang w:val="en-US" w:eastAsia="zh-CN"/>
              </w:rPr>
              <w:t>Hemiphyllodactylus yunnanensis</w:t>
            </w:r>
            <w:r>
              <w:rPr>
                <w:rFonts w:hint="eastAsia" w:ascii="Times New Roman" w:hAnsi="宋体" w:eastAsia="宋体"/>
                <w:color w:val="auto"/>
                <w:sz w:val="24"/>
                <w:szCs w:val="24"/>
                <w:highlight w:val="none"/>
                <w:lang w:val="en-US" w:eastAsia="zh-CN"/>
              </w:rPr>
              <w:t>、蜓蜥</w:t>
            </w:r>
            <w:r>
              <w:rPr>
                <w:rFonts w:hint="eastAsia" w:ascii="Times New Roman" w:hAnsi="宋体" w:eastAsia="宋体"/>
                <w:i/>
                <w:iCs/>
                <w:color w:val="auto"/>
                <w:sz w:val="24"/>
                <w:szCs w:val="24"/>
                <w:highlight w:val="none"/>
                <w:lang w:val="en-US" w:eastAsia="zh-CN"/>
              </w:rPr>
              <w:t>Lygosomaindicum</w:t>
            </w:r>
            <w:r>
              <w:rPr>
                <w:rFonts w:hint="eastAsia" w:ascii="Times New Roman" w:hAnsi="宋体" w:eastAsia="宋体"/>
                <w:color w:val="auto"/>
                <w:sz w:val="24"/>
                <w:szCs w:val="24"/>
                <w:highlight w:val="none"/>
                <w:lang w:val="en-US" w:eastAsia="zh-CN"/>
              </w:rPr>
              <w:t>、</w:t>
            </w:r>
            <w:r>
              <w:rPr>
                <w:rFonts w:hint="eastAsia"/>
                <w:color w:val="auto"/>
                <w:sz w:val="24"/>
                <w:highlight w:val="none"/>
              </w:rPr>
              <w:t>云南攀蜥</w:t>
            </w:r>
            <w:r>
              <w:rPr>
                <w:rFonts w:hint="eastAsia"/>
                <w:i/>
                <w:iCs/>
                <w:color w:val="auto"/>
                <w:sz w:val="24"/>
                <w:highlight w:val="none"/>
              </w:rPr>
              <w:t>Japalura</w:t>
            </w:r>
            <w:r>
              <w:rPr>
                <w:rFonts w:hint="eastAsia"/>
                <w:color w:val="auto"/>
                <w:sz w:val="24"/>
                <w:highlight w:val="none"/>
              </w:rPr>
              <w:t xml:space="preserve"> </w:t>
            </w:r>
            <w:r>
              <w:rPr>
                <w:rFonts w:hint="eastAsia"/>
                <w:i/>
                <w:iCs/>
                <w:color w:val="auto"/>
                <w:sz w:val="24"/>
                <w:highlight w:val="none"/>
              </w:rPr>
              <w:t>yunnanensis</w:t>
            </w:r>
            <w:r>
              <w:rPr>
                <w:rFonts w:hint="eastAsia" w:ascii="Times New Roman" w:hAnsi="宋体" w:eastAsia="宋体"/>
                <w:color w:val="auto"/>
                <w:sz w:val="24"/>
                <w:szCs w:val="24"/>
                <w:highlight w:val="none"/>
                <w:lang w:val="en-US" w:eastAsia="zh-CN"/>
              </w:rPr>
              <w:t>、石龙子</w:t>
            </w:r>
            <w:r>
              <w:rPr>
                <w:rFonts w:hint="eastAsia" w:ascii="Times New Roman" w:hAnsi="宋体" w:eastAsia="宋体"/>
                <w:i/>
                <w:iCs/>
                <w:color w:val="auto"/>
                <w:sz w:val="24"/>
                <w:szCs w:val="24"/>
                <w:highlight w:val="none"/>
                <w:lang w:val="en-US" w:eastAsia="zh-CN"/>
              </w:rPr>
              <w:t>Humeces chinensis</w:t>
            </w:r>
            <w:r>
              <w:rPr>
                <w:rFonts w:hint="eastAsia" w:ascii="Times New Roman" w:hAnsi="宋体" w:eastAsia="宋体"/>
                <w:color w:val="auto"/>
                <w:sz w:val="24"/>
                <w:szCs w:val="24"/>
                <w:highlight w:val="none"/>
                <w:lang w:val="en-US" w:eastAsia="zh-CN"/>
              </w:rPr>
              <w:t>、多线南蜥</w:t>
            </w:r>
            <w:r>
              <w:rPr>
                <w:rFonts w:hint="eastAsia" w:ascii="Times New Roman" w:hAnsi="宋体" w:eastAsia="宋体"/>
                <w:i/>
                <w:iCs/>
                <w:color w:val="auto"/>
                <w:sz w:val="24"/>
                <w:szCs w:val="24"/>
                <w:highlight w:val="none"/>
                <w:lang w:val="en-US" w:eastAsia="zh-CN"/>
              </w:rPr>
              <w:t>Mabuya multifasciata</w:t>
            </w:r>
            <w:r>
              <w:rPr>
                <w:rFonts w:hint="eastAsia" w:ascii="Times New Roman" w:hAnsi="宋体" w:eastAsia="宋体"/>
                <w:color w:val="auto"/>
                <w:sz w:val="24"/>
                <w:szCs w:val="24"/>
                <w:highlight w:val="none"/>
                <w:lang w:val="en-US" w:eastAsia="zh-CN"/>
              </w:rPr>
              <w:t>等。评价区未记录</w:t>
            </w:r>
            <w:r>
              <w:rPr>
                <w:rFonts w:hint="eastAsia" w:hAnsi="宋体"/>
                <w:color w:val="auto"/>
                <w:sz w:val="24"/>
                <w:szCs w:val="24"/>
                <w:highlight w:val="none"/>
                <w:lang w:val="en-US" w:eastAsia="zh-CN"/>
              </w:rPr>
              <w:t>到</w:t>
            </w:r>
            <w:r>
              <w:rPr>
                <w:rFonts w:hint="eastAsia" w:ascii="Times New Roman" w:hAnsi="宋体" w:eastAsia="宋体"/>
                <w:color w:val="auto"/>
                <w:sz w:val="24"/>
                <w:szCs w:val="24"/>
                <w:highlight w:val="none"/>
                <w:lang w:val="en-US" w:eastAsia="zh-CN"/>
              </w:rPr>
              <w:t>国家和云南省重点保护爬行类动物分布。</w:t>
            </w:r>
          </w:p>
          <w:p w14:paraId="025F0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宋体" w:hAnsi="宋体" w:eastAsia="宋体" w:cs="Times New Roman"/>
                <w:snapToGrid/>
                <w:color w:val="auto"/>
                <w:kern w:val="2"/>
                <w:sz w:val="24"/>
                <w:szCs w:val="24"/>
                <w:lang w:eastAsia="zh-CN"/>
              </w:rPr>
              <w:t>调查范围内的绝大部分物种在</w:t>
            </w:r>
            <w:r>
              <w:rPr>
                <w:rFonts w:hint="eastAsia" w:ascii="宋体" w:hAnsi="宋体" w:eastAsia="宋体" w:cs="Times New Roman"/>
                <w:snapToGrid/>
                <w:color w:val="auto"/>
                <w:kern w:val="2"/>
                <w:sz w:val="24"/>
                <w:szCs w:val="24"/>
                <w:lang w:val="en-US" w:eastAsia="zh-CN"/>
              </w:rPr>
              <w:t>云南</w:t>
            </w:r>
            <w:r>
              <w:rPr>
                <w:rFonts w:hint="default" w:ascii="宋体" w:hAnsi="宋体" w:eastAsia="宋体" w:cs="Times New Roman"/>
                <w:snapToGrid/>
                <w:color w:val="auto"/>
                <w:kern w:val="2"/>
                <w:sz w:val="24"/>
                <w:szCs w:val="24"/>
                <w:lang w:eastAsia="zh-CN"/>
              </w:rPr>
              <w:t>省分布范围广、种群数量稳定，无国家或省级重点保护和中国脊椎动物红色名录中列为</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极危</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濒危</w:t>
            </w:r>
            <w:r>
              <w:rPr>
                <w:rFonts w:hint="eastAsia"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val="en-US" w:eastAsia="zh-CN"/>
              </w:rPr>
              <w:t>和</w:t>
            </w:r>
            <w:r>
              <w:rPr>
                <w:rFonts w:hint="eastAsia" w:ascii="宋体" w:hAnsi="宋体" w:eastAsia="宋体" w:cs="Times New Roman"/>
                <w:snapToGrid/>
                <w:color w:val="auto"/>
                <w:kern w:val="2"/>
                <w:sz w:val="24"/>
                <w:szCs w:val="24"/>
                <w:lang w:eastAsia="zh-CN"/>
              </w:rPr>
              <w:t>“</w:t>
            </w:r>
            <w:r>
              <w:rPr>
                <w:rFonts w:hint="default" w:ascii="宋体" w:hAnsi="宋体" w:eastAsia="宋体" w:cs="Times New Roman"/>
                <w:snapToGrid/>
                <w:color w:val="auto"/>
                <w:kern w:val="2"/>
                <w:sz w:val="24"/>
                <w:szCs w:val="24"/>
                <w:lang w:eastAsia="zh-CN"/>
              </w:rPr>
              <w:t>易危</w:t>
            </w:r>
            <w:r>
              <w:rPr>
                <w:rFonts w:hint="eastAsia" w:ascii="宋体" w:hAnsi="宋体" w:eastAsia="宋体" w:cs="Times New Roman"/>
                <w:snapToGrid/>
                <w:color w:val="auto"/>
                <w:kern w:val="2"/>
                <w:sz w:val="24"/>
                <w:szCs w:val="24"/>
                <w:lang w:eastAsia="zh-CN"/>
              </w:rPr>
              <w:t>”的物种</w:t>
            </w:r>
            <w:r>
              <w:rPr>
                <w:rFonts w:hint="default" w:ascii="宋体" w:hAnsi="宋体" w:eastAsia="宋体" w:cs="Times New Roman"/>
                <w:snapToGrid/>
                <w:color w:val="auto"/>
                <w:kern w:val="2"/>
                <w:sz w:val="24"/>
                <w:szCs w:val="24"/>
                <w:lang w:eastAsia="zh-CN"/>
              </w:rPr>
              <w:t>。调查范围大部分为人类聚居区以及其活动范围，爬行动物的分布相对较少，遇见率也很低，因此受项目活动的影响不大。</w:t>
            </w:r>
          </w:p>
          <w:p w14:paraId="21EB1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（3）哺乳类</w:t>
            </w:r>
          </w:p>
          <w:p w14:paraId="322BF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宋体" w:eastAsia="宋体"/>
                <w:color w:val="auto"/>
                <w:sz w:val="24"/>
                <w:szCs w:val="24"/>
                <w:highlight w:val="none"/>
                <w:lang w:val="en-US" w:eastAsia="zh-CN"/>
              </w:rPr>
              <w:t>评价区调查记录到的哺乳动物以小型哺乳动物为主，其中以啮齿类动物居多，常见的有褐家鼠</w:t>
            </w:r>
            <w:r>
              <w:rPr>
                <w:rFonts w:hint="eastAsia" w:ascii="Times New Roman" w:hAnsi="宋体" w:eastAsia="宋体"/>
                <w:i/>
                <w:iCs/>
                <w:color w:val="auto"/>
                <w:sz w:val="24"/>
                <w:szCs w:val="24"/>
                <w:highlight w:val="none"/>
                <w:lang w:val="en-US" w:eastAsia="zh-CN"/>
              </w:rPr>
              <w:t>Rattus norvegicus</w:t>
            </w:r>
            <w:r>
              <w:rPr>
                <w:rFonts w:hint="eastAsia" w:ascii="Times New Roman" w:hAnsi="宋体" w:eastAsia="宋体"/>
                <w:color w:val="auto"/>
                <w:sz w:val="24"/>
                <w:szCs w:val="24"/>
                <w:highlight w:val="none"/>
                <w:lang w:val="en-US" w:eastAsia="zh-CN"/>
              </w:rPr>
              <w:t>、</w:t>
            </w:r>
            <w:r>
              <w:rPr>
                <w:rFonts w:hint="default"/>
                <w:color w:val="auto"/>
                <w:sz w:val="24"/>
                <w:highlight w:val="none"/>
              </w:rPr>
              <w:t>赤腹松鼠</w:t>
            </w:r>
            <w:r>
              <w:rPr>
                <w:rFonts w:hint="default"/>
                <w:i/>
                <w:iCs/>
                <w:color w:val="auto"/>
                <w:sz w:val="24"/>
                <w:highlight w:val="none"/>
              </w:rPr>
              <w:t>Callosciurus erythraeus</w:t>
            </w:r>
            <w:r>
              <w:rPr>
                <w:rFonts w:hint="eastAsia"/>
                <w:color w:val="auto"/>
                <w:sz w:val="24"/>
                <w:highlight w:val="none"/>
              </w:rPr>
              <w:t>、大足鼠</w:t>
            </w:r>
            <w:r>
              <w:rPr>
                <w:rFonts w:hint="eastAsia"/>
                <w:i/>
                <w:iCs/>
                <w:color w:val="auto"/>
                <w:sz w:val="24"/>
                <w:highlight w:val="none"/>
              </w:rPr>
              <w:t>Rattus</w:t>
            </w:r>
            <w:r>
              <w:rPr>
                <w:rFonts w:hint="eastAsia"/>
                <w:color w:val="auto"/>
                <w:sz w:val="24"/>
                <w:highlight w:val="none"/>
              </w:rPr>
              <w:t xml:space="preserve"> </w:t>
            </w:r>
            <w:r>
              <w:rPr>
                <w:rFonts w:hint="eastAsia"/>
                <w:i/>
                <w:iCs/>
                <w:color w:val="auto"/>
                <w:sz w:val="24"/>
                <w:highlight w:val="none"/>
              </w:rPr>
              <w:t>nitidus</w:t>
            </w:r>
            <w:r>
              <w:rPr>
                <w:rFonts w:hint="eastAsia" w:ascii="Times New Roman" w:hAnsi="宋体" w:eastAsia="宋体"/>
                <w:color w:val="auto"/>
                <w:sz w:val="24"/>
                <w:szCs w:val="24"/>
                <w:highlight w:val="none"/>
                <w:lang w:val="en-US" w:eastAsia="zh-CN"/>
              </w:rPr>
              <w:t>、明纹花松鼠</w:t>
            </w:r>
            <w:r>
              <w:rPr>
                <w:rFonts w:hint="eastAsia" w:ascii="Times New Roman" w:hAnsi="宋体" w:eastAsia="宋体"/>
                <w:i/>
                <w:iCs/>
                <w:color w:val="auto"/>
                <w:sz w:val="24"/>
                <w:szCs w:val="24"/>
                <w:highlight w:val="none"/>
                <w:lang w:val="en-US" w:eastAsia="zh-CN"/>
              </w:rPr>
              <w:t>Tamiops macclellandi</w:t>
            </w:r>
            <w:r>
              <w:rPr>
                <w:rFonts w:hint="eastAsia" w:ascii="Times New Roman" w:hAnsi="宋体" w:eastAsia="宋体"/>
                <w:color w:val="auto"/>
                <w:sz w:val="24"/>
                <w:szCs w:val="24"/>
                <w:highlight w:val="none"/>
                <w:lang w:val="en-US" w:eastAsia="zh-CN"/>
              </w:rPr>
              <w:t>等</w:t>
            </w:r>
            <w:r>
              <w:rPr>
                <w:rFonts w:hint="eastAsia"/>
                <w:color w:val="auto"/>
                <w:sz w:val="24"/>
                <w:highlight w:val="none"/>
              </w:rPr>
              <w:t>啮齿类小型动物</w:t>
            </w:r>
            <w:r>
              <w:rPr>
                <w:rFonts w:hint="eastAsia" w:ascii="Times New Roman" w:hAnsi="宋体" w:eastAsia="宋体"/>
                <w:color w:val="auto"/>
                <w:sz w:val="24"/>
                <w:szCs w:val="24"/>
                <w:highlight w:val="none"/>
                <w:lang w:val="en-US" w:eastAsia="zh-CN"/>
              </w:rPr>
              <w:t>，均为当地草地和农田周边常见种类。在评价区内未记录国家级和省级重点保护野生哺乳动物分布。</w:t>
            </w:r>
          </w:p>
          <w:p w14:paraId="2407C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宋体" w:eastAsia="宋体"/>
                <w:color w:val="auto"/>
                <w:sz w:val="24"/>
                <w:szCs w:val="24"/>
                <w:lang w:val="en-US" w:eastAsia="zh-CN"/>
              </w:rPr>
              <w:t>调查范围内记录到的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动物在云南均为广泛分布的常见种，无国家或省级重点保护的</w:t>
            </w:r>
            <w:r>
              <w:rPr>
                <w:rFonts w:hint="default" w:ascii="Times New Roman" w:hAnsi="Times New Roman" w:eastAsia="宋体" w:cs="Times New Roman"/>
                <w:color w:val="auto"/>
                <w:sz w:val="24"/>
                <w:szCs w:val="24"/>
                <w:lang w:val="en-US" w:eastAsia="zh-CN"/>
              </w:rPr>
              <w:t>哺乳</w:t>
            </w:r>
            <w:r>
              <w:rPr>
                <w:rFonts w:hint="eastAsia" w:ascii="Times New Roman" w:hAnsi="宋体" w:eastAsia="宋体"/>
                <w:color w:val="auto"/>
                <w:sz w:val="24"/>
                <w:szCs w:val="24"/>
                <w:lang w:val="en-US" w:eastAsia="zh-CN"/>
              </w:rPr>
              <w:t>动物和中国脊椎动物红色名录中列为“极危”、“濒危”、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易危</w:t>
            </w:r>
            <w:r>
              <w:rPr>
                <w:rFonts w:hint="default" w:ascii="Times New Roman" w:hAnsi="宋体" w:eastAsia="宋体"/>
                <w:color w:val="auto"/>
                <w:sz w:val="24"/>
                <w:szCs w:val="24"/>
                <w:lang w:val="en-US" w:eastAsia="zh-CN"/>
              </w:rPr>
              <w:t>”</w:t>
            </w:r>
            <w:r>
              <w:rPr>
                <w:rFonts w:hint="eastAsia" w:ascii="Times New Roman" w:hAnsi="宋体" w:eastAsia="宋体"/>
                <w:color w:val="auto"/>
                <w:sz w:val="24"/>
                <w:szCs w:val="24"/>
                <w:lang w:val="en-US" w:eastAsia="zh-CN"/>
              </w:rPr>
              <w:t>的物种。</w:t>
            </w:r>
          </w:p>
          <w:p w14:paraId="18D40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（4）鸟类</w:t>
            </w:r>
          </w:p>
          <w:p w14:paraId="429E6B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宋体" w:eastAsia="宋体"/>
                <w:color w:val="auto"/>
                <w:sz w:val="24"/>
                <w:szCs w:val="24"/>
                <w:highlight w:val="none"/>
                <w:lang w:val="en-US" w:eastAsia="zh-CN"/>
              </w:rPr>
            </w:pPr>
            <w:r>
              <w:rPr>
                <w:rFonts w:hint="eastAsia" w:ascii="Times New Roman" w:hAnsi="宋体" w:eastAsia="宋体"/>
                <w:color w:val="auto"/>
                <w:sz w:val="24"/>
                <w:szCs w:val="24"/>
                <w:highlight w:val="none"/>
                <w:lang w:val="en-US" w:eastAsia="zh-CN"/>
              </w:rPr>
              <w:t>通过现场调查、访问调查以及查阅相关资料，在评价区内记录的一般鸟类有大杜鹃</w:t>
            </w:r>
            <w:r>
              <w:rPr>
                <w:rFonts w:hint="eastAsia" w:ascii="Times New Roman" w:hAnsi="宋体" w:eastAsia="宋体" w:cs="Times New Roman"/>
                <w:i/>
                <w:iCs/>
                <w:color w:val="auto"/>
                <w:kern w:val="2"/>
                <w:sz w:val="24"/>
                <w:szCs w:val="24"/>
                <w:highlight w:val="none"/>
                <w:lang w:val="en-US" w:eastAsia="zh-CN" w:bidi="ar-SA"/>
              </w:rPr>
              <w:t>Cuculus canorus、</w:t>
            </w:r>
            <w:r>
              <w:rPr>
                <w:rFonts w:hint="eastAsia" w:ascii="Times New Roman" w:hAnsi="宋体" w:eastAsia="宋体"/>
                <w:color w:val="auto"/>
                <w:sz w:val="24"/>
                <w:szCs w:val="24"/>
                <w:highlight w:val="none"/>
                <w:lang w:val="en-US" w:eastAsia="zh-CN"/>
              </w:rPr>
              <w:t>黑卷尾</w:t>
            </w:r>
            <w:r>
              <w:rPr>
                <w:rFonts w:hint="eastAsia" w:ascii="Times New Roman" w:hAnsi="宋体" w:eastAsia="宋体"/>
                <w:i/>
                <w:iCs/>
                <w:color w:val="auto"/>
                <w:sz w:val="24"/>
                <w:szCs w:val="24"/>
                <w:highlight w:val="none"/>
                <w:lang w:val="en-US" w:eastAsia="zh-CN"/>
              </w:rPr>
              <w:t>Dicrurus macrocercus</w:t>
            </w:r>
            <w:r>
              <w:rPr>
                <w:rFonts w:hint="eastAsia" w:ascii="Times New Roman" w:hAnsi="宋体" w:eastAsia="宋体"/>
                <w:color w:val="auto"/>
                <w:sz w:val="24"/>
                <w:szCs w:val="24"/>
                <w:highlight w:val="none"/>
                <w:lang w:val="en-US" w:eastAsia="zh-CN"/>
              </w:rPr>
              <w:t>、松鸦</w:t>
            </w:r>
            <w:r>
              <w:rPr>
                <w:rFonts w:hint="eastAsia" w:ascii="Times New Roman" w:hAnsi="宋体" w:eastAsia="宋体"/>
                <w:i/>
                <w:iCs/>
                <w:color w:val="auto"/>
                <w:sz w:val="24"/>
                <w:szCs w:val="24"/>
                <w:highlight w:val="none"/>
                <w:lang w:val="en-US" w:eastAsia="zh-CN"/>
              </w:rPr>
              <w:t>Garrulus glandarius</w:t>
            </w:r>
            <w:r>
              <w:rPr>
                <w:rFonts w:hint="eastAsia" w:ascii="Times New Roman" w:hAnsi="宋体" w:eastAsia="宋体"/>
                <w:color w:val="auto"/>
                <w:sz w:val="24"/>
                <w:szCs w:val="24"/>
                <w:highlight w:val="none"/>
                <w:lang w:val="en-US" w:eastAsia="zh-CN"/>
              </w:rPr>
              <w:t>、大嘴乌鸦</w:t>
            </w:r>
            <w:r>
              <w:rPr>
                <w:rFonts w:hint="eastAsia" w:ascii="Times New Roman" w:hAnsi="宋体" w:eastAsia="宋体"/>
                <w:i/>
                <w:iCs/>
                <w:color w:val="auto"/>
                <w:sz w:val="24"/>
                <w:szCs w:val="24"/>
                <w:highlight w:val="none"/>
                <w:lang w:val="en-US" w:eastAsia="zh-CN"/>
              </w:rPr>
              <w:t>Corvus macrorhynchos</w:t>
            </w:r>
            <w:r>
              <w:rPr>
                <w:rFonts w:hint="eastAsia" w:ascii="Times New Roman" w:hAnsi="宋体" w:eastAsia="宋体"/>
                <w:color w:val="auto"/>
                <w:sz w:val="24"/>
                <w:szCs w:val="24"/>
                <w:highlight w:val="none"/>
                <w:lang w:val="en-US" w:eastAsia="zh-CN"/>
              </w:rPr>
              <w:t>、北红尾鸲</w:t>
            </w:r>
            <w:r>
              <w:rPr>
                <w:rFonts w:hint="eastAsia" w:ascii="Times New Roman" w:hAnsi="宋体" w:eastAsia="宋体"/>
                <w:i/>
                <w:iCs/>
                <w:color w:val="auto"/>
                <w:sz w:val="24"/>
                <w:szCs w:val="24"/>
                <w:highlight w:val="none"/>
                <w:lang w:val="en-US" w:eastAsia="zh-CN"/>
              </w:rPr>
              <w:t>Phoenicurus auroreus</w:t>
            </w:r>
            <w:r>
              <w:rPr>
                <w:rFonts w:hint="eastAsia" w:ascii="Times New Roman" w:hAnsi="宋体" w:eastAsia="宋体"/>
                <w:color w:val="auto"/>
                <w:sz w:val="24"/>
                <w:szCs w:val="24"/>
                <w:highlight w:val="none"/>
                <w:lang w:val="en-US" w:eastAsia="zh-CN"/>
              </w:rPr>
              <w:t>、大山雀</w:t>
            </w:r>
            <w:r>
              <w:rPr>
                <w:rFonts w:hint="eastAsia" w:ascii="Times New Roman" w:hAnsi="宋体" w:eastAsia="宋体"/>
                <w:i/>
                <w:iCs/>
                <w:color w:val="auto"/>
                <w:sz w:val="24"/>
                <w:szCs w:val="24"/>
                <w:highlight w:val="none"/>
                <w:lang w:val="en-US" w:eastAsia="zh-CN"/>
              </w:rPr>
              <w:t>Parus major</w:t>
            </w:r>
            <w:r>
              <w:rPr>
                <w:rFonts w:hint="eastAsia" w:ascii="Times New Roman" w:hAnsi="宋体" w:eastAsia="宋体"/>
                <w:color w:val="auto"/>
                <w:sz w:val="24"/>
                <w:szCs w:val="24"/>
                <w:highlight w:val="none"/>
                <w:lang w:val="en-US" w:eastAsia="zh-CN"/>
              </w:rPr>
              <w:t>、山麻雀</w:t>
            </w:r>
            <w:r>
              <w:rPr>
                <w:rFonts w:hint="eastAsia" w:ascii="Times New Roman" w:hAnsi="宋体" w:eastAsia="宋体"/>
                <w:i/>
                <w:iCs/>
                <w:color w:val="auto"/>
                <w:sz w:val="24"/>
                <w:szCs w:val="24"/>
                <w:highlight w:val="none"/>
                <w:lang w:val="en-US" w:eastAsia="zh-CN"/>
              </w:rPr>
              <w:t>Passer rutilans</w:t>
            </w:r>
            <w:r>
              <w:rPr>
                <w:rFonts w:hint="eastAsia" w:ascii="Times New Roman" w:hAnsi="宋体" w:eastAsia="宋体"/>
                <w:color w:val="auto"/>
                <w:sz w:val="24"/>
                <w:szCs w:val="24"/>
                <w:highlight w:val="none"/>
                <w:lang w:val="en-US" w:eastAsia="zh-CN"/>
              </w:rPr>
              <w:t>、家燕</w:t>
            </w:r>
            <w:r>
              <w:rPr>
                <w:rFonts w:hint="eastAsia" w:ascii="Times New Roman" w:hAnsi="宋体" w:eastAsia="宋体"/>
                <w:i/>
                <w:iCs/>
                <w:color w:val="auto"/>
                <w:sz w:val="24"/>
                <w:szCs w:val="24"/>
                <w:highlight w:val="none"/>
                <w:lang w:val="en-US" w:eastAsia="zh-CN"/>
              </w:rPr>
              <w:t>Hirundorustica</w:t>
            </w:r>
            <w:r>
              <w:rPr>
                <w:rFonts w:hint="eastAsia" w:ascii="Times New Roman" w:hAnsi="宋体" w:eastAsia="宋体"/>
                <w:color w:val="auto"/>
                <w:sz w:val="24"/>
                <w:szCs w:val="24"/>
                <w:highlight w:val="none"/>
                <w:lang w:val="en-US" w:eastAsia="zh-CN"/>
              </w:rPr>
              <w:t>、</w:t>
            </w:r>
            <w:r>
              <w:rPr>
                <w:rFonts w:hint="eastAsia" w:ascii="Times New Roman" w:hAnsi="宋体" w:eastAsia="宋体" w:cs="Times New Roman"/>
                <w:color w:val="auto"/>
                <w:sz w:val="24"/>
                <w:szCs w:val="24"/>
                <w:highlight w:val="none"/>
                <w:lang w:val="en-US" w:eastAsia="zh-CN"/>
              </w:rPr>
              <w:t>山斑鸠</w:t>
            </w:r>
            <w:r>
              <w:rPr>
                <w:rFonts w:hint="eastAsia" w:ascii="Times New Roman" w:hAnsi="宋体" w:eastAsia="宋体" w:cs="Times New Roman"/>
                <w:i/>
                <w:iCs/>
                <w:color w:val="auto"/>
                <w:sz w:val="24"/>
                <w:szCs w:val="24"/>
                <w:highlight w:val="none"/>
                <w:lang w:val="en-US" w:eastAsia="zh-CN"/>
              </w:rPr>
              <w:t>Streptopelia orientalis</w:t>
            </w:r>
            <w:r>
              <w:rPr>
                <w:rFonts w:hint="eastAsia" w:ascii="Times New Roman" w:hAnsi="宋体" w:eastAsia="宋体"/>
                <w:color w:val="auto"/>
                <w:sz w:val="24"/>
                <w:szCs w:val="24"/>
                <w:highlight w:val="none"/>
                <w:lang w:val="en-US" w:eastAsia="zh-CN"/>
              </w:rPr>
              <w:t>等。</w:t>
            </w:r>
          </w:p>
          <w:p w14:paraId="3D408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宋体" w:eastAsia="宋体"/>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调查范围内无国家或省级重点保护的鸟类，根据中国脊椎动物红色物名录，评价区域无</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极危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濒危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和</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易危</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鸟类。总体而言，调查区域记录到的鸟类均为我省广泛分布的常见种，受威胁程度较低。</w:t>
            </w:r>
          </w:p>
          <w:p w14:paraId="2F84F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环境敏感区</w:t>
            </w:r>
          </w:p>
          <w:p w14:paraId="69F7B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8" w:firstLineChars="200"/>
              <w:textAlignment w:val="auto"/>
              <w:rPr>
                <w:rFonts w:hint="default" w:ascii="Times New Roman" w:hAnsi="Times New Roman" w:eastAsia="宋体" w:cs="Times New Roman"/>
                <w:color w:val="auto"/>
                <w:spacing w:val="2"/>
                <w:sz w:val="24"/>
                <w:szCs w:val="24"/>
                <w:highlight w:val="none"/>
              </w:rPr>
            </w:pPr>
            <w:r>
              <w:rPr>
                <w:rFonts w:hint="eastAsia" w:ascii="Times New Roman" w:hAnsi="Times New Roman" w:eastAsia="宋体" w:cs="Times New Roman"/>
                <w:color w:val="auto"/>
                <w:spacing w:val="2"/>
                <w:sz w:val="24"/>
                <w:szCs w:val="24"/>
                <w:highlight w:val="none"/>
              </w:rPr>
              <w:t>项目评价区不涉及国家公园、自然保护区、自然公园</w:t>
            </w:r>
            <w:r>
              <w:rPr>
                <w:rFonts w:hint="eastAsia" w:ascii="Times New Roman" w:hAnsi="Times New Roman" w:eastAsia="宋体" w:cs="Times New Roman"/>
                <w:color w:val="auto"/>
                <w:spacing w:val="2"/>
                <w:sz w:val="24"/>
                <w:szCs w:val="24"/>
                <w:highlight w:val="none"/>
                <w:lang w:eastAsia="zh-CN"/>
              </w:rPr>
              <w:t>、风景名胜区</w:t>
            </w:r>
            <w:r>
              <w:rPr>
                <w:rFonts w:hint="eastAsia" w:ascii="Times New Roman" w:hAnsi="Times New Roman" w:eastAsia="宋体" w:cs="Times New Roman"/>
                <w:color w:val="auto"/>
                <w:spacing w:val="2"/>
                <w:sz w:val="24"/>
                <w:szCs w:val="24"/>
                <w:highlight w:val="none"/>
              </w:rPr>
              <w:t>等自然保护地、世界自然遗产等区域，</w:t>
            </w:r>
            <w:r>
              <w:rPr>
                <w:rFonts w:hint="eastAsia" w:ascii="Times New Roman" w:hAnsi="Times New Roman" w:eastAsia="宋体" w:cs="Times New Roman"/>
                <w:color w:val="auto"/>
                <w:spacing w:val="2"/>
                <w:sz w:val="24"/>
                <w:szCs w:val="24"/>
                <w:highlight w:val="none"/>
                <w:lang w:eastAsia="zh-CN"/>
              </w:rPr>
              <w:t>不涉及占用特有种、极小种群动植物</w:t>
            </w:r>
            <w:r>
              <w:rPr>
                <w:rFonts w:hint="eastAsia" w:ascii="Times New Roman" w:hAnsi="Times New Roman" w:eastAsia="宋体" w:cs="Times New Roman"/>
                <w:color w:val="auto"/>
                <w:spacing w:val="2"/>
                <w:sz w:val="24"/>
                <w:szCs w:val="24"/>
                <w:highlight w:val="none"/>
              </w:rPr>
              <w:t>。</w:t>
            </w:r>
            <w:bookmarkEnd w:id="18"/>
            <w:bookmarkEnd w:id="19"/>
            <w:bookmarkEnd w:id="20"/>
          </w:p>
          <w:p w14:paraId="038969F7">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根据叠图分析，项目与环境敏感区的位置关系如下：</w:t>
            </w:r>
          </w:p>
          <w:p w14:paraId="4A1041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黑体" w:hAnsi="黑体" w:eastAsia="黑体" w:cs="黑体"/>
                <w:b w:val="0"/>
                <w:bCs/>
                <w:color w:val="auto"/>
                <w:sz w:val="21"/>
                <w:szCs w:val="20"/>
                <w:highlight w:val="none"/>
                <w:lang w:val="en-US" w:eastAsia="zh-CN" w:bidi="ar-SA"/>
              </w:rPr>
            </w:pPr>
            <w:r>
              <w:rPr>
                <w:rFonts w:hint="default" w:ascii="Times New Roman" w:hAnsi="Times New Roman" w:eastAsia="宋体" w:cs="Times New Roman"/>
                <w:b/>
                <w:bCs w:val="0"/>
                <w:color w:val="auto"/>
                <w:sz w:val="21"/>
                <w:szCs w:val="20"/>
                <w:highlight w:val="none"/>
                <w:lang w:val="en-US" w:eastAsia="zh-CN" w:bidi="ar-SA"/>
              </w:rPr>
              <w:t>表3-</w:t>
            </w:r>
            <w:r>
              <w:rPr>
                <w:rFonts w:hint="eastAsia" w:cs="Times New Roman"/>
                <w:b/>
                <w:bCs w:val="0"/>
                <w:color w:val="auto"/>
                <w:sz w:val="21"/>
                <w:szCs w:val="20"/>
                <w:highlight w:val="none"/>
                <w:lang w:val="en-US" w:eastAsia="zh-CN" w:bidi="ar-SA"/>
              </w:rPr>
              <w:t>5</w:t>
            </w:r>
            <w:r>
              <w:rPr>
                <w:rFonts w:hint="eastAsia" w:ascii="Times New Roman" w:hAnsi="Times New Roman" w:eastAsia="宋体" w:cs="Times New Roman"/>
                <w:b/>
                <w:bCs w:val="0"/>
                <w:color w:val="auto"/>
                <w:sz w:val="21"/>
                <w:szCs w:val="20"/>
                <w:highlight w:val="none"/>
                <w:lang w:val="en-US" w:eastAsia="zh-CN" w:bidi="ar-SA"/>
              </w:rPr>
              <w:t xml:space="preserve">  </w:t>
            </w:r>
            <w:r>
              <w:rPr>
                <w:rFonts w:hint="default" w:ascii="Times New Roman" w:hAnsi="Times New Roman" w:eastAsia="宋体" w:cs="Times New Roman"/>
                <w:b/>
                <w:bCs w:val="0"/>
                <w:color w:val="auto"/>
                <w:sz w:val="21"/>
                <w:szCs w:val="20"/>
                <w:highlight w:val="none"/>
                <w:lang w:val="en-US" w:eastAsia="zh-CN" w:bidi="ar-SA"/>
              </w:rPr>
              <w:t>项目与环境敏感区的位置关系</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2"/>
              <w:gridCol w:w="4313"/>
            </w:tblGrid>
            <w:tr w14:paraId="49C2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247" w:type="pct"/>
                  <w:noWrap w:val="0"/>
                  <w:vAlign w:val="center"/>
                </w:tcPr>
                <w:p w14:paraId="7C65B9F1">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敏感区</w:t>
                  </w:r>
                </w:p>
              </w:tc>
              <w:tc>
                <w:tcPr>
                  <w:tcW w:w="2752" w:type="pct"/>
                  <w:noWrap w:val="0"/>
                  <w:vAlign w:val="center"/>
                </w:tcPr>
                <w:p w14:paraId="415A93AD">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项目与敏感区的位置关系（最近距离）</w:t>
                  </w:r>
                </w:p>
              </w:tc>
            </w:tr>
            <w:tr w14:paraId="6421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00648790">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生态保护红线</w:t>
                  </w:r>
                  <w:r>
                    <w:rPr>
                      <w:rFonts w:hint="eastAsia"/>
                      <w:color w:val="auto"/>
                      <w:lang w:eastAsia="zh-CN"/>
                    </w:rPr>
                    <w:t>（高原湖泊及牛栏江上游水源涵养生态保护红线）</w:t>
                  </w:r>
                </w:p>
              </w:tc>
              <w:tc>
                <w:tcPr>
                  <w:tcW w:w="2752" w:type="pct"/>
                  <w:noWrap w:val="0"/>
                  <w:vAlign w:val="center"/>
                </w:tcPr>
                <w:p w14:paraId="5254636F">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15#方阵西侧5.19m</w:t>
                  </w:r>
                </w:p>
              </w:tc>
            </w:tr>
            <w:tr w14:paraId="32F4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477B9F27">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永久基本农田</w:t>
                  </w:r>
                </w:p>
              </w:tc>
              <w:tc>
                <w:tcPr>
                  <w:tcW w:w="2752" w:type="pct"/>
                  <w:noWrap w:val="0"/>
                  <w:vAlign w:val="center"/>
                </w:tcPr>
                <w:p w14:paraId="1C891533">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w:t>
                  </w:r>
                  <w:r>
                    <w:rPr>
                      <w:rFonts w:hint="eastAsia" w:cs="Times New Roman"/>
                      <w:color w:val="auto"/>
                      <w:sz w:val="21"/>
                      <w:szCs w:val="21"/>
                      <w:highlight w:val="none"/>
                      <w:lang w:val="en-US" w:eastAsia="zh-CN"/>
                    </w:rPr>
                    <w:t>2#方阵东北侧、8#西南侧紧邻</w:t>
                  </w:r>
                </w:p>
              </w:tc>
            </w:tr>
            <w:tr w14:paraId="373B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5D65A355">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Times New Roman"/>
                      <w:color w:val="auto"/>
                      <w:sz w:val="21"/>
                      <w:szCs w:val="21"/>
                      <w:highlight w:val="none"/>
                      <w:lang w:val="zh-CN"/>
                    </w:rPr>
                    <w:t>昆明市寻甸县河口镇化桃箐水库饮用水水源保护区</w:t>
                  </w:r>
                </w:p>
              </w:tc>
              <w:tc>
                <w:tcPr>
                  <w:tcW w:w="2752" w:type="pct"/>
                  <w:noWrap w:val="0"/>
                  <w:vAlign w:val="center"/>
                </w:tcPr>
                <w:p w14:paraId="76F364D8">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12#</w:t>
                  </w:r>
                  <w:r>
                    <w:rPr>
                      <w:rFonts w:hint="eastAsia" w:ascii="Times New Roman" w:hAnsi="Times New Roman" w:eastAsia="宋体" w:cs="Times New Roman"/>
                      <w:b w:val="0"/>
                      <w:bCs w:val="0"/>
                      <w:color w:val="auto"/>
                      <w:kern w:val="2"/>
                      <w:sz w:val="21"/>
                      <w:szCs w:val="21"/>
                      <w:highlight w:val="none"/>
                      <w:lang w:val="en-US" w:eastAsia="zh-CN" w:bidi="ar-SA"/>
                    </w:rPr>
                    <w:t>方阵</w:t>
                  </w:r>
                  <w:r>
                    <w:rPr>
                      <w:rFonts w:hint="eastAsia" w:cs="Times New Roman"/>
                      <w:b w:val="0"/>
                      <w:bCs w:val="0"/>
                      <w:color w:val="auto"/>
                      <w:kern w:val="2"/>
                      <w:sz w:val="21"/>
                      <w:szCs w:val="21"/>
                      <w:highlight w:val="none"/>
                      <w:lang w:val="en-US" w:eastAsia="zh-CN" w:bidi="ar-SA"/>
                    </w:rPr>
                    <w:t>西南</w:t>
                  </w:r>
                  <w:r>
                    <w:rPr>
                      <w:rFonts w:hint="eastAsia" w:ascii="Times New Roman" w:hAnsi="Times New Roman" w:cs="Times New Roman"/>
                      <w:color w:val="auto"/>
                      <w:sz w:val="21"/>
                      <w:szCs w:val="21"/>
                      <w:highlight w:val="none"/>
                      <w:lang w:val="en-US" w:eastAsia="zh-CN"/>
                    </w:rPr>
                    <w:t>侧</w:t>
                  </w:r>
                  <w:r>
                    <w:rPr>
                      <w:rFonts w:hint="eastAsia" w:cs="Times New Roman"/>
                      <w:color w:val="auto"/>
                      <w:sz w:val="21"/>
                      <w:szCs w:val="21"/>
                      <w:highlight w:val="none"/>
                      <w:lang w:val="en-US" w:eastAsia="zh-CN"/>
                    </w:rPr>
                    <w:t>3.35k</w:t>
                  </w:r>
                  <w:r>
                    <w:rPr>
                      <w:rFonts w:hint="eastAsia" w:ascii="Times New Roman" w:hAnsi="Times New Roman" w:cs="Times New Roman"/>
                      <w:color w:val="auto"/>
                      <w:sz w:val="21"/>
                      <w:szCs w:val="21"/>
                      <w:highlight w:val="none"/>
                      <w:lang w:val="en-US" w:eastAsia="zh-CN"/>
                    </w:rPr>
                    <w:t>m</w:t>
                  </w:r>
                </w:p>
              </w:tc>
            </w:tr>
            <w:tr w14:paraId="3D8E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011775B2">
                  <w:pPr>
                    <w:keepNext w:val="0"/>
                    <w:keepLines w:val="0"/>
                    <w:suppressLineNumbers w:val="0"/>
                    <w:adjustRightInd/>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寻甸省级森林自然公园</w:t>
                  </w:r>
                </w:p>
              </w:tc>
              <w:tc>
                <w:tcPr>
                  <w:tcW w:w="2752" w:type="pct"/>
                  <w:noWrap w:val="0"/>
                  <w:vAlign w:val="center"/>
                </w:tcPr>
                <w:p w14:paraId="547CC4D1">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项目8#方阵西北</w:t>
                  </w:r>
                  <w:r>
                    <w:rPr>
                      <w:rFonts w:hint="eastAsia" w:cs="Times New Roman"/>
                      <w:b w:val="0"/>
                      <w:bCs w:val="0"/>
                      <w:color w:val="auto"/>
                      <w:kern w:val="2"/>
                      <w:sz w:val="21"/>
                      <w:szCs w:val="21"/>
                      <w:highlight w:val="none"/>
                      <w:lang w:val="en-US" w:eastAsia="zh-CN" w:bidi="ar-SA"/>
                    </w:rPr>
                    <w:t>侧</w:t>
                  </w:r>
                  <w:r>
                    <w:rPr>
                      <w:rFonts w:hint="eastAsia" w:cs="Times New Roman"/>
                      <w:color w:val="auto"/>
                      <w:sz w:val="21"/>
                      <w:szCs w:val="21"/>
                      <w:highlight w:val="none"/>
                      <w:lang w:val="en-US" w:eastAsia="zh-CN"/>
                    </w:rPr>
                    <w:t>6.66</w:t>
                  </w:r>
                  <w:r>
                    <w:rPr>
                      <w:rFonts w:hint="eastAsia" w:ascii="Times New Roman" w:hAnsi="Times New Roman" w:cs="Times New Roman"/>
                      <w:color w:val="auto"/>
                      <w:sz w:val="21"/>
                      <w:szCs w:val="21"/>
                      <w:highlight w:val="none"/>
                      <w:lang w:val="en-US" w:eastAsia="zh-CN"/>
                    </w:rPr>
                    <w:t>km</w:t>
                  </w:r>
                </w:p>
              </w:tc>
            </w:tr>
            <w:tr w14:paraId="00BA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7" w:type="pct"/>
                  <w:noWrap w:val="0"/>
                  <w:vAlign w:val="center"/>
                </w:tcPr>
                <w:p w14:paraId="35E974F3">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沾益海峰自然保护区</w:t>
                  </w:r>
                </w:p>
              </w:tc>
              <w:tc>
                <w:tcPr>
                  <w:tcW w:w="2752" w:type="pct"/>
                  <w:noWrap w:val="0"/>
                  <w:vAlign w:val="center"/>
                </w:tcPr>
                <w:p w14:paraId="25110DFD">
                  <w:pPr>
                    <w:keepNext w:val="0"/>
                    <w:keepLines w:val="0"/>
                    <w:suppressLineNumbers w:val="0"/>
                    <w:adjustRightIn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项目16#方阵东</w:t>
                  </w:r>
                  <w:r>
                    <w:rPr>
                      <w:rFonts w:hint="eastAsia" w:cs="Times New Roman"/>
                      <w:b w:val="0"/>
                      <w:bCs w:val="0"/>
                      <w:color w:val="auto"/>
                      <w:kern w:val="2"/>
                      <w:sz w:val="21"/>
                      <w:szCs w:val="21"/>
                      <w:highlight w:val="none"/>
                      <w:lang w:val="en-US" w:eastAsia="zh-CN" w:bidi="ar-SA"/>
                    </w:rPr>
                    <w:t>侧</w:t>
                  </w:r>
                  <w:r>
                    <w:rPr>
                      <w:rFonts w:hint="eastAsia" w:cs="Times New Roman"/>
                      <w:color w:val="auto"/>
                      <w:sz w:val="21"/>
                      <w:szCs w:val="21"/>
                      <w:highlight w:val="none"/>
                      <w:lang w:val="en-US" w:eastAsia="zh-CN"/>
                    </w:rPr>
                    <w:t>4.282</w:t>
                  </w:r>
                  <w:r>
                    <w:rPr>
                      <w:rFonts w:hint="eastAsia" w:ascii="Times New Roman" w:hAnsi="Times New Roman" w:cs="Times New Roman"/>
                      <w:color w:val="auto"/>
                      <w:sz w:val="21"/>
                      <w:szCs w:val="21"/>
                      <w:highlight w:val="none"/>
                      <w:lang w:val="en-US" w:eastAsia="zh-CN"/>
                    </w:rPr>
                    <w:t>km</w:t>
                  </w:r>
                </w:p>
              </w:tc>
            </w:tr>
          </w:tbl>
          <w:p w14:paraId="56C29E1E">
            <w:pPr>
              <w:keepNext w:val="0"/>
              <w:keepLines w:val="0"/>
              <w:suppressLineNumbers w:val="0"/>
              <w:bidi w:val="0"/>
              <w:adjustRightIn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spacing w:val="2"/>
                <w:sz w:val="24"/>
                <w:szCs w:val="24"/>
                <w:highlight w:val="none"/>
                <w:lang w:val="en-US" w:eastAsia="zh-CN"/>
              </w:rPr>
            </w:pPr>
            <w:r>
              <w:rPr>
                <w:rFonts w:hint="eastAsia" w:cs="Times New Roman"/>
                <w:b w:val="0"/>
                <w:bCs w:val="0"/>
                <w:color w:val="auto"/>
                <w:sz w:val="24"/>
                <w:highlight w:val="none"/>
                <w:lang w:val="en-US" w:eastAsia="zh-CN"/>
              </w:rPr>
              <w:t>根据上表分析，项目选址不涉及自然保护区、生态保护红线、饮用水水源保护区、森林公园等环境敏感区。</w:t>
            </w:r>
          </w:p>
          <w:p w14:paraId="6E741B88">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rFonts w:hint="default"/>
                <w:b/>
                <w:bCs/>
                <w:color w:val="auto"/>
                <w:kern w:val="0"/>
                <w:sz w:val="24"/>
                <w:highlight w:val="none"/>
              </w:rPr>
              <w:t>地表水环境质量现状</w:t>
            </w:r>
          </w:p>
          <w:p w14:paraId="25A61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项目涉及的地表水为</w:t>
            </w:r>
            <w:r>
              <w:rPr>
                <w:rFonts w:hint="eastAsia" w:cs="Times New Roman"/>
                <w:color w:val="auto"/>
                <w:kern w:val="0"/>
                <w:sz w:val="24"/>
                <w:szCs w:val="24"/>
                <w:highlight w:val="none"/>
                <w:lang w:val="en-US" w:eastAsia="zh-CN" w:bidi="ar-SA"/>
              </w:rPr>
              <w:t>长地</w:t>
            </w:r>
            <w:r>
              <w:rPr>
                <w:rFonts w:hint="eastAsia" w:ascii="Times New Roman" w:hAnsi="Times New Roman" w:eastAsia="宋体" w:cs="Times New Roman"/>
                <w:color w:val="auto"/>
                <w:kern w:val="0"/>
                <w:sz w:val="24"/>
                <w:szCs w:val="24"/>
                <w:highlight w:val="none"/>
                <w:lang w:val="en-US" w:eastAsia="zh-CN" w:bidi="ar-SA"/>
              </w:rPr>
              <w:t>沟</w:t>
            </w:r>
            <w:r>
              <w:rPr>
                <w:rFonts w:hint="eastAsia" w:cs="Times New Roman"/>
                <w:color w:val="auto"/>
                <w:kern w:val="0"/>
                <w:sz w:val="24"/>
                <w:szCs w:val="24"/>
                <w:highlight w:val="none"/>
                <w:lang w:val="en-US" w:eastAsia="zh-CN" w:bidi="ar-SA"/>
              </w:rPr>
              <w:t>、干河以及牛栏江</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长地</w:t>
            </w:r>
            <w:r>
              <w:rPr>
                <w:rFonts w:hint="eastAsia" w:ascii="Times New Roman" w:hAnsi="Times New Roman" w:eastAsia="宋体" w:cs="Times New Roman"/>
                <w:color w:val="auto"/>
                <w:kern w:val="0"/>
                <w:sz w:val="24"/>
                <w:szCs w:val="24"/>
                <w:highlight w:val="none"/>
                <w:lang w:val="en-US" w:eastAsia="zh-CN" w:bidi="ar-SA"/>
              </w:rPr>
              <w:t>沟</w:t>
            </w:r>
            <w:r>
              <w:rPr>
                <w:rFonts w:hint="eastAsia" w:ascii="Times New Roman" w:hAnsi="Times New Roman" w:cs="Times New Roman"/>
                <w:color w:val="auto"/>
                <w:kern w:val="0"/>
                <w:sz w:val="24"/>
                <w:szCs w:val="24"/>
                <w:highlight w:val="none"/>
                <w:lang w:val="en-US" w:eastAsia="zh-CN" w:bidi="ar-SA"/>
              </w:rPr>
              <w:t>流入</w:t>
            </w:r>
            <w:r>
              <w:rPr>
                <w:rFonts w:hint="eastAsia" w:cs="Times New Roman"/>
                <w:color w:val="auto"/>
                <w:kern w:val="0"/>
                <w:sz w:val="24"/>
                <w:szCs w:val="24"/>
                <w:highlight w:val="none"/>
                <w:lang w:val="en-US" w:eastAsia="zh-CN" w:bidi="ar-SA"/>
              </w:rPr>
              <w:t>干河</w:t>
            </w:r>
            <w:r>
              <w:rPr>
                <w:rFonts w:hint="eastAsia" w:ascii="Times New Roman" w:hAnsi="Times New Roman" w:cs="Times New Roman"/>
                <w:color w:val="auto"/>
                <w:kern w:val="0"/>
                <w:sz w:val="24"/>
                <w:szCs w:val="24"/>
                <w:highlight w:val="none"/>
                <w:lang w:val="en-US" w:eastAsia="zh-CN" w:bidi="ar-SA"/>
              </w:rPr>
              <w:t>最终都汇入</w:t>
            </w:r>
            <w:r>
              <w:rPr>
                <w:rFonts w:hint="eastAsia" w:cs="Times New Roman"/>
                <w:color w:val="auto"/>
                <w:kern w:val="0"/>
                <w:sz w:val="24"/>
                <w:szCs w:val="24"/>
                <w:highlight w:val="none"/>
                <w:lang w:val="en-US" w:eastAsia="zh-CN" w:bidi="ar-SA"/>
              </w:rPr>
              <w:t>牛栏江</w:t>
            </w:r>
            <w:r>
              <w:rPr>
                <w:rFonts w:hint="eastAsia" w:ascii="Times New Roman" w:hAnsi="Times New Roman" w:eastAsia="宋体" w:cs="Times New Roman"/>
                <w:color w:val="auto"/>
                <w:kern w:val="0"/>
                <w:sz w:val="24"/>
                <w:szCs w:val="24"/>
                <w:highlight w:val="none"/>
                <w:lang w:val="en-US" w:eastAsia="zh-CN" w:bidi="ar-SA"/>
              </w:rPr>
              <w:t>。</w:t>
            </w:r>
          </w:p>
          <w:p w14:paraId="2D444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根据《牛栏江流域（云南部分）水环境保护规划报告（2009-2030年）》，牛栏江水质规划目标为Ⅲ类水，执行《地表水环境质量标准》（GB3838</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2002）Ⅲ类标准。</w:t>
            </w:r>
          </w:p>
          <w:p w14:paraId="6B7AF4D7">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根据《</w:t>
            </w:r>
            <w:r>
              <w:rPr>
                <w:rFonts w:hint="eastAsia" w:cs="Times New Roman"/>
                <w:color w:val="auto"/>
                <w:kern w:val="0"/>
                <w:sz w:val="24"/>
                <w:szCs w:val="24"/>
                <w:highlight w:val="none"/>
                <w:lang w:val="en-US" w:eastAsia="zh-CN" w:bidi="ar-SA"/>
              </w:rPr>
              <w:t>云南省</w:t>
            </w:r>
            <w:r>
              <w:rPr>
                <w:rFonts w:hint="eastAsia" w:ascii="Times New Roman" w:hAnsi="Times New Roman" w:eastAsia="宋体" w:cs="Times New Roman"/>
                <w:color w:val="auto"/>
                <w:kern w:val="0"/>
                <w:sz w:val="24"/>
                <w:szCs w:val="24"/>
                <w:highlight w:val="none"/>
                <w:lang w:val="en-US" w:eastAsia="zh-CN" w:bidi="ar-SA"/>
              </w:rPr>
              <w:t>牛栏江保护条例》（云南省第十一届人民代表大会常务委员会公告第68号公布）总则第八条，牛栏江流域水体水质按照《地表水环境质量标准》Ⅲ类水质标准进行保护。</w:t>
            </w:r>
          </w:p>
          <w:p w14:paraId="2E3A8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综上，该段河道地表水水质执行《地表水环境质量标准》（GB3838</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2002）Ⅲ类标准。</w:t>
            </w:r>
          </w:p>
          <w:p w14:paraId="3005B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SA"/>
              </w:rPr>
              <w:t>根据2024</w:t>
            </w:r>
            <w:r>
              <w:rPr>
                <w:rFonts w:hint="eastAsia" w:cs="Times New Roman"/>
                <w:color w:val="auto"/>
                <w:kern w:val="0"/>
                <w:sz w:val="24"/>
                <w:szCs w:val="24"/>
                <w:highlight w:val="none"/>
                <w:lang w:val="en-US" w:eastAsia="zh-CN" w:bidi="ar-SA"/>
              </w:rPr>
              <w:t>年</w:t>
            </w:r>
            <w:r>
              <w:rPr>
                <w:rFonts w:hint="eastAsia" w:ascii="Times New Roman" w:hAnsi="Times New Roman" w:eastAsia="宋体" w:cs="Times New Roman"/>
                <w:color w:val="auto"/>
                <w:kern w:val="0"/>
                <w:sz w:val="24"/>
                <w:szCs w:val="24"/>
                <w:highlight w:val="none"/>
                <w:lang w:val="en-US" w:eastAsia="zh-CN" w:bidi="ar-SA"/>
              </w:rPr>
              <w:t>7</w:t>
            </w:r>
            <w:r>
              <w:rPr>
                <w:rFonts w:hint="eastAsia" w:cs="Times New Roman"/>
                <w:color w:val="auto"/>
                <w:kern w:val="0"/>
                <w:sz w:val="24"/>
                <w:szCs w:val="24"/>
                <w:highlight w:val="none"/>
                <w:lang w:val="en-US" w:eastAsia="zh-CN" w:bidi="ar-SA"/>
              </w:rPr>
              <w:t>月</w:t>
            </w:r>
            <w:r>
              <w:rPr>
                <w:rFonts w:hint="eastAsia" w:ascii="Times New Roman" w:hAnsi="Times New Roman" w:eastAsia="宋体" w:cs="Times New Roman"/>
                <w:color w:val="auto"/>
                <w:kern w:val="0"/>
                <w:sz w:val="24"/>
                <w:szCs w:val="24"/>
                <w:highlight w:val="none"/>
                <w:lang w:val="en-US" w:eastAsia="zh-CN" w:bidi="ar-SA"/>
              </w:rPr>
              <w:t>15</w:t>
            </w:r>
            <w:r>
              <w:rPr>
                <w:rFonts w:hint="eastAsia" w:cs="Times New Roman"/>
                <w:color w:val="auto"/>
                <w:kern w:val="0"/>
                <w:sz w:val="24"/>
                <w:szCs w:val="24"/>
                <w:highlight w:val="none"/>
                <w:lang w:val="en-US" w:eastAsia="zh-CN" w:bidi="ar-SA"/>
              </w:rPr>
              <w:t>日寻甸县</w:t>
            </w:r>
            <w:r>
              <w:rPr>
                <w:rFonts w:hint="eastAsia" w:ascii="Times New Roman" w:hAnsi="Times New Roman" w:eastAsia="宋体" w:cs="Times New Roman"/>
                <w:color w:val="auto"/>
                <w:kern w:val="0"/>
                <w:sz w:val="24"/>
                <w:szCs w:val="24"/>
                <w:highlight w:val="none"/>
                <w:lang w:val="en-US" w:eastAsia="zh-CN" w:bidi="ar-SA"/>
              </w:rPr>
              <w:t>人民政府</w:t>
            </w:r>
            <w:r>
              <w:rPr>
                <w:rFonts w:hint="eastAsia" w:cs="Times New Roman"/>
                <w:color w:val="auto"/>
                <w:kern w:val="0"/>
                <w:sz w:val="24"/>
                <w:szCs w:val="24"/>
                <w:highlight w:val="none"/>
                <w:lang w:val="en-US" w:eastAsia="zh-CN" w:bidi="ar-SA"/>
              </w:rPr>
              <w:t>生态</w:t>
            </w:r>
            <w:r>
              <w:rPr>
                <w:rFonts w:hint="eastAsia" w:ascii="Times New Roman" w:hAnsi="Times New Roman" w:eastAsia="宋体" w:cs="Times New Roman"/>
                <w:color w:val="auto"/>
                <w:kern w:val="0"/>
                <w:sz w:val="24"/>
                <w:szCs w:val="24"/>
                <w:highlight w:val="none"/>
                <w:lang w:val="en-US" w:eastAsia="zh-CN" w:bidi="ar-SA"/>
              </w:rPr>
              <w:t>环境信息公开《寻甸县2024年第二季度环境质量公报》显示，</w:t>
            </w:r>
            <w:r>
              <w:rPr>
                <w:rFonts w:hint="eastAsia" w:cs="Times New Roman"/>
                <w:color w:val="auto"/>
                <w:kern w:val="0"/>
                <w:sz w:val="24"/>
                <w:szCs w:val="24"/>
                <w:highlight w:val="none"/>
                <w:lang w:val="en-US" w:eastAsia="zh-CN" w:bidi="ar-SA"/>
              </w:rPr>
              <w:t>牛栏江</w:t>
            </w:r>
            <w:r>
              <w:rPr>
                <w:rFonts w:hint="eastAsia" w:ascii="Times New Roman" w:hAnsi="Times New Roman" w:eastAsia="宋体" w:cs="Times New Roman"/>
                <w:color w:val="auto"/>
                <w:kern w:val="0"/>
                <w:sz w:val="24"/>
                <w:szCs w:val="24"/>
                <w:highlight w:val="none"/>
                <w:lang w:val="en-US" w:eastAsia="zh-CN" w:bidi="ar-SA"/>
              </w:rPr>
              <w:t>河口糯基桥断面水质类别为Ⅱ类水，具体情况见图</w:t>
            </w:r>
            <w:r>
              <w:rPr>
                <w:rFonts w:hint="default" w:ascii="Times New Roman" w:hAnsi="Times New Roman" w:eastAsia="宋体" w:cs="Times New Roman"/>
                <w:color w:val="auto"/>
                <w:kern w:val="0"/>
                <w:sz w:val="24"/>
                <w:szCs w:val="24"/>
                <w:highlight w:val="none"/>
                <w:lang w:val="en-US" w:eastAsia="zh-CN" w:bidi="ar-SA"/>
              </w:rPr>
              <w:t>3-1</w:t>
            </w:r>
            <w:r>
              <w:rPr>
                <w:rFonts w:hint="eastAsia" w:ascii="Times New Roman" w:hAnsi="Times New Roman" w:eastAsia="宋体" w:cs="Times New Roman"/>
                <w:color w:val="auto"/>
                <w:kern w:val="0"/>
                <w:sz w:val="24"/>
                <w:szCs w:val="24"/>
                <w:highlight w:val="none"/>
                <w:lang w:val="en-US" w:eastAsia="zh-CN" w:bidi="ar-SA"/>
              </w:rPr>
              <w:t>。</w:t>
            </w:r>
          </w:p>
          <w:p w14:paraId="35185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4"/>
                <w:szCs w:val="24"/>
                <w:highlight w:val="none"/>
                <w:lang w:eastAsia="zh-CN"/>
              </w:rPr>
            </w:pPr>
            <w:r>
              <w:rPr>
                <w:rFonts w:hint="default"/>
                <w:color w:val="auto"/>
                <w:highlight w:val="none"/>
              </w:rPr>
              <w:drawing>
                <wp:inline distT="0" distB="0" distL="114300" distR="114300">
                  <wp:extent cx="4508500" cy="6020435"/>
                  <wp:effectExtent l="0" t="0" r="6350"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4508500" cy="6020435"/>
                          </a:xfrm>
                          <a:prstGeom prst="rect">
                            <a:avLst/>
                          </a:prstGeom>
                          <a:noFill/>
                          <a:ln>
                            <a:noFill/>
                          </a:ln>
                        </pic:spPr>
                      </pic:pic>
                    </a:graphicData>
                  </a:graphic>
                </wp:inline>
              </w:drawing>
            </w:r>
          </w:p>
          <w:p w14:paraId="5496B188">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ascii="宋体" w:hAnsi="宋体" w:eastAsia="宋体" w:cs="宋体"/>
                <w:b/>
                <w:bCs/>
                <w:color w:val="auto"/>
                <w:kern w:val="0"/>
                <w:sz w:val="21"/>
                <w:szCs w:val="21"/>
                <w:highlight w:val="none"/>
                <w:lang w:val="en-US" w:eastAsia="zh-CN" w:bidi="ar"/>
              </w:rPr>
              <w:t>图</w:t>
            </w:r>
            <w:r>
              <w:rPr>
                <w:rFonts w:hint="default" w:ascii="Times New Roman" w:hAnsi="Times New Roman" w:eastAsia="宋体" w:cs="Times New Roman"/>
                <w:b/>
                <w:bCs/>
                <w:color w:val="auto"/>
                <w:kern w:val="0"/>
                <w:sz w:val="21"/>
                <w:szCs w:val="21"/>
                <w:highlight w:val="none"/>
                <w:lang w:val="en-US" w:eastAsia="zh-CN" w:bidi="ar"/>
              </w:rPr>
              <w:t>3-1</w:t>
            </w:r>
            <w:r>
              <w:rPr>
                <w:rFonts w:hint="eastAsia" w:ascii="Times New Roman" w:hAnsi="Times New Roman" w:eastAsia="宋体" w:cs="Times New Roman"/>
                <w:b/>
                <w:bCs/>
                <w:color w:val="auto"/>
                <w:kern w:val="0"/>
                <w:sz w:val="21"/>
                <w:szCs w:val="21"/>
                <w:highlight w:val="none"/>
                <w:lang w:val="en-US" w:eastAsia="zh-CN" w:bidi="ar"/>
              </w:rPr>
              <w:t xml:space="preserve">  </w:t>
            </w:r>
            <w:r>
              <w:rPr>
                <w:rFonts w:hint="eastAsia" w:ascii="宋体" w:hAnsi="宋体" w:cs="宋体"/>
                <w:b/>
                <w:bCs/>
                <w:color w:val="auto"/>
                <w:kern w:val="0"/>
                <w:sz w:val="21"/>
                <w:szCs w:val="21"/>
                <w:highlight w:val="none"/>
                <w:lang w:val="en-US" w:eastAsia="zh-CN" w:bidi="ar"/>
              </w:rPr>
              <w:t>寻甸</w:t>
            </w:r>
            <w:r>
              <w:rPr>
                <w:rFonts w:hint="eastAsia" w:ascii="宋体" w:hAnsi="宋体" w:eastAsia="宋体" w:cs="宋体"/>
                <w:b/>
                <w:bCs/>
                <w:color w:val="auto"/>
                <w:kern w:val="0"/>
                <w:sz w:val="21"/>
                <w:szCs w:val="21"/>
                <w:highlight w:val="none"/>
                <w:lang w:val="en-US" w:eastAsia="zh-CN" w:bidi="ar"/>
              </w:rPr>
              <w:t>县</w:t>
            </w:r>
            <w:r>
              <w:rPr>
                <w:rFonts w:hint="default" w:ascii="Times New Roman" w:hAnsi="Times New Roman" w:eastAsia="宋体" w:cs="Times New Roman"/>
                <w:b/>
                <w:bCs/>
                <w:color w:val="auto"/>
                <w:kern w:val="0"/>
                <w:sz w:val="21"/>
                <w:szCs w:val="21"/>
                <w:highlight w:val="none"/>
                <w:lang w:val="en-US" w:eastAsia="zh-CN" w:bidi="ar"/>
              </w:rPr>
              <w:t>202</w:t>
            </w:r>
            <w:r>
              <w:rPr>
                <w:rFonts w:hint="eastAsia" w:cs="Times New Roman"/>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val="en-US" w:eastAsia="zh-CN" w:bidi="ar"/>
              </w:rPr>
              <w:t>年</w:t>
            </w:r>
            <w:r>
              <w:rPr>
                <w:rFonts w:hint="eastAsia" w:ascii="宋体" w:hAnsi="宋体" w:cs="宋体"/>
                <w:b/>
                <w:bCs/>
                <w:color w:val="auto"/>
                <w:kern w:val="0"/>
                <w:sz w:val="21"/>
                <w:szCs w:val="21"/>
                <w:highlight w:val="none"/>
                <w:lang w:val="en-US" w:eastAsia="zh-CN" w:bidi="ar"/>
              </w:rPr>
              <w:t>第二季度</w:t>
            </w:r>
            <w:r>
              <w:rPr>
                <w:rFonts w:hint="eastAsia" w:ascii="宋体" w:hAnsi="宋体" w:eastAsia="宋体" w:cs="宋体"/>
                <w:b/>
                <w:bCs/>
                <w:color w:val="auto"/>
                <w:kern w:val="0"/>
                <w:sz w:val="21"/>
                <w:szCs w:val="21"/>
                <w:highlight w:val="none"/>
                <w:lang w:val="en-US" w:eastAsia="zh-CN" w:bidi="ar"/>
              </w:rPr>
              <w:t>环境质量</w:t>
            </w:r>
            <w:r>
              <w:rPr>
                <w:rFonts w:hint="eastAsia" w:ascii="宋体" w:hAnsi="宋体" w:cs="宋体"/>
                <w:b/>
                <w:bCs/>
                <w:color w:val="auto"/>
                <w:kern w:val="0"/>
                <w:sz w:val="21"/>
                <w:szCs w:val="21"/>
                <w:highlight w:val="none"/>
                <w:lang w:val="en-US" w:eastAsia="zh-CN" w:bidi="ar"/>
              </w:rPr>
              <w:t>公报</w:t>
            </w:r>
            <w:r>
              <w:rPr>
                <w:rFonts w:hint="eastAsia" w:ascii="宋体" w:hAnsi="宋体" w:eastAsia="宋体" w:cs="宋体"/>
                <w:b/>
                <w:bCs/>
                <w:color w:val="auto"/>
                <w:kern w:val="0"/>
                <w:sz w:val="21"/>
                <w:szCs w:val="21"/>
                <w:highlight w:val="none"/>
                <w:lang w:val="en-US" w:eastAsia="zh-CN" w:bidi="ar"/>
              </w:rPr>
              <w:t>截图</w:t>
            </w:r>
          </w:p>
          <w:p w14:paraId="629A07E9">
            <w:pPr>
              <w:keepNext w:val="0"/>
              <w:keepLines w:val="0"/>
              <w:suppressLineNumbers w:val="0"/>
              <w:autoSpaceDE w:val="0"/>
              <w:autoSpaceDN w:val="0"/>
              <w:spacing w:before="0" w:beforeAutospacing="0" w:after="0" w:afterAutospacing="0" w:line="360" w:lineRule="auto"/>
              <w:ind w:left="0" w:right="0" w:firstLine="480"/>
              <w:rPr>
                <w:rFonts w:hint="eastAsia" w:ascii="Times New Roman" w:hAnsi="Times New Roman" w:eastAsia="宋体" w:cs="Times New Roman"/>
                <w:color w:val="auto"/>
                <w:sz w:val="24"/>
                <w:highlight w:val="none"/>
                <w:lang w:val="en-US" w:eastAsia="zh-CN"/>
              </w:rPr>
            </w:pPr>
            <w:r>
              <w:rPr>
                <w:rFonts w:hint="eastAsia" w:cs="Times New Roman"/>
                <w:color w:val="auto"/>
                <w:kern w:val="0"/>
                <w:sz w:val="24"/>
                <w:szCs w:val="24"/>
                <w:highlight w:val="none"/>
                <w:lang w:val="en-US" w:eastAsia="zh-CN" w:bidi="ar-SA"/>
              </w:rPr>
              <w:t>综上，牛栏江</w:t>
            </w:r>
            <w:r>
              <w:rPr>
                <w:rFonts w:hint="eastAsia" w:ascii="Times New Roman" w:hAnsi="Times New Roman" w:eastAsia="宋体" w:cs="Times New Roman"/>
                <w:color w:val="auto"/>
                <w:kern w:val="0"/>
                <w:sz w:val="24"/>
                <w:szCs w:val="24"/>
                <w:highlight w:val="none"/>
                <w:lang w:val="en-US" w:eastAsia="zh-CN" w:bidi="ar-SA"/>
              </w:rPr>
              <w:t>河口糯基桥断面水质类别为Ⅱ类水</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能满足</w:t>
            </w:r>
            <w:r>
              <w:rPr>
                <w:rFonts w:hint="eastAsia" w:ascii="Times New Roman" w:hAnsi="Times New Roman" w:eastAsia="宋体" w:cs="Times New Roman"/>
                <w:color w:val="auto"/>
                <w:kern w:val="0"/>
                <w:sz w:val="24"/>
                <w:szCs w:val="24"/>
                <w:highlight w:val="none"/>
                <w:lang w:val="en-US" w:eastAsia="zh-CN"/>
              </w:rPr>
              <w:t>《地表水环境质量标准》（</w:t>
            </w:r>
            <w:r>
              <w:rPr>
                <w:rFonts w:hint="default" w:ascii="Times New Roman" w:hAnsi="Times New Roman" w:eastAsia="宋体" w:cs="Times New Roman"/>
                <w:color w:val="auto"/>
                <w:kern w:val="0"/>
                <w:sz w:val="24"/>
                <w:szCs w:val="24"/>
                <w:highlight w:val="none"/>
                <w:lang w:val="en-US" w:eastAsia="zh-CN"/>
              </w:rPr>
              <w:t>GB3838-2002</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III</w:t>
            </w:r>
            <w:r>
              <w:rPr>
                <w:rFonts w:hint="eastAsia" w:ascii="Times New Roman" w:hAnsi="Times New Roman" w:eastAsia="宋体" w:cs="Times New Roman"/>
                <w:color w:val="auto"/>
                <w:kern w:val="0"/>
                <w:sz w:val="24"/>
                <w:szCs w:val="24"/>
                <w:highlight w:val="none"/>
                <w:lang w:val="en-US" w:eastAsia="zh-CN"/>
              </w:rPr>
              <w:t>类水体标准</w:t>
            </w:r>
            <w:r>
              <w:rPr>
                <w:rFonts w:hint="eastAsia" w:cs="Times New Roman"/>
                <w:color w:val="auto"/>
                <w:kern w:val="0"/>
                <w:sz w:val="24"/>
                <w:szCs w:val="24"/>
                <w:highlight w:val="none"/>
                <w:lang w:val="en-US" w:eastAsia="zh-CN"/>
              </w:rPr>
              <w:t>。</w:t>
            </w:r>
            <w:r>
              <w:rPr>
                <w:rFonts w:hint="eastAsia" w:ascii="Times New Roman" w:hAnsi="Times New Roman" w:eastAsia="宋体" w:cs="Times New Roman"/>
                <w:color w:val="auto"/>
                <w:sz w:val="24"/>
                <w:highlight w:val="none"/>
                <w:lang w:val="en-US" w:eastAsia="zh-CN"/>
              </w:rPr>
              <w:t>项目所在区域内无较大的工业污染源分布，位于项目场区范围内的</w:t>
            </w:r>
            <w:r>
              <w:rPr>
                <w:rFonts w:hint="eastAsia" w:ascii="Times New Roman" w:hAnsi="Times New Roman" w:cs="Times New Roman"/>
                <w:color w:val="auto"/>
                <w:sz w:val="24"/>
                <w:szCs w:val="24"/>
                <w:highlight w:val="none"/>
                <w:lang w:val="en-US" w:eastAsia="zh-CN"/>
              </w:rPr>
              <w:t>牛栏江</w:t>
            </w:r>
            <w:r>
              <w:rPr>
                <w:rFonts w:hint="eastAsia" w:ascii="Times New Roman" w:hAnsi="Times New Roman" w:eastAsia="宋体" w:cs="Times New Roman"/>
                <w:color w:val="auto"/>
                <w:sz w:val="24"/>
                <w:highlight w:val="none"/>
                <w:lang w:val="en-US" w:eastAsia="zh-CN"/>
              </w:rPr>
              <w:t>支流</w:t>
            </w:r>
            <w:r>
              <w:rPr>
                <w:rFonts w:hint="eastAsia" w:cs="Times New Roman"/>
                <w:color w:val="auto"/>
                <w:kern w:val="0"/>
                <w:sz w:val="24"/>
                <w:szCs w:val="24"/>
                <w:highlight w:val="none"/>
                <w:lang w:val="en-US" w:eastAsia="zh-CN" w:bidi="ar-SA"/>
              </w:rPr>
              <w:t>长地</w:t>
            </w:r>
            <w:r>
              <w:rPr>
                <w:rFonts w:hint="eastAsia" w:ascii="Times New Roman" w:hAnsi="Times New Roman" w:eastAsia="宋体" w:cs="Times New Roman"/>
                <w:color w:val="auto"/>
                <w:kern w:val="0"/>
                <w:sz w:val="24"/>
                <w:szCs w:val="24"/>
                <w:highlight w:val="none"/>
                <w:lang w:val="en-US" w:eastAsia="zh-CN" w:bidi="ar-SA"/>
              </w:rPr>
              <w:t>沟</w:t>
            </w:r>
            <w:r>
              <w:rPr>
                <w:rFonts w:hint="eastAsia" w:cs="Times New Roman"/>
                <w:color w:val="auto"/>
                <w:kern w:val="0"/>
                <w:sz w:val="24"/>
                <w:szCs w:val="24"/>
                <w:highlight w:val="none"/>
                <w:lang w:val="en-US" w:eastAsia="zh-CN" w:bidi="ar-SA"/>
              </w:rPr>
              <w:t>、干河</w:t>
            </w:r>
            <w:r>
              <w:rPr>
                <w:rFonts w:hint="eastAsia" w:ascii="Times New Roman" w:hAnsi="Times New Roman" w:eastAsia="宋体" w:cs="Times New Roman"/>
                <w:bCs/>
                <w:color w:val="auto"/>
                <w:sz w:val="24"/>
                <w:szCs w:val="24"/>
                <w:highlight w:val="none"/>
                <w:lang w:val="en-US" w:eastAsia="zh-CN"/>
              </w:rPr>
              <w:t>水质状况良好</w:t>
            </w:r>
            <w:r>
              <w:rPr>
                <w:rFonts w:hint="eastAsia" w:ascii="Times New Roman" w:hAnsi="Times New Roman" w:eastAsia="宋体" w:cs="Times New Roman"/>
                <w:color w:val="auto"/>
                <w:sz w:val="24"/>
                <w:highlight w:val="none"/>
                <w:lang w:val="en-US" w:eastAsia="zh-CN"/>
              </w:rPr>
              <w:t>，属于水环境质量达标区。</w:t>
            </w:r>
          </w:p>
          <w:p w14:paraId="0AA3932E">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b/>
                <w:bCs/>
                <w:color w:val="auto"/>
                <w:kern w:val="0"/>
                <w:sz w:val="24"/>
                <w:highlight w:val="none"/>
              </w:rPr>
            </w:pPr>
            <w:r>
              <w:rPr>
                <w:rFonts w:hint="eastAsia"/>
                <w:b/>
                <w:bCs/>
                <w:color w:val="auto"/>
                <w:kern w:val="0"/>
                <w:sz w:val="24"/>
                <w:highlight w:val="none"/>
                <w:lang w:val="en-US" w:eastAsia="zh-CN"/>
              </w:rPr>
              <w:t>6</w:t>
            </w:r>
            <w:r>
              <w:rPr>
                <w:rFonts w:hint="eastAsia"/>
                <w:b/>
                <w:bCs/>
                <w:color w:val="auto"/>
                <w:kern w:val="0"/>
                <w:sz w:val="24"/>
                <w:highlight w:val="none"/>
              </w:rPr>
              <w:t>、</w:t>
            </w:r>
            <w:r>
              <w:rPr>
                <w:rFonts w:hint="default"/>
                <w:b/>
                <w:bCs/>
                <w:color w:val="auto"/>
                <w:kern w:val="0"/>
                <w:sz w:val="24"/>
                <w:highlight w:val="none"/>
              </w:rPr>
              <w:t>大气环境质量现状</w:t>
            </w:r>
          </w:p>
          <w:p w14:paraId="761BFB4E">
            <w:pPr>
              <w:keepNext w:val="0"/>
              <w:keepLines w:val="0"/>
              <w:suppressLineNumbers w:val="0"/>
              <w:autoSpaceDE w:val="0"/>
              <w:autoSpaceDN w:val="0"/>
              <w:spacing w:before="0" w:beforeAutospacing="0" w:after="0" w:afterAutospacing="0" w:line="360" w:lineRule="auto"/>
              <w:ind w:left="0" w:right="0" w:firstLine="480"/>
              <w:rPr>
                <w:rFonts w:hint="eastAsia" w:ascii="Times New Roman" w:hAnsi="Times New Roman" w:eastAsia="宋体"/>
                <w:bCs/>
                <w:color w:val="auto"/>
                <w:sz w:val="24"/>
                <w:highlight w:val="none"/>
                <w:lang w:eastAsia="zh-CN"/>
              </w:rPr>
            </w:pPr>
            <w:r>
              <w:rPr>
                <w:rFonts w:hint="default" w:ascii="Times New Roman" w:hAnsi="Times New Roman" w:eastAsia="宋体"/>
                <w:bCs/>
                <w:color w:val="auto"/>
                <w:sz w:val="24"/>
                <w:highlight w:val="none"/>
              </w:rPr>
              <w:t>据现场调查，项目区为农村</w:t>
            </w:r>
            <w:r>
              <w:rPr>
                <w:rFonts w:hint="eastAsia" w:ascii="Times New Roman" w:hAnsi="Times New Roman" w:eastAsia="宋体"/>
                <w:bCs/>
                <w:color w:val="auto"/>
                <w:sz w:val="24"/>
                <w:highlight w:val="none"/>
              </w:rPr>
              <w:t>区域，</w:t>
            </w:r>
            <w:r>
              <w:rPr>
                <w:rFonts w:hint="default" w:ascii="Times New Roman" w:hAnsi="Times New Roman" w:eastAsia="宋体"/>
                <w:bCs/>
                <w:color w:val="auto"/>
                <w:sz w:val="24"/>
                <w:highlight w:val="none"/>
              </w:rPr>
              <w:t>环境空气质量功能区划属于二类区，区域环境空气质量执行《环境空气质量标准》（GB3095-2012）</w:t>
            </w:r>
            <w:r>
              <w:rPr>
                <w:rFonts w:hint="eastAsia" w:ascii="Times New Roman" w:hAnsi="Times New Roman" w:eastAsia="宋体"/>
                <w:bCs/>
                <w:color w:val="auto"/>
                <w:sz w:val="24"/>
                <w:highlight w:val="none"/>
                <w:lang w:val="en-US" w:eastAsia="zh-CN"/>
              </w:rPr>
              <w:t>及修改单</w:t>
            </w:r>
            <w:r>
              <w:rPr>
                <w:rFonts w:hint="default" w:ascii="Times New Roman" w:hAnsi="Times New Roman" w:eastAsia="宋体"/>
                <w:bCs/>
                <w:color w:val="auto"/>
                <w:sz w:val="24"/>
                <w:highlight w:val="none"/>
              </w:rPr>
              <w:t>二级标准</w:t>
            </w:r>
            <w:r>
              <w:rPr>
                <w:rFonts w:hint="eastAsia" w:ascii="Times New Roman" w:hAnsi="Times New Roman" w:eastAsia="宋体"/>
                <w:bCs/>
                <w:color w:val="auto"/>
                <w:sz w:val="24"/>
                <w:highlight w:val="none"/>
                <w:lang w:eastAsia="zh-CN"/>
              </w:rPr>
              <w:t>。</w:t>
            </w:r>
            <w:r>
              <w:rPr>
                <w:rFonts w:hint="eastAsia"/>
                <w:bCs/>
                <w:color w:val="auto"/>
                <w:sz w:val="24"/>
                <w:highlight w:val="none"/>
              </w:rPr>
              <w:t>根据《环境影响评价技术导则</w:t>
            </w:r>
            <w:r>
              <w:rPr>
                <w:rFonts w:hint="eastAsia"/>
                <w:bCs/>
                <w:color w:val="auto"/>
                <w:sz w:val="24"/>
                <w:highlight w:val="none"/>
                <w:lang w:val="en-US" w:eastAsia="zh-CN"/>
              </w:rPr>
              <w:t xml:space="preserve"> </w:t>
            </w:r>
            <w:r>
              <w:rPr>
                <w:rFonts w:hint="eastAsia"/>
                <w:bCs/>
                <w:color w:val="auto"/>
                <w:sz w:val="24"/>
                <w:highlight w:val="none"/>
              </w:rPr>
              <w:t>大气环境》（HJ2.2-2018），应调查所在区域环境质量达标情况。</w:t>
            </w:r>
          </w:p>
          <w:p w14:paraId="0B2EBDF4">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根据《202</w:t>
            </w:r>
            <w:r>
              <w:rPr>
                <w:rFonts w:hint="eastAsia" w:ascii="Times New Roman" w:hAnsi="Times New Roman" w:eastAsia="宋体"/>
                <w:color w:val="auto"/>
                <w:sz w:val="24"/>
                <w:highlight w:val="none"/>
                <w:lang w:val="en-US" w:eastAsia="zh-CN"/>
              </w:rPr>
              <w:t>3</w:t>
            </w:r>
            <w:r>
              <w:rPr>
                <w:rFonts w:hint="eastAsia" w:ascii="Times New Roman" w:hAnsi="Times New Roman" w:eastAsia="宋体"/>
                <w:color w:val="auto"/>
                <w:sz w:val="24"/>
                <w:highlight w:val="none"/>
                <w:lang w:eastAsia="zh-CN"/>
              </w:rPr>
              <w:t>年度昆明市生态环境状况公报</w:t>
            </w:r>
            <w:r>
              <w:rPr>
                <w:rFonts w:hint="eastAsia" w:ascii="Times New Roman" w:hAnsi="Times New Roman" w:eastAsia="宋体"/>
                <w:color w:val="auto"/>
                <w:sz w:val="24"/>
                <w:highlight w:val="none"/>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p>
          <w:p w14:paraId="6CA9F981">
            <w:pPr>
              <w:pStyle w:val="9"/>
              <w:keepNext w:val="0"/>
              <w:keepLines w:val="0"/>
              <w:suppressLineNumbers w:val="0"/>
              <w:adjustRightInd w:val="0"/>
              <w:spacing w:before="0" w:beforeAutospacing="0" w:after="0" w:afterAutospacing="0" w:line="360" w:lineRule="auto"/>
              <w:ind w:left="0" w:leftChars="0" w:right="0" w:firstLine="480" w:firstLineChars="200"/>
              <w:rPr>
                <w:rFonts w:hint="default"/>
                <w:color w:val="auto"/>
                <w:highlight w:val="none"/>
                <w:lang w:val="en-US" w:eastAsia="zh-CN"/>
              </w:rPr>
            </w:pPr>
            <w:r>
              <w:rPr>
                <w:rFonts w:hint="eastAsia"/>
                <w:color w:val="auto"/>
                <w:sz w:val="24"/>
                <w:highlight w:val="none"/>
              </w:rPr>
              <w:t>本项目位于农村地区，所在区域无大型工业污染源，环境空气质量优于公报中寻甸县城监测点的空气质量，因此，</w:t>
            </w:r>
            <w:r>
              <w:rPr>
                <w:rFonts w:hint="default"/>
                <w:color w:val="auto"/>
                <w:sz w:val="24"/>
                <w:highlight w:val="none"/>
              </w:rPr>
              <w:t>判定本区域为</w:t>
            </w:r>
            <w:r>
              <w:rPr>
                <w:rFonts w:hint="eastAsia"/>
                <w:color w:val="auto"/>
                <w:sz w:val="24"/>
                <w:highlight w:val="none"/>
              </w:rPr>
              <w:t>环境空气质量</w:t>
            </w:r>
            <w:r>
              <w:rPr>
                <w:rFonts w:hint="default"/>
                <w:color w:val="auto"/>
                <w:sz w:val="24"/>
                <w:highlight w:val="none"/>
              </w:rPr>
              <w:t>达标区域</w:t>
            </w:r>
            <w:r>
              <w:rPr>
                <w:rFonts w:hint="eastAsia"/>
                <w:color w:val="auto"/>
                <w:sz w:val="24"/>
                <w:highlight w:val="none"/>
              </w:rPr>
              <w:t>。</w:t>
            </w:r>
          </w:p>
          <w:p w14:paraId="4DA0F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b/>
                <w:bCs/>
                <w:color w:val="auto"/>
                <w:kern w:val="0"/>
                <w:sz w:val="24"/>
                <w:highlight w:val="none"/>
              </w:rPr>
            </w:pPr>
            <w:r>
              <w:rPr>
                <w:rFonts w:hint="eastAsia"/>
                <w:b/>
                <w:bCs/>
                <w:color w:val="auto"/>
                <w:kern w:val="0"/>
                <w:sz w:val="24"/>
                <w:highlight w:val="none"/>
                <w:lang w:val="en-US" w:eastAsia="zh-CN"/>
              </w:rPr>
              <w:t>7</w:t>
            </w:r>
            <w:r>
              <w:rPr>
                <w:rFonts w:hint="eastAsia"/>
                <w:b/>
                <w:bCs/>
                <w:color w:val="auto"/>
                <w:kern w:val="0"/>
                <w:sz w:val="24"/>
                <w:highlight w:val="none"/>
              </w:rPr>
              <w:t>、</w:t>
            </w:r>
            <w:r>
              <w:rPr>
                <w:rFonts w:hint="default"/>
                <w:b/>
                <w:bCs/>
                <w:color w:val="auto"/>
                <w:kern w:val="0"/>
                <w:sz w:val="24"/>
                <w:highlight w:val="none"/>
              </w:rPr>
              <w:t>声环境现状</w:t>
            </w:r>
          </w:p>
          <w:p w14:paraId="10C28F53">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项目位于</w:t>
            </w:r>
            <w:r>
              <w:rPr>
                <w:rFonts w:hint="eastAsia" w:ascii="宋体" w:hAnsi="宋体" w:cs="宋体"/>
                <w:color w:val="auto"/>
                <w:kern w:val="0"/>
                <w:sz w:val="24"/>
                <w:szCs w:val="24"/>
                <w:highlight w:val="none"/>
                <w:lang w:val="en-US" w:eastAsia="zh-CN" w:bidi="ar"/>
              </w:rPr>
              <w:t>云南省昆明市寻甸回族彝族自治县河口镇境内</w:t>
            </w:r>
            <w:r>
              <w:rPr>
                <w:rFonts w:hint="eastAsia"/>
                <w:color w:val="auto"/>
                <w:sz w:val="24"/>
                <w:highlight w:val="none"/>
              </w:rPr>
              <w:t>，属于农村地区，</w:t>
            </w:r>
            <w:r>
              <w:rPr>
                <w:rFonts w:hint="eastAsia"/>
                <w:color w:val="auto"/>
                <w:sz w:val="24"/>
                <w:highlight w:val="none"/>
                <w:lang w:val="en-US" w:eastAsia="zh-CN"/>
              </w:rPr>
              <w:t>结合项目特点，</w:t>
            </w:r>
            <w:r>
              <w:rPr>
                <w:rFonts w:hint="eastAsia"/>
                <w:color w:val="auto"/>
                <w:sz w:val="24"/>
                <w:highlight w:val="none"/>
              </w:rPr>
              <w:t>光伏</w:t>
            </w:r>
            <w:r>
              <w:rPr>
                <w:rFonts w:hint="eastAsia"/>
                <w:color w:val="auto"/>
                <w:sz w:val="24"/>
                <w:highlight w:val="none"/>
                <w:lang w:val="en-US" w:eastAsia="zh-CN"/>
              </w:rPr>
              <w:t>发电区</w:t>
            </w:r>
            <w:r>
              <w:rPr>
                <w:rFonts w:hint="eastAsia"/>
                <w:color w:val="auto"/>
                <w:sz w:val="24"/>
                <w:highlight w:val="none"/>
              </w:rPr>
              <w:t>声环境质量执行《声环境质量标准》（GB3096-2008）</w:t>
            </w:r>
            <w:r>
              <w:rPr>
                <w:rFonts w:hint="eastAsia"/>
                <w:color w:val="auto"/>
                <w:sz w:val="24"/>
                <w:highlight w:val="none"/>
                <w:lang w:val="en-US" w:eastAsia="zh-CN"/>
              </w:rPr>
              <w:t>1</w:t>
            </w:r>
            <w:r>
              <w:rPr>
                <w:rFonts w:hint="eastAsia"/>
                <w:color w:val="auto"/>
                <w:sz w:val="24"/>
                <w:highlight w:val="none"/>
              </w:rPr>
              <w:t>类标准。</w:t>
            </w:r>
          </w:p>
          <w:p w14:paraId="6DAAC17C">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为了解区域声环境质量，</w:t>
            </w:r>
            <w:r>
              <w:rPr>
                <w:rFonts w:hint="eastAsia"/>
                <w:color w:val="auto"/>
                <w:sz w:val="24"/>
                <w:highlight w:val="none"/>
                <w:lang w:val="en-US" w:eastAsia="zh-CN"/>
              </w:rPr>
              <w:t>我</w:t>
            </w:r>
            <w:r>
              <w:rPr>
                <w:rFonts w:hint="eastAsia"/>
                <w:color w:val="auto"/>
                <w:sz w:val="24"/>
                <w:highlight w:val="none"/>
              </w:rPr>
              <w:t>单位</w:t>
            </w:r>
            <w:r>
              <w:rPr>
                <w:rFonts w:hint="eastAsia"/>
                <w:color w:val="auto"/>
                <w:sz w:val="24"/>
                <w:highlight w:val="none"/>
                <w:lang w:eastAsia="zh-CN"/>
              </w:rPr>
              <w:t>（云南科环环境工程咨询有限公司）</w:t>
            </w:r>
            <w:r>
              <w:rPr>
                <w:rFonts w:hint="eastAsia"/>
                <w:color w:val="auto"/>
                <w:sz w:val="24"/>
                <w:highlight w:val="none"/>
              </w:rPr>
              <w:t>于</w:t>
            </w:r>
            <w:r>
              <w:rPr>
                <w:rFonts w:hint="default"/>
                <w:color w:val="auto"/>
                <w:sz w:val="24"/>
                <w:highlight w:val="none"/>
              </w:rPr>
              <w:t>202</w:t>
            </w:r>
            <w:r>
              <w:rPr>
                <w:rFonts w:hint="eastAsia"/>
                <w:color w:val="auto"/>
                <w:sz w:val="24"/>
                <w:highlight w:val="none"/>
                <w:lang w:val="en-US" w:eastAsia="zh-CN"/>
              </w:rPr>
              <w:t>4</w:t>
            </w:r>
            <w:r>
              <w:rPr>
                <w:rFonts w:hint="eastAsia"/>
                <w:color w:val="auto"/>
                <w:sz w:val="24"/>
                <w:highlight w:val="none"/>
              </w:rPr>
              <w:t>年</w:t>
            </w:r>
            <w:r>
              <w:rPr>
                <w:rFonts w:hint="eastAsia"/>
                <w:color w:val="auto"/>
                <w:sz w:val="24"/>
                <w:highlight w:val="none"/>
                <w:lang w:val="en-US" w:eastAsia="zh-CN"/>
              </w:rPr>
              <w:t>9</w:t>
            </w:r>
            <w:r>
              <w:rPr>
                <w:rFonts w:hint="eastAsia"/>
                <w:color w:val="auto"/>
                <w:sz w:val="24"/>
                <w:highlight w:val="none"/>
              </w:rPr>
              <w:t>月</w:t>
            </w:r>
            <w:r>
              <w:rPr>
                <w:rFonts w:hint="eastAsia"/>
                <w:color w:val="auto"/>
                <w:sz w:val="24"/>
                <w:highlight w:val="none"/>
                <w:lang w:val="en-US" w:eastAsia="zh-CN"/>
              </w:rPr>
              <w:t>3</w:t>
            </w:r>
            <w:r>
              <w:rPr>
                <w:rFonts w:hint="eastAsia"/>
                <w:color w:val="auto"/>
                <w:sz w:val="24"/>
                <w:highlight w:val="none"/>
              </w:rPr>
              <w:t>日对项目区域进行了噪声监测，</w:t>
            </w:r>
            <w:r>
              <w:rPr>
                <w:rFonts w:hint="eastAsia"/>
                <w:color w:val="auto"/>
                <w:sz w:val="24"/>
                <w:highlight w:val="none"/>
                <w:lang w:val="en-US" w:eastAsia="zh-CN"/>
              </w:rPr>
              <w:t>由于项目夜间不施工，故本次只进行昼间监测。</w:t>
            </w:r>
            <w:r>
              <w:rPr>
                <w:rFonts w:hint="eastAsia"/>
                <w:color w:val="auto"/>
                <w:sz w:val="24"/>
                <w:highlight w:val="none"/>
              </w:rPr>
              <w:t>噪声监测结果见表3-</w:t>
            </w:r>
            <w:r>
              <w:rPr>
                <w:rFonts w:hint="eastAsia"/>
                <w:color w:val="auto"/>
                <w:sz w:val="24"/>
                <w:highlight w:val="none"/>
                <w:lang w:val="en-US" w:eastAsia="zh-CN"/>
              </w:rPr>
              <w:t>6</w:t>
            </w:r>
            <w:r>
              <w:rPr>
                <w:rFonts w:hint="eastAsia"/>
                <w:color w:val="auto"/>
                <w:sz w:val="24"/>
                <w:highlight w:val="none"/>
              </w:rPr>
              <w:t>。现状监测点位见附图</w:t>
            </w:r>
            <w:r>
              <w:rPr>
                <w:rFonts w:hint="eastAsia"/>
                <w:color w:val="auto"/>
                <w:sz w:val="24"/>
                <w:highlight w:val="none"/>
                <w:lang w:val="en-US" w:eastAsia="zh-CN"/>
              </w:rPr>
              <w:t>6</w:t>
            </w:r>
            <w:r>
              <w:rPr>
                <w:rFonts w:hint="eastAsia"/>
                <w:color w:val="auto"/>
                <w:sz w:val="24"/>
                <w:highlight w:val="none"/>
              </w:rPr>
              <w:t>。</w:t>
            </w:r>
          </w:p>
          <w:p w14:paraId="419B8D7B">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w:t>
            </w:r>
            <w:r>
              <w:rPr>
                <w:rFonts w:hint="default"/>
                <w:color w:val="auto"/>
                <w:sz w:val="24"/>
                <w:highlight w:val="none"/>
              </w:rPr>
              <w:t>1</w:t>
            </w:r>
            <w:r>
              <w:rPr>
                <w:rFonts w:hint="eastAsia"/>
                <w:color w:val="auto"/>
                <w:sz w:val="24"/>
                <w:highlight w:val="none"/>
              </w:rPr>
              <w:t>）监测因子</w:t>
            </w:r>
          </w:p>
          <w:p w14:paraId="6B1162EB">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Leq</w:t>
            </w:r>
            <w:r>
              <w:rPr>
                <w:rFonts w:hint="eastAsia"/>
                <w:color w:val="auto"/>
                <w:sz w:val="24"/>
                <w:highlight w:val="none"/>
                <w:lang w:eastAsia="zh-CN"/>
              </w:rPr>
              <w:t>(</w:t>
            </w:r>
            <w:r>
              <w:rPr>
                <w:rFonts w:hint="eastAsia"/>
                <w:color w:val="auto"/>
                <w:sz w:val="24"/>
                <w:highlight w:val="none"/>
              </w:rPr>
              <w:t>A</w:t>
            </w:r>
            <w:r>
              <w:rPr>
                <w:rFonts w:hint="eastAsia"/>
                <w:color w:val="auto"/>
                <w:sz w:val="24"/>
                <w:highlight w:val="none"/>
                <w:lang w:eastAsia="zh-CN"/>
              </w:rPr>
              <w:t>)</w:t>
            </w:r>
          </w:p>
          <w:p w14:paraId="6934F598">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w:t>
            </w:r>
            <w:r>
              <w:rPr>
                <w:rFonts w:hint="default"/>
                <w:color w:val="auto"/>
                <w:sz w:val="24"/>
                <w:highlight w:val="none"/>
              </w:rPr>
              <w:t>2</w:t>
            </w:r>
            <w:r>
              <w:rPr>
                <w:rFonts w:hint="eastAsia"/>
                <w:color w:val="auto"/>
                <w:sz w:val="24"/>
                <w:highlight w:val="none"/>
              </w:rPr>
              <w:t>）监测点位</w:t>
            </w:r>
          </w:p>
          <w:p w14:paraId="56B9F761">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lang w:val="en-US" w:eastAsia="zh-CN"/>
              </w:rPr>
              <w:t>项目每个地块场址中心处各布设1个监测点位</w:t>
            </w:r>
            <w:r>
              <w:rPr>
                <w:rFonts w:hint="eastAsia"/>
                <w:color w:val="auto"/>
                <w:sz w:val="24"/>
                <w:highlight w:val="none"/>
              </w:rPr>
              <w:t>，</w:t>
            </w:r>
            <w:r>
              <w:rPr>
                <w:rFonts w:hint="eastAsia"/>
                <w:color w:val="auto"/>
                <w:sz w:val="24"/>
                <w:highlight w:val="none"/>
                <w:lang w:val="en-US" w:eastAsia="zh-CN"/>
              </w:rPr>
              <w:t>3个监测点，</w:t>
            </w:r>
            <w:r>
              <w:rPr>
                <w:rFonts w:hint="eastAsia"/>
                <w:color w:val="auto"/>
                <w:sz w:val="24"/>
                <w:highlight w:val="none"/>
              </w:rPr>
              <w:t>详见表3-</w:t>
            </w:r>
            <w:r>
              <w:rPr>
                <w:rFonts w:hint="eastAsia"/>
                <w:color w:val="auto"/>
                <w:sz w:val="24"/>
                <w:highlight w:val="none"/>
                <w:lang w:val="en-US" w:eastAsia="zh-CN"/>
              </w:rPr>
              <w:t>6</w:t>
            </w:r>
            <w:r>
              <w:rPr>
                <w:rFonts w:hint="eastAsia"/>
                <w:color w:val="auto"/>
                <w:sz w:val="24"/>
                <w:highlight w:val="none"/>
              </w:rPr>
              <w:t>。</w:t>
            </w:r>
          </w:p>
          <w:p w14:paraId="47238F18">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w:t>
            </w:r>
            <w:r>
              <w:rPr>
                <w:rFonts w:hint="default"/>
                <w:color w:val="auto"/>
                <w:sz w:val="24"/>
                <w:highlight w:val="none"/>
              </w:rPr>
              <w:t>3</w:t>
            </w:r>
            <w:r>
              <w:rPr>
                <w:rFonts w:hint="eastAsia"/>
                <w:color w:val="auto"/>
                <w:sz w:val="24"/>
                <w:highlight w:val="none"/>
              </w:rPr>
              <w:t>）监测时间和频次</w:t>
            </w:r>
          </w:p>
          <w:p w14:paraId="21789279">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连续监测</w:t>
            </w:r>
            <w:r>
              <w:rPr>
                <w:rFonts w:hint="eastAsia"/>
                <w:color w:val="auto"/>
                <w:sz w:val="24"/>
                <w:highlight w:val="none"/>
                <w:lang w:val="en-US" w:eastAsia="zh-CN"/>
              </w:rPr>
              <w:t>1</w:t>
            </w:r>
            <w:r>
              <w:rPr>
                <w:rFonts w:hint="eastAsia"/>
                <w:color w:val="auto"/>
                <w:sz w:val="24"/>
                <w:highlight w:val="none"/>
              </w:rPr>
              <w:t>天，监测昼间</w:t>
            </w:r>
            <w:r>
              <w:rPr>
                <w:rFonts w:hint="default"/>
                <w:color w:val="auto"/>
                <w:sz w:val="24"/>
                <w:highlight w:val="none"/>
              </w:rPr>
              <w:t>1</w:t>
            </w:r>
            <w:r>
              <w:rPr>
                <w:rFonts w:hint="eastAsia"/>
                <w:color w:val="auto"/>
                <w:sz w:val="24"/>
                <w:highlight w:val="none"/>
              </w:rPr>
              <w:t>次。</w:t>
            </w:r>
          </w:p>
          <w:p w14:paraId="5C7E237D">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监测结果如下。</w:t>
            </w:r>
          </w:p>
          <w:p w14:paraId="1312B6B4">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highlight w:val="none"/>
              </w:rPr>
            </w:pPr>
            <w:r>
              <w:rPr>
                <w:rFonts w:hint="eastAsia"/>
                <w:b/>
                <w:color w:val="auto"/>
                <w:kern w:val="0"/>
                <w:szCs w:val="21"/>
                <w:highlight w:val="none"/>
              </w:rPr>
              <w:t>表3</w:t>
            </w:r>
            <w:r>
              <w:rPr>
                <w:rFonts w:hint="default"/>
                <w:b/>
                <w:color w:val="auto"/>
                <w:kern w:val="0"/>
                <w:szCs w:val="21"/>
                <w:highlight w:val="none"/>
              </w:rPr>
              <w:t>-</w:t>
            </w:r>
            <w:r>
              <w:rPr>
                <w:rFonts w:hint="eastAsia"/>
                <w:b/>
                <w:color w:val="auto"/>
                <w:kern w:val="0"/>
                <w:szCs w:val="21"/>
                <w:highlight w:val="none"/>
                <w:lang w:val="en-US" w:eastAsia="zh-CN"/>
              </w:rPr>
              <w:t xml:space="preserve">6  </w:t>
            </w:r>
            <w:r>
              <w:rPr>
                <w:rFonts w:hint="default"/>
                <w:b/>
                <w:color w:val="auto"/>
                <w:kern w:val="0"/>
                <w:szCs w:val="21"/>
                <w:highlight w:val="none"/>
              </w:rPr>
              <w:t>声环境监测结果一览表</w:t>
            </w:r>
            <w:r>
              <w:rPr>
                <w:rFonts w:hint="eastAsia"/>
                <w:b/>
                <w:color w:val="auto"/>
                <w:kern w:val="0"/>
                <w:szCs w:val="21"/>
                <w:highlight w:val="none"/>
              </w:rPr>
              <w:t xml:space="preserve"> </w:t>
            </w:r>
            <w:r>
              <w:rPr>
                <w:rFonts w:hint="default"/>
                <w:b/>
                <w:color w:val="auto"/>
                <w:kern w:val="0"/>
                <w:szCs w:val="21"/>
                <w:highlight w:val="none"/>
              </w:rPr>
              <w:t xml:space="preserve">  </w:t>
            </w:r>
            <w:r>
              <w:rPr>
                <w:rFonts w:hint="eastAsia"/>
                <w:b/>
                <w:color w:val="auto"/>
                <w:kern w:val="0"/>
                <w:szCs w:val="21"/>
                <w:highlight w:val="none"/>
              </w:rPr>
              <w:t>单位：</w:t>
            </w:r>
            <w:r>
              <w:rPr>
                <w:rFonts w:hint="default"/>
                <w:b/>
                <w:color w:val="auto"/>
                <w:spacing w:val="-5"/>
                <w:szCs w:val="21"/>
                <w:highlight w:val="none"/>
                <w:lang w:bidi="he-IL"/>
              </w:rPr>
              <w:t>dB（A）</w:t>
            </w:r>
          </w:p>
          <w:tbl>
            <w:tblPr>
              <w:tblStyle w:val="41"/>
              <w:tblW w:w="498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30"/>
              <w:gridCol w:w="1224"/>
              <w:gridCol w:w="1128"/>
              <w:gridCol w:w="870"/>
              <w:gridCol w:w="963"/>
              <w:gridCol w:w="1305"/>
            </w:tblGrid>
            <w:tr w14:paraId="7855A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89" w:type="pct"/>
                  <w:vAlign w:val="center"/>
                </w:tcPr>
                <w:p w14:paraId="6E8FFD2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b/>
                      <w:bCs/>
                      <w:color w:val="auto"/>
                      <w:szCs w:val="21"/>
                      <w:highlight w:val="none"/>
                    </w:rPr>
                  </w:pPr>
                  <w:r>
                    <w:rPr>
                      <w:rFonts w:hint="eastAsia"/>
                      <w:b/>
                      <w:bCs/>
                      <w:color w:val="auto"/>
                      <w:szCs w:val="21"/>
                      <w:highlight w:val="none"/>
                      <w:lang w:eastAsia="zh-CN"/>
                    </w:rPr>
                    <w:t>监测点位</w:t>
                  </w:r>
                </w:p>
              </w:tc>
              <w:tc>
                <w:tcPr>
                  <w:tcW w:w="782" w:type="pct"/>
                  <w:vAlign w:val="center"/>
                </w:tcPr>
                <w:p w14:paraId="43DE1FD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b/>
                      <w:bCs/>
                      <w:color w:val="auto"/>
                      <w:szCs w:val="21"/>
                      <w:highlight w:val="none"/>
                    </w:rPr>
                  </w:pPr>
                  <w:r>
                    <w:rPr>
                      <w:rFonts w:hint="default"/>
                      <w:b/>
                      <w:bCs/>
                      <w:color w:val="auto"/>
                      <w:szCs w:val="21"/>
                      <w:highlight w:val="none"/>
                    </w:rPr>
                    <w:t>检测日期</w:t>
                  </w:r>
                </w:p>
              </w:tc>
              <w:tc>
                <w:tcPr>
                  <w:tcW w:w="721" w:type="pct"/>
                  <w:vAlign w:val="center"/>
                </w:tcPr>
                <w:p w14:paraId="63170B2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b/>
                      <w:bCs/>
                      <w:color w:val="auto"/>
                      <w:szCs w:val="21"/>
                      <w:highlight w:val="none"/>
                    </w:rPr>
                  </w:pPr>
                  <w:r>
                    <w:rPr>
                      <w:rFonts w:hint="default"/>
                      <w:b/>
                      <w:bCs/>
                      <w:color w:val="auto"/>
                      <w:szCs w:val="21"/>
                      <w:highlight w:val="none"/>
                    </w:rPr>
                    <w:t>采样时段</w:t>
                  </w:r>
                </w:p>
              </w:tc>
              <w:tc>
                <w:tcPr>
                  <w:tcW w:w="556" w:type="pct"/>
                  <w:vAlign w:val="center"/>
                </w:tcPr>
                <w:p w14:paraId="5E4314B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b/>
                      <w:bCs/>
                      <w:color w:val="auto"/>
                      <w:szCs w:val="21"/>
                      <w:highlight w:val="none"/>
                    </w:rPr>
                  </w:pPr>
                  <w:r>
                    <w:rPr>
                      <w:rFonts w:hint="default"/>
                      <w:b/>
                      <w:bCs/>
                      <w:color w:val="auto"/>
                      <w:szCs w:val="21"/>
                      <w:highlight w:val="none"/>
                    </w:rPr>
                    <w:t>噪声值</w:t>
                  </w:r>
                </w:p>
              </w:tc>
              <w:tc>
                <w:tcPr>
                  <w:tcW w:w="615" w:type="pct"/>
                  <w:vAlign w:val="center"/>
                </w:tcPr>
                <w:p w14:paraId="3E7729D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b/>
                      <w:bCs/>
                      <w:color w:val="auto"/>
                      <w:szCs w:val="21"/>
                      <w:highlight w:val="none"/>
                    </w:rPr>
                  </w:pPr>
                  <w:r>
                    <w:rPr>
                      <w:rFonts w:hint="default"/>
                      <w:b/>
                      <w:bCs/>
                      <w:color w:val="auto"/>
                      <w:szCs w:val="21"/>
                      <w:highlight w:val="none"/>
                    </w:rPr>
                    <w:t>标准值</w:t>
                  </w:r>
                </w:p>
              </w:tc>
              <w:tc>
                <w:tcPr>
                  <w:tcW w:w="834" w:type="pct"/>
                  <w:vAlign w:val="center"/>
                </w:tcPr>
                <w:p w14:paraId="757D293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b/>
                      <w:bCs/>
                      <w:color w:val="auto"/>
                      <w:szCs w:val="21"/>
                      <w:highlight w:val="none"/>
                    </w:rPr>
                  </w:pPr>
                  <w:r>
                    <w:rPr>
                      <w:rFonts w:hint="default"/>
                      <w:b/>
                      <w:bCs/>
                      <w:color w:val="auto"/>
                      <w:szCs w:val="21"/>
                      <w:highlight w:val="none"/>
                    </w:rPr>
                    <w:t>达标</w:t>
                  </w:r>
                  <w:r>
                    <w:rPr>
                      <w:rFonts w:hint="eastAsia"/>
                      <w:b/>
                      <w:bCs/>
                      <w:color w:val="auto"/>
                      <w:szCs w:val="21"/>
                      <w:highlight w:val="none"/>
                    </w:rPr>
                    <w:t>情况</w:t>
                  </w:r>
                </w:p>
              </w:tc>
            </w:tr>
            <w:tr w14:paraId="2BD5F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9" w:hRule="atLeast"/>
                <w:jc w:val="center"/>
              </w:trPr>
              <w:tc>
                <w:tcPr>
                  <w:tcW w:w="1489" w:type="pct"/>
                  <w:vAlign w:val="center"/>
                </w:tcPr>
                <w:p w14:paraId="0A36B355">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eastAsia="宋体"/>
                      <w:b/>
                      <w:bCs/>
                      <w:color w:val="auto"/>
                      <w:szCs w:val="21"/>
                      <w:highlight w:val="none"/>
                      <w:lang w:val="en-US" w:eastAsia="zh-CN"/>
                    </w:rPr>
                  </w:pPr>
                  <w:r>
                    <w:rPr>
                      <w:rFonts w:hint="eastAsia" w:cs="宋体"/>
                      <w:color w:val="auto"/>
                      <w:kern w:val="2"/>
                      <w:sz w:val="21"/>
                      <w:szCs w:val="21"/>
                      <w:highlight w:val="none"/>
                      <w:lang w:val="en-US" w:eastAsia="zh-CN" w:bidi="ar-SA"/>
                    </w:rPr>
                    <w:t>地块一</w:t>
                  </w:r>
                  <w:r>
                    <w:rPr>
                      <w:rFonts w:hint="eastAsia" w:ascii="Times New Roman" w:hAnsi="Times New Roman" w:eastAsia="宋体" w:cs="宋体"/>
                      <w:color w:val="auto"/>
                      <w:kern w:val="2"/>
                      <w:sz w:val="21"/>
                      <w:szCs w:val="21"/>
                      <w:highlight w:val="none"/>
                      <w:lang w:val="en-US" w:eastAsia="zh-CN" w:bidi="ar-SA"/>
                    </w:rPr>
                    <w:t>场址中心处</w:t>
                  </w:r>
                </w:p>
              </w:tc>
              <w:tc>
                <w:tcPr>
                  <w:tcW w:w="782" w:type="pct"/>
                  <w:vAlign w:val="center"/>
                </w:tcPr>
                <w:p w14:paraId="5347C46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eastAsia="宋体"/>
                      <w:bCs/>
                      <w:color w:val="auto"/>
                      <w:szCs w:val="21"/>
                      <w:highlight w:val="none"/>
                      <w:lang w:val="en-US" w:eastAsia="zh-CN"/>
                    </w:rPr>
                  </w:pPr>
                  <w:r>
                    <w:rPr>
                      <w:rFonts w:hint="eastAsia" w:ascii="Times New Roman" w:hAnsi="Times New Roman" w:eastAsia="宋体" w:cs="宋体"/>
                      <w:color w:val="auto"/>
                      <w:kern w:val="2"/>
                      <w:sz w:val="21"/>
                      <w:szCs w:val="21"/>
                      <w:highlight w:val="none"/>
                      <w:lang w:val="en-US" w:eastAsia="zh-CN" w:bidi="ar-SA"/>
                    </w:rPr>
                    <w:t>2024.0</w:t>
                  </w:r>
                  <w:r>
                    <w:rPr>
                      <w:rFonts w:hint="eastAsia" w:cs="宋体"/>
                      <w:color w:val="auto"/>
                      <w:kern w:val="2"/>
                      <w:sz w:val="21"/>
                      <w:szCs w:val="21"/>
                      <w:highlight w:val="none"/>
                      <w:lang w:val="en-US" w:eastAsia="zh-CN" w:bidi="ar-SA"/>
                    </w:rPr>
                    <w:t>9</w:t>
                  </w:r>
                  <w:r>
                    <w:rPr>
                      <w:rFonts w:hint="eastAsia" w:ascii="Times New Roman" w:hAnsi="Times New Roman"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03</w:t>
                  </w:r>
                </w:p>
              </w:tc>
              <w:tc>
                <w:tcPr>
                  <w:tcW w:w="721" w:type="pct"/>
                  <w:vAlign w:val="center"/>
                </w:tcPr>
                <w:p w14:paraId="4571039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zCs w:val="21"/>
                      <w:highlight w:val="none"/>
                    </w:rPr>
                  </w:pPr>
                  <w:r>
                    <w:rPr>
                      <w:rFonts w:hint="default"/>
                      <w:color w:val="auto"/>
                      <w:sz w:val="21"/>
                      <w:szCs w:val="21"/>
                      <w:highlight w:val="none"/>
                    </w:rPr>
                    <w:t>昼间</w:t>
                  </w:r>
                </w:p>
              </w:tc>
              <w:tc>
                <w:tcPr>
                  <w:tcW w:w="556" w:type="pct"/>
                  <w:vAlign w:val="center"/>
                </w:tcPr>
                <w:p w14:paraId="4E1175B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42.8</w:t>
                  </w:r>
                </w:p>
              </w:tc>
              <w:tc>
                <w:tcPr>
                  <w:tcW w:w="615" w:type="pct"/>
                  <w:vMerge w:val="restart"/>
                  <w:vAlign w:val="center"/>
                </w:tcPr>
                <w:p w14:paraId="6315A74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pacing w:val="-5"/>
                      <w:szCs w:val="21"/>
                      <w:highlight w:val="none"/>
                      <w:lang w:bidi="he-IL"/>
                    </w:rPr>
                  </w:pPr>
                  <w:r>
                    <w:rPr>
                      <w:rFonts w:hint="default"/>
                      <w:color w:val="auto"/>
                      <w:spacing w:val="-5"/>
                      <w:sz w:val="21"/>
                      <w:szCs w:val="21"/>
                      <w:highlight w:val="none"/>
                      <w:lang w:bidi="he-IL"/>
                    </w:rPr>
                    <w:t>昼间≤</w:t>
                  </w:r>
                  <w:r>
                    <w:rPr>
                      <w:rFonts w:hint="eastAsia"/>
                      <w:color w:val="auto"/>
                      <w:spacing w:val="-5"/>
                      <w:sz w:val="21"/>
                      <w:szCs w:val="21"/>
                      <w:highlight w:val="none"/>
                      <w:lang w:val="en-US" w:eastAsia="zh-CN" w:bidi="he-IL"/>
                    </w:rPr>
                    <w:t>55</w:t>
                  </w:r>
                  <w:r>
                    <w:rPr>
                      <w:rFonts w:hint="default"/>
                      <w:color w:val="auto"/>
                      <w:spacing w:val="-5"/>
                      <w:sz w:val="21"/>
                      <w:szCs w:val="21"/>
                      <w:highlight w:val="none"/>
                      <w:lang w:bidi="he-IL"/>
                    </w:rPr>
                    <w:t>dB（A），夜间≤</w:t>
                  </w:r>
                  <w:r>
                    <w:rPr>
                      <w:rFonts w:hint="eastAsia"/>
                      <w:color w:val="auto"/>
                      <w:spacing w:val="-5"/>
                      <w:sz w:val="21"/>
                      <w:szCs w:val="21"/>
                      <w:highlight w:val="none"/>
                      <w:lang w:val="en-US" w:eastAsia="zh-CN" w:bidi="he-IL"/>
                    </w:rPr>
                    <w:t>45</w:t>
                  </w:r>
                  <w:r>
                    <w:rPr>
                      <w:rFonts w:hint="default"/>
                      <w:color w:val="auto"/>
                      <w:spacing w:val="-5"/>
                      <w:sz w:val="21"/>
                      <w:szCs w:val="21"/>
                      <w:highlight w:val="none"/>
                      <w:lang w:bidi="he-IL"/>
                    </w:rPr>
                    <w:t>dB（A）</w:t>
                  </w:r>
                </w:p>
              </w:tc>
              <w:tc>
                <w:tcPr>
                  <w:tcW w:w="834" w:type="pct"/>
                  <w:vAlign w:val="center"/>
                </w:tcPr>
                <w:p w14:paraId="0439F43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pacing w:val="-5"/>
                      <w:szCs w:val="21"/>
                      <w:highlight w:val="none"/>
                      <w:lang w:bidi="he-IL"/>
                    </w:rPr>
                  </w:pPr>
                  <w:r>
                    <w:rPr>
                      <w:rFonts w:hint="default"/>
                      <w:color w:val="auto"/>
                      <w:spacing w:val="-5"/>
                      <w:sz w:val="21"/>
                      <w:szCs w:val="21"/>
                      <w:highlight w:val="none"/>
                      <w:lang w:bidi="he-IL"/>
                    </w:rPr>
                    <w:t>达标</w:t>
                  </w:r>
                </w:p>
              </w:tc>
            </w:tr>
            <w:tr w14:paraId="3E3B4A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1489" w:type="pct"/>
                  <w:vAlign w:val="center"/>
                </w:tcPr>
                <w:p w14:paraId="739C2A82">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地块二</w:t>
                  </w:r>
                  <w:r>
                    <w:rPr>
                      <w:rFonts w:hint="eastAsia" w:ascii="Times New Roman" w:hAnsi="Times New Roman" w:eastAsia="宋体" w:cs="宋体"/>
                      <w:color w:val="auto"/>
                      <w:kern w:val="2"/>
                      <w:sz w:val="21"/>
                      <w:szCs w:val="21"/>
                      <w:highlight w:val="none"/>
                      <w:lang w:val="en-US" w:eastAsia="zh-CN" w:bidi="ar-SA"/>
                    </w:rPr>
                    <w:t>场址中心处</w:t>
                  </w:r>
                </w:p>
              </w:tc>
              <w:tc>
                <w:tcPr>
                  <w:tcW w:w="782" w:type="pct"/>
                  <w:vAlign w:val="center"/>
                </w:tcPr>
                <w:p w14:paraId="7694D35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2024.0</w:t>
                  </w:r>
                  <w:r>
                    <w:rPr>
                      <w:rFonts w:hint="eastAsia" w:cs="宋体"/>
                      <w:color w:val="auto"/>
                      <w:kern w:val="2"/>
                      <w:sz w:val="21"/>
                      <w:szCs w:val="21"/>
                      <w:highlight w:val="none"/>
                      <w:lang w:val="en-US" w:eastAsia="zh-CN" w:bidi="ar-SA"/>
                    </w:rPr>
                    <w:t>9</w:t>
                  </w:r>
                  <w:r>
                    <w:rPr>
                      <w:rFonts w:hint="eastAsia" w:ascii="Times New Roman" w:hAnsi="Times New Roman"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03</w:t>
                  </w:r>
                </w:p>
              </w:tc>
              <w:tc>
                <w:tcPr>
                  <w:tcW w:w="721" w:type="pct"/>
                  <w:vAlign w:val="center"/>
                </w:tcPr>
                <w:p w14:paraId="518AC60D">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z w:val="21"/>
                      <w:szCs w:val="21"/>
                      <w:highlight w:val="none"/>
                    </w:rPr>
                  </w:pPr>
                  <w:r>
                    <w:rPr>
                      <w:rFonts w:hint="default"/>
                      <w:color w:val="auto"/>
                      <w:sz w:val="21"/>
                      <w:szCs w:val="21"/>
                      <w:highlight w:val="none"/>
                    </w:rPr>
                    <w:t>昼间</w:t>
                  </w:r>
                </w:p>
              </w:tc>
              <w:tc>
                <w:tcPr>
                  <w:tcW w:w="556" w:type="pct"/>
                  <w:vAlign w:val="center"/>
                </w:tcPr>
                <w:p w14:paraId="40C91F0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color w:val="auto"/>
                      <w:szCs w:val="21"/>
                      <w:highlight w:val="none"/>
                      <w:lang w:val="en-US" w:eastAsia="zh-CN"/>
                    </w:rPr>
                  </w:pPr>
                  <w:r>
                    <w:rPr>
                      <w:rFonts w:hint="eastAsia"/>
                      <w:color w:val="auto"/>
                      <w:szCs w:val="21"/>
                      <w:highlight w:val="none"/>
                      <w:lang w:val="en-US" w:eastAsia="zh-CN"/>
                    </w:rPr>
                    <w:t>43.6</w:t>
                  </w:r>
                </w:p>
              </w:tc>
              <w:tc>
                <w:tcPr>
                  <w:tcW w:w="615" w:type="pct"/>
                  <w:vMerge w:val="continue"/>
                  <w:vAlign w:val="center"/>
                </w:tcPr>
                <w:p w14:paraId="54B0D79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pacing w:val="-5"/>
                      <w:sz w:val="21"/>
                      <w:szCs w:val="21"/>
                      <w:highlight w:val="none"/>
                      <w:lang w:bidi="he-IL"/>
                    </w:rPr>
                  </w:pPr>
                </w:p>
              </w:tc>
              <w:tc>
                <w:tcPr>
                  <w:tcW w:w="834" w:type="pct"/>
                  <w:vAlign w:val="center"/>
                </w:tcPr>
                <w:p w14:paraId="3EB8BFE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pacing w:val="-5"/>
                      <w:sz w:val="21"/>
                      <w:szCs w:val="21"/>
                      <w:highlight w:val="none"/>
                      <w:lang w:bidi="he-IL"/>
                    </w:rPr>
                  </w:pPr>
                  <w:r>
                    <w:rPr>
                      <w:rFonts w:hint="default"/>
                      <w:color w:val="auto"/>
                      <w:spacing w:val="-5"/>
                      <w:sz w:val="21"/>
                      <w:szCs w:val="21"/>
                      <w:highlight w:val="none"/>
                      <w:lang w:bidi="he-IL"/>
                    </w:rPr>
                    <w:t>达标</w:t>
                  </w:r>
                </w:p>
              </w:tc>
            </w:tr>
            <w:tr w14:paraId="433E84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2" w:hRule="atLeast"/>
                <w:jc w:val="center"/>
              </w:trPr>
              <w:tc>
                <w:tcPr>
                  <w:tcW w:w="1489" w:type="pct"/>
                  <w:vAlign w:val="center"/>
                </w:tcPr>
                <w:p w14:paraId="4A15938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地块三</w:t>
                  </w:r>
                  <w:r>
                    <w:rPr>
                      <w:rFonts w:hint="eastAsia" w:ascii="Times New Roman" w:hAnsi="Times New Roman" w:eastAsia="宋体" w:cs="宋体"/>
                      <w:color w:val="auto"/>
                      <w:kern w:val="2"/>
                      <w:sz w:val="21"/>
                      <w:szCs w:val="21"/>
                      <w:highlight w:val="none"/>
                      <w:lang w:val="en-US" w:eastAsia="zh-CN" w:bidi="ar-SA"/>
                    </w:rPr>
                    <w:t>场址中心处</w:t>
                  </w:r>
                </w:p>
              </w:tc>
              <w:tc>
                <w:tcPr>
                  <w:tcW w:w="782" w:type="pct"/>
                  <w:vAlign w:val="center"/>
                </w:tcPr>
                <w:p w14:paraId="37726EE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2024.0</w:t>
                  </w:r>
                  <w:r>
                    <w:rPr>
                      <w:rFonts w:hint="eastAsia" w:cs="宋体"/>
                      <w:color w:val="auto"/>
                      <w:kern w:val="2"/>
                      <w:sz w:val="21"/>
                      <w:szCs w:val="21"/>
                      <w:highlight w:val="none"/>
                      <w:lang w:val="en-US" w:eastAsia="zh-CN" w:bidi="ar-SA"/>
                    </w:rPr>
                    <w:t>9</w:t>
                  </w:r>
                  <w:r>
                    <w:rPr>
                      <w:rFonts w:hint="eastAsia" w:ascii="Times New Roman" w:hAnsi="Times New Roman"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03</w:t>
                  </w:r>
                </w:p>
              </w:tc>
              <w:tc>
                <w:tcPr>
                  <w:tcW w:w="721" w:type="pct"/>
                  <w:vAlign w:val="center"/>
                </w:tcPr>
                <w:p w14:paraId="18BF282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z w:val="21"/>
                      <w:szCs w:val="21"/>
                      <w:highlight w:val="none"/>
                    </w:rPr>
                  </w:pPr>
                  <w:r>
                    <w:rPr>
                      <w:rFonts w:hint="default"/>
                      <w:color w:val="auto"/>
                      <w:sz w:val="21"/>
                      <w:szCs w:val="21"/>
                      <w:highlight w:val="none"/>
                    </w:rPr>
                    <w:t>昼间</w:t>
                  </w:r>
                </w:p>
              </w:tc>
              <w:tc>
                <w:tcPr>
                  <w:tcW w:w="556" w:type="pct"/>
                  <w:vAlign w:val="center"/>
                </w:tcPr>
                <w:p w14:paraId="2A499F3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right="0"/>
                    <w:jc w:val="center"/>
                    <w:textAlignment w:val="center"/>
                    <w:rPr>
                      <w:rFonts w:hint="default"/>
                      <w:color w:val="auto"/>
                      <w:szCs w:val="21"/>
                      <w:highlight w:val="none"/>
                      <w:lang w:val="en-US" w:eastAsia="zh-CN"/>
                    </w:rPr>
                  </w:pPr>
                  <w:r>
                    <w:rPr>
                      <w:rFonts w:hint="eastAsia"/>
                      <w:color w:val="auto"/>
                      <w:szCs w:val="21"/>
                      <w:highlight w:val="none"/>
                      <w:lang w:val="en-US" w:eastAsia="zh-CN"/>
                    </w:rPr>
                    <w:t>41</w:t>
                  </w:r>
                </w:p>
              </w:tc>
              <w:tc>
                <w:tcPr>
                  <w:tcW w:w="615" w:type="pct"/>
                  <w:vMerge w:val="continue"/>
                  <w:vAlign w:val="center"/>
                </w:tcPr>
                <w:p w14:paraId="5071B906">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pacing w:val="-5"/>
                      <w:sz w:val="21"/>
                      <w:szCs w:val="21"/>
                      <w:highlight w:val="none"/>
                      <w:lang w:bidi="he-IL"/>
                    </w:rPr>
                  </w:pPr>
                </w:p>
              </w:tc>
              <w:tc>
                <w:tcPr>
                  <w:tcW w:w="834" w:type="pct"/>
                  <w:vAlign w:val="center"/>
                </w:tcPr>
                <w:p w14:paraId="7415FFF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auto"/>
                    <w:ind w:left="0" w:leftChars="0" w:right="0" w:rightChars="0"/>
                    <w:jc w:val="center"/>
                    <w:textAlignment w:val="center"/>
                    <w:rPr>
                      <w:rFonts w:hint="default"/>
                      <w:color w:val="auto"/>
                      <w:spacing w:val="-5"/>
                      <w:sz w:val="21"/>
                      <w:szCs w:val="21"/>
                      <w:highlight w:val="none"/>
                      <w:lang w:bidi="he-IL"/>
                    </w:rPr>
                  </w:pPr>
                  <w:r>
                    <w:rPr>
                      <w:rFonts w:hint="default"/>
                      <w:color w:val="auto"/>
                      <w:spacing w:val="-5"/>
                      <w:sz w:val="21"/>
                      <w:szCs w:val="21"/>
                      <w:highlight w:val="none"/>
                      <w:lang w:bidi="he-IL"/>
                    </w:rPr>
                    <w:t>达标</w:t>
                  </w:r>
                </w:p>
              </w:tc>
            </w:tr>
          </w:tbl>
          <w:p w14:paraId="0CCA981D">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highlight w:val="none"/>
              </w:rPr>
            </w:pPr>
            <w:r>
              <w:rPr>
                <w:rFonts w:hint="eastAsia"/>
                <w:bCs/>
                <w:color w:val="auto"/>
                <w:kern w:val="0"/>
                <w:sz w:val="24"/>
                <w:highlight w:val="none"/>
              </w:rPr>
              <w:t>根据环境监测结果显示，</w:t>
            </w:r>
            <w:r>
              <w:rPr>
                <w:rFonts w:hint="eastAsia"/>
                <w:color w:val="auto"/>
                <w:spacing w:val="-4"/>
                <w:sz w:val="24"/>
                <w:szCs w:val="24"/>
                <w:highlight w:val="none"/>
                <w:lang w:val="en-US" w:eastAsia="zh-CN"/>
              </w:rPr>
              <w:t>项目场址中心处</w:t>
            </w:r>
            <w:r>
              <w:rPr>
                <w:rFonts w:hint="eastAsia"/>
                <w:bCs/>
                <w:color w:val="auto"/>
                <w:kern w:val="0"/>
                <w:sz w:val="24"/>
                <w:szCs w:val="24"/>
                <w:highlight w:val="none"/>
              </w:rPr>
              <w:t>声环境质量均能够满足《声环境质量标准》（GB3096-2008）</w:t>
            </w:r>
            <w:r>
              <w:rPr>
                <w:rFonts w:hint="eastAsia"/>
                <w:bCs/>
                <w:color w:val="auto"/>
                <w:kern w:val="0"/>
                <w:sz w:val="24"/>
                <w:szCs w:val="24"/>
                <w:highlight w:val="none"/>
                <w:lang w:val="en-US" w:eastAsia="zh-CN"/>
              </w:rPr>
              <w:t>1</w:t>
            </w:r>
            <w:r>
              <w:rPr>
                <w:rFonts w:hint="eastAsia"/>
                <w:bCs/>
                <w:color w:val="auto"/>
                <w:kern w:val="0"/>
                <w:sz w:val="24"/>
                <w:szCs w:val="24"/>
                <w:highlight w:val="none"/>
              </w:rPr>
              <w:t>类标准。</w:t>
            </w:r>
          </w:p>
          <w:p w14:paraId="60108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highlight w:val="none"/>
              </w:rPr>
            </w:pPr>
            <w:r>
              <w:rPr>
                <w:rFonts w:hint="eastAsia"/>
                <w:b/>
                <w:bCs/>
                <w:color w:val="auto"/>
                <w:kern w:val="0"/>
                <w:sz w:val="24"/>
                <w:highlight w:val="none"/>
                <w:lang w:val="en-US" w:eastAsia="zh-CN" w:bidi="ar"/>
              </w:rPr>
              <w:t>8</w:t>
            </w:r>
            <w:r>
              <w:rPr>
                <w:rFonts w:hint="default"/>
                <w:b/>
                <w:bCs/>
                <w:color w:val="auto"/>
                <w:kern w:val="0"/>
                <w:sz w:val="24"/>
                <w:highlight w:val="none"/>
                <w:lang w:bidi="ar"/>
              </w:rPr>
              <w:t>、</w:t>
            </w:r>
            <w:r>
              <w:rPr>
                <w:rFonts w:hint="eastAsia" w:ascii="宋体" w:hAnsi="宋体" w:cs="宋体"/>
                <w:b/>
                <w:bCs/>
                <w:color w:val="auto"/>
                <w:kern w:val="0"/>
                <w:sz w:val="24"/>
                <w:highlight w:val="none"/>
                <w:lang w:bidi="ar"/>
              </w:rPr>
              <w:t>地下水环境现状</w:t>
            </w:r>
          </w:p>
          <w:p w14:paraId="04D13198">
            <w:pPr>
              <w:keepNext w:val="0"/>
              <w:keepLines w:val="0"/>
              <w:widowControl/>
              <w:suppressLineNumbers w:val="0"/>
              <w:spacing w:before="0" w:beforeAutospacing="0" w:after="0" w:afterAutospacing="0" w:line="360" w:lineRule="auto"/>
              <w:ind w:left="0" w:right="0" w:firstLine="480" w:firstLineChars="200"/>
              <w:jc w:val="left"/>
              <w:rPr>
                <w:rFonts w:hint="default"/>
                <w:color w:val="auto"/>
                <w:highlight w:val="none"/>
              </w:rPr>
            </w:pPr>
            <w:r>
              <w:rPr>
                <w:rFonts w:hint="eastAsia" w:ascii="宋体" w:hAnsi="宋体" w:cs="宋体"/>
                <w:color w:val="auto"/>
                <w:kern w:val="0"/>
                <w:sz w:val="24"/>
                <w:highlight w:val="none"/>
                <w:lang w:bidi="ar"/>
              </w:rPr>
              <w:t>根据《环境影响评价技术导则 地下水环境》（</w:t>
            </w:r>
            <w:r>
              <w:rPr>
                <w:rFonts w:hint="default"/>
                <w:color w:val="auto"/>
                <w:kern w:val="0"/>
                <w:sz w:val="24"/>
                <w:highlight w:val="none"/>
                <w:lang w:bidi="ar"/>
              </w:rPr>
              <w:t>HJ610-2016</w:t>
            </w:r>
            <w:r>
              <w:rPr>
                <w:rFonts w:hint="eastAsia" w:ascii="宋体" w:hAnsi="宋体" w:cs="宋体"/>
                <w:color w:val="auto"/>
                <w:kern w:val="0"/>
                <w:sz w:val="24"/>
                <w:highlight w:val="none"/>
                <w:lang w:bidi="ar"/>
              </w:rPr>
              <w:t>）附录</w:t>
            </w:r>
            <w:r>
              <w:rPr>
                <w:rFonts w:hint="default"/>
                <w:color w:val="auto"/>
                <w:kern w:val="0"/>
                <w:sz w:val="24"/>
                <w:highlight w:val="none"/>
                <w:lang w:bidi="ar"/>
              </w:rPr>
              <w:t>A</w:t>
            </w:r>
            <w:r>
              <w:rPr>
                <w:rFonts w:hint="eastAsia" w:ascii="宋体" w:hAnsi="宋体" w:cs="宋体"/>
                <w:color w:val="auto"/>
                <w:kern w:val="0"/>
                <w:sz w:val="24"/>
                <w:highlight w:val="none"/>
                <w:lang w:bidi="ar"/>
              </w:rPr>
              <w:t>可知，本项目属于“</w:t>
            </w:r>
            <w:r>
              <w:rPr>
                <w:rFonts w:hint="default"/>
                <w:color w:val="auto"/>
                <w:kern w:val="0"/>
                <w:sz w:val="24"/>
                <w:highlight w:val="none"/>
                <w:lang w:bidi="ar"/>
              </w:rPr>
              <w:t>E</w:t>
            </w:r>
            <w:r>
              <w:rPr>
                <w:rFonts w:hint="eastAsia" w:ascii="宋体" w:hAnsi="宋体" w:cs="宋体"/>
                <w:color w:val="auto"/>
                <w:kern w:val="0"/>
                <w:sz w:val="24"/>
                <w:highlight w:val="none"/>
                <w:lang w:bidi="ar"/>
              </w:rPr>
              <w:t>电力”大类中“</w:t>
            </w:r>
            <w:r>
              <w:rPr>
                <w:rFonts w:hint="default"/>
                <w:color w:val="auto"/>
                <w:kern w:val="0"/>
                <w:sz w:val="24"/>
                <w:highlight w:val="none"/>
                <w:lang w:bidi="ar"/>
              </w:rPr>
              <w:t>34</w:t>
            </w:r>
            <w:r>
              <w:rPr>
                <w:rFonts w:hint="eastAsia" w:ascii="宋体" w:hAnsi="宋体" w:cs="宋体"/>
                <w:color w:val="auto"/>
                <w:kern w:val="0"/>
                <w:sz w:val="24"/>
                <w:highlight w:val="none"/>
                <w:lang w:bidi="ar"/>
              </w:rPr>
              <w:t>其他能源发电</w:t>
            </w:r>
            <w:r>
              <w:rPr>
                <w:rFonts w:hint="default"/>
                <w:color w:val="auto"/>
                <w:kern w:val="0"/>
                <w:sz w:val="24"/>
                <w:highlight w:val="none"/>
                <w:lang w:bidi="ar"/>
              </w:rPr>
              <w:t>—</w:t>
            </w:r>
            <w:r>
              <w:rPr>
                <w:rFonts w:hint="eastAsia" w:ascii="宋体" w:hAnsi="宋体" w:cs="宋体"/>
                <w:color w:val="auto"/>
                <w:kern w:val="0"/>
                <w:sz w:val="24"/>
                <w:highlight w:val="none"/>
                <w:lang w:bidi="ar"/>
              </w:rPr>
              <w:t>并网光伏发电”小类，地下水环境影响评价项目类别为Ⅳ类</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bidi="ar"/>
              </w:rPr>
              <w:t>根据《环境影响评价技术导则 地下水环境》（</w:t>
            </w:r>
            <w:r>
              <w:rPr>
                <w:rFonts w:hint="default"/>
                <w:color w:val="auto"/>
                <w:kern w:val="0"/>
                <w:sz w:val="24"/>
                <w:highlight w:val="none"/>
                <w:lang w:bidi="ar"/>
              </w:rPr>
              <w:t>HJ610-2016</w:t>
            </w:r>
            <w:r>
              <w:rPr>
                <w:rFonts w:hint="eastAsia" w:ascii="宋体" w:hAnsi="宋体" w:cs="宋体"/>
                <w:color w:val="auto"/>
                <w:kern w:val="0"/>
                <w:sz w:val="24"/>
                <w:highlight w:val="none"/>
                <w:lang w:bidi="ar"/>
              </w:rPr>
              <w:t>）</w:t>
            </w:r>
            <w:r>
              <w:rPr>
                <w:rFonts w:hint="eastAsia"/>
                <w:color w:val="auto"/>
                <w:kern w:val="0"/>
                <w:sz w:val="24"/>
                <w:highlight w:val="none"/>
                <w:lang w:val="en-US" w:eastAsia="zh-CN" w:bidi="ar"/>
              </w:rPr>
              <w:t>4.1</w:t>
            </w:r>
            <w:r>
              <w:rPr>
                <w:rFonts w:hint="eastAsia" w:ascii="宋体" w:hAnsi="宋体" w:cs="宋体"/>
                <w:color w:val="auto"/>
                <w:kern w:val="0"/>
                <w:sz w:val="24"/>
                <w:highlight w:val="none"/>
                <w:lang w:val="en-US" w:eastAsia="zh-CN" w:bidi="ar"/>
              </w:rPr>
              <w:t>可知，</w:t>
            </w:r>
            <w:r>
              <w:rPr>
                <w:rFonts w:hint="eastAsia" w:ascii="宋体" w:hAnsi="宋体" w:cs="宋体"/>
                <w:color w:val="auto"/>
                <w:kern w:val="0"/>
                <w:sz w:val="24"/>
                <w:highlight w:val="none"/>
                <w:lang w:bidi="ar"/>
              </w:rPr>
              <w:t>Ⅳ类建设项目不开展地下水环境影响评价。</w:t>
            </w:r>
          </w:p>
          <w:p w14:paraId="1EB6A4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color w:val="auto"/>
                <w:highlight w:val="none"/>
              </w:rPr>
            </w:pPr>
            <w:r>
              <w:rPr>
                <w:rFonts w:hint="eastAsia"/>
                <w:b/>
                <w:bCs/>
                <w:color w:val="auto"/>
                <w:kern w:val="0"/>
                <w:sz w:val="24"/>
                <w:highlight w:val="none"/>
                <w:lang w:val="en-US" w:eastAsia="zh-CN" w:bidi="ar"/>
              </w:rPr>
              <w:t>9</w:t>
            </w:r>
            <w:r>
              <w:rPr>
                <w:rFonts w:hint="default"/>
                <w:b/>
                <w:bCs/>
                <w:color w:val="auto"/>
                <w:kern w:val="0"/>
                <w:sz w:val="24"/>
                <w:highlight w:val="none"/>
                <w:lang w:bidi="ar"/>
              </w:rPr>
              <w:t>、</w:t>
            </w:r>
            <w:r>
              <w:rPr>
                <w:rFonts w:hint="eastAsia" w:ascii="宋体" w:hAnsi="宋体" w:cs="宋体"/>
                <w:b/>
                <w:bCs/>
                <w:color w:val="auto"/>
                <w:kern w:val="0"/>
                <w:sz w:val="24"/>
                <w:highlight w:val="none"/>
                <w:lang w:bidi="ar"/>
              </w:rPr>
              <w:t>土壤环境现状</w:t>
            </w:r>
          </w:p>
          <w:p w14:paraId="27BA2CF1">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kern w:val="0"/>
                <w:sz w:val="24"/>
                <w:highlight w:val="none"/>
              </w:rPr>
            </w:pPr>
            <w:r>
              <w:rPr>
                <w:rFonts w:hint="eastAsia" w:ascii="宋体" w:hAnsi="宋体" w:cs="宋体"/>
                <w:color w:val="auto"/>
                <w:kern w:val="0"/>
                <w:sz w:val="24"/>
                <w:highlight w:val="none"/>
                <w:lang w:bidi="ar"/>
              </w:rPr>
              <w:t>根据《环境影响评价技术导则 土壤环境（试行）》（</w:t>
            </w:r>
            <w:r>
              <w:rPr>
                <w:rFonts w:hint="default"/>
                <w:color w:val="auto"/>
                <w:kern w:val="0"/>
                <w:sz w:val="24"/>
                <w:highlight w:val="none"/>
                <w:lang w:bidi="ar"/>
              </w:rPr>
              <w:t>HJ964-2018</w:t>
            </w:r>
            <w:r>
              <w:rPr>
                <w:rFonts w:hint="eastAsia" w:ascii="宋体" w:hAnsi="宋体" w:cs="宋体"/>
                <w:color w:val="auto"/>
                <w:kern w:val="0"/>
                <w:sz w:val="24"/>
                <w:highlight w:val="none"/>
                <w:lang w:bidi="ar"/>
              </w:rPr>
              <w:t>）附录</w:t>
            </w:r>
            <w:r>
              <w:rPr>
                <w:rFonts w:hint="default"/>
                <w:color w:val="auto"/>
                <w:kern w:val="0"/>
                <w:sz w:val="24"/>
                <w:highlight w:val="none"/>
                <w:lang w:bidi="ar"/>
              </w:rPr>
              <w:t>A</w:t>
            </w:r>
            <w:r>
              <w:rPr>
                <w:rFonts w:hint="eastAsia" w:ascii="宋体" w:hAnsi="宋体" w:cs="宋体"/>
                <w:color w:val="auto"/>
                <w:kern w:val="0"/>
                <w:sz w:val="24"/>
                <w:highlight w:val="none"/>
                <w:lang w:bidi="ar"/>
              </w:rPr>
              <w:t>，本项目属于土壤环境影响评价项目类别中的“电力热力燃气及水生产和供应业</w:t>
            </w:r>
            <w:r>
              <w:rPr>
                <w:rFonts w:hint="default"/>
                <w:color w:val="auto"/>
                <w:kern w:val="0"/>
                <w:sz w:val="24"/>
                <w:highlight w:val="none"/>
                <w:lang w:bidi="ar"/>
              </w:rPr>
              <w:t>-</w:t>
            </w:r>
            <w:r>
              <w:rPr>
                <w:rFonts w:hint="eastAsia" w:ascii="宋体" w:hAnsi="宋体" w:cs="宋体"/>
                <w:color w:val="auto"/>
                <w:kern w:val="0"/>
                <w:sz w:val="24"/>
                <w:highlight w:val="none"/>
                <w:lang w:bidi="ar"/>
              </w:rPr>
              <w:t>其他”，为Ⅳ类建设项目，根据《环境影响评价技术导则 土壤环境（试行）》（</w:t>
            </w:r>
            <w:r>
              <w:rPr>
                <w:rFonts w:hint="default"/>
                <w:color w:val="auto"/>
                <w:kern w:val="0"/>
                <w:sz w:val="24"/>
                <w:highlight w:val="none"/>
                <w:lang w:bidi="ar"/>
              </w:rPr>
              <w:t>HJ964-2018</w:t>
            </w:r>
            <w:r>
              <w:rPr>
                <w:rFonts w:hint="eastAsia" w:ascii="宋体" w:hAnsi="宋体" w:cs="宋体"/>
                <w:color w:val="auto"/>
                <w:kern w:val="0"/>
                <w:sz w:val="24"/>
                <w:highlight w:val="none"/>
                <w:lang w:bidi="ar"/>
              </w:rPr>
              <w:t>）</w:t>
            </w:r>
            <w:r>
              <w:rPr>
                <w:rFonts w:hint="eastAsia"/>
                <w:color w:val="auto"/>
                <w:kern w:val="0"/>
                <w:sz w:val="24"/>
                <w:highlight w:val="none"/>
                <w:lang w:val="en-US" w:eastAsia="zh-CN" w:bidi="ar"/>
              </w:rPr>
              <w:t>4.2.2</w:t>
            </w:r>
            <w:r>
              <w:rPr>
                <w:rFonts w:hint="eastAsia" w:ascii="宋体" w:hAnsi="宋体" w:cs="宋体"/>
                <w:color w:val="auto"/>
                <w:kern w:val="0"/>
                <w:sz w:val="24"/>
                <w:highlight w:val="none"/>
                <w:lang w:val="en-US" w:eastAsia="zh-CN" w:bidi="ar"/>
              </w:rPr>
              <w:t>可知，</w:t>
            </w:r>
            <w:r>
              <w:rPr>
                <w:rFonts w:hint="eastAsia" w:ascii="宋体" w:hAnsi="宋体" w:cs="宋体"/>
                <w:color w:val="auto"/>
                <w:kern w:val="0"/>
                <w:sz w:val="24"/>
                <w:highlight w:val="none"/>
                <w:lang w:bidi="ar"/>
              </w:rPr>
              <w:t>Ⅳ类建设项目可不开展土壤环境影响评价。</w:t>
            </w:r>
          </w:p>
        </w:tc>
      </w:tr>
      <w:tr w14:paraId="6CED1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44" w:type="pct"/>
            <w:vAlign w:val="center"/>
          </w:tcPr>
          <w:p w14:paraId="50323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color w:val="auto"/>
                <w:kern w:val="0"/>
                <w:sz w:val="24"/>
                <w:highlight w:val="none"/>
              </w:rPr>
            </w:pPr>
            <w:r>
              <w:rPr>
                <w:rFonts w:hint="default"/>
                <w:bCs/>
                <w:color w:val="auto"/>
                <w:sz w:val="24"/>
                <w:highlight w:val="none"/>
              </w:rPr>
              <w:t>与项目有关的原有环境污染和生态破坏问题</w:t>
            </w:r>
          </w:p>
        </w:tc>
        <w:tc>
          <w:tcPr>
            <w:tcW w:w="4755" w:type="pct"/>
            <w:vAlign w:val="center"/>
          </w:tcPr>
          <w:p w14:paraId="3AF74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textAlignment w:val="auto"/>
              <w:rPr>
                <w:rFonts w:hint="default"/>
                <w:color w:val="auto"/>
                <w:kern w:val="0"/>
                <w:szCs w:val="21"/>
                <w:highlight w:val="none"/>
              </w:rPr>
            </w:pPr>
            <w:r>
              <w:rPr>
                <w:rFonts w:hint="eastAsia" w:cs="宋体"/>
                <w:color w:val="auto"/>
                <w:kern w:val="0"/>
                <w:sz w:val="24"/>
                <w:highlight w:val="none"/>
              </w:rPr>
              <w:t>本项目为新建项目，不存在原有环境污染和生态破坏问题。</w:t>
            </w:r>
          </w:p>
        </w:tc>
      </w:tr>
      <w:tr w14:paraId="4B0BA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244" w:type="pct"/>
            <w:vAlign w:val="center"/>
          </w:tcPr>
          <w:p w14:paraId="407734E1">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生态环境保护目标</w:t>
            </w:r>
          </w:p>
        </w:tc>
        <w:tc>
          <w:tcPr>
            <w:tcW w:w="4755" w:type="pct"/>
            <w:vAlign w:val="center"/>
          </w:tcPr>
          <w:p w14:paraId="38EE5A79">
            <w:pPr>
              <w:pStyle w:val="1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both"/>
              <w:textAlignment w:val="auto"/>
              <w:rPr>
                <w:rFonts w:hint="eastAsia"/>
                <w:color w:val="auto"/>
                <w:sz w:val="24"/>
                <w:highlight w:val="none"/>
                <w:lang w:val="en-US" w:eastAsia="zh-CN"/>
              </w:rPr>
            </w:pPr>
            <w:r>
              <w:rPr>
                <w:rFonts w:hint="eastAsia" w:ascii="Times New Roman" w:eastAsia="宋体" w:cs="宋体"/>
                <w:b/>
                <w:bCs/>
                <w:color w:val="auto"/>
                <w:highlight w:val="none"/>
                <w:lang w:val="en-US" w:eastAsia="zh-CN"/>
              </w:rPr>
              <w:t>1</w:t>
            </w:r>
            <w:r>
              <w:rPr>
                <w:rFonts w:hint="eastAsia" w:ascii="Times New Roman" w:hAnsi="Times New Roman" w:eastAsia="宋体" w:cs="宋体"/>
                <w:b/>
                <w:bCs/>
                <w:color w:val="auto"/>
                <w:highlight w:val="none"/>
              </w:rPr>
              <w:t>、项目环境评价范围</w:t>
            </w:r>
          </w:p>
          <w:p w14:paraId="31FA4222">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val="en-US" w:eastAsia="zh-CN"/>
              </w:rPr>
              <w:t>根据《建设项目环境影响报告表编制技术指南（生态影响类（试行））》：“按照环境影响评价相关技术导则要求确定评价范围并识别环境保护目标”。</w:t>
            </w:r>
            <w:r>
              <w:rPr>
                <w:rFonts w:hint="eastAsia"/>
                <w:color w:val="auto"/>
                <w:sz w:val="24"/>
                <w:highlight w:val="none"/>
              </w:rPr>
              <w:t>本项目</w:t>
            </w:r>
            <w:r>
              <w:rPr>
                <w:rFonts w:hint="eastAsia"/>
                <w:color w:val="auto"/>
                <w:sz w:val="24"/>
                <w:highlight w:val="none"/>
                <w:lang w:val="en-US" w:eastAsia="zh-CN"/>
              </w:rPr>
              <w:t>各环境要素</w:t>
            </w:r>
            <w:r>
              <w:rPr>
                <w:rFonts w:hint="eastAsia"/>
                <w:color w:val="auto"/>
                <w:sz w:val="24"/>
                <w:highlight w:val="none"/>
              </w:rPr>
              <w:t>评价范围</w:t>
            </w:r>
            <w:r>
              <w:rPr>
                <w:rFonts w:hint="eastAsia"/>
                <w:color w:val="auto"/>
                <w:sz w:val="24"/>
                <w:highlight w:val="none"/>
                <w:lang w:eastAsia="zh-CN"/>
              </w:rPr>
              <w:t>见下表。</w:t>
            </w:r>
          </w:p>
          <w:p w14:paraId="6B73787C">
            <w:pPr>
              <w:keepNext w:val="0"/>
              <w:keepLines w:val="0"/>
              <w:suppressLineNumbers w:val="0"/>
              <w:spacing w:before="0" w:beforeAutospacing="0" w:after="0" w:afterAutospacing="0" w:line="240" w:lineRule="auto"/>
              <w:ind w:left="0" w:right="0"/>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表3-</w:t>
            </w:r>
            <w:r>
              <w:rPr>
                <w:rFonts w:hint="eastAsia"/>
                <w:b/>
                <w:bCs/>
                <w:color w:val="auto"/>
                <w:sz w:val="21"/>
                <w:szCs w:val="21"/>
                <w:highlight w:val="none"/>
                <w:lang w:val="en-US" w:eastAsia="zh-CN"/>
              </w:rPr>
              <w:t>7</w:t>
            </w:r>
            <w:r>
              <w:rPr>
                <w:rFonts w:hint="eastAsia"/>
                <w:b/>
                <w:bCs/>
                <w:color w:val="auto"/>
                <w:sz w:val="21"/>
                <w:szCs w:val="21"/>
                <w:highlight w:val="none"/>
                <w:lang w:eastAsia="zh-CN"/>
              </w:rPr>
              <w:t xml:space="preserve"> </w:t>
            </w:r>
            <w:r>
              <w:rPr>
                <w:rFonts w:hint="eastAsia"/>
                <w:b/>
                <w:bCs/>
                <w:color w:val="auto"/>
                <w:sz w:val="21"/>
                <w:szCs w:val="21"/>
                <w:highlight w:val="none"/>
                <w:lang w:val="en-US" w:eastAsia="zh-CN"/>
              </w:rPr>
              <w:t xml:space="preserve"> </w:t>
            </w:r>
            <w:r>
              <w:rPr>
                <w:rFonts w:hint="eastAsia"/>
                <w:b/>
                <w:bCs/>
                <w:color w:val="auto"/>
                <w:sz w:val="21"/>
                <w:szCs w:val="21"/>
                <w:highlight w:val="none"/>
                <w:lang w:eastAsia="zh-CN"/>
              </w:rPr>
              <w:t>评价范围一览表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6618"/>
            </w:tblGrid>
            <w:tr w14:paraId="2C8C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tcPr>
                <w:p w14:paraId="52205F2D">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评价内容</w:t>
                  </w:r>
                </w:p>
              </w:tc>
              <w:tc>
                <w:tcPr>
                  <w:tcW w:w="4223" w:type="pct"/>
                </w:tcPr>
                <w:p w14:paraId="0C3459FF">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评价范围</w:t>
                  </w:r>
                </w:p>
              </w:tc>
            </w:tr>
            <w:tr w14:paraId="1DAE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704E2D2">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大气环境</w:t>
                  </w:r>
                </w:p>
              </w:tc>
              <w:tc>
                <w:tcPr>
                  <w:tcW w:w="4223" w:type="pct"/>
                </w:tcPr>
                <w:p w14:paraId="53D4E7FD">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pacing w:val="-8"/>
                      <w:sz w:val="21"/>
                      <w:szCs w:val="21"/>
                      <w:highlight w:val="none"/>
                      <w:lang w:val="en-US" w:eastAsia="zh-CN"/>
                    </w:rPr>
                  </w:pPr>
                  <w:r>
                    <w:rPr>
                      <w:rFonts w:hint="default" w:ascii="Times New Roman" w:hAnsi="Times New Roman"/>
                      <w:color w:val="auto"/>
                      <w:spacing w:val="-8"/>
                      <w:sz w:val="21"/>
                      <w:szCs w:val="21"/>
                      <w:highlight w:val="none"/>
                    </w:rPr>
                    <w:t>根据《环境影响评价技术导则 大气环境》（HJ2.2-2018），</w:t>
                  </w:r>
                  <w:r>
                    <w:rPr>
                      <w:rFonts w:hint="eastAsia" w:ascii="Times New Roman" w:hAnsi="Times New Roman"/>
                      <w:color w:val="auto"/>
                      <w:spacing w:val="-8"/>
                      <w:sz w:val="21"/>
                      <w:szCs w:val="21"/>
                      <w:highlight w:val="none"/>
                      <w:lang w:eastAsia="zh-CN"/>
                    </w:rPr>
                    <w:t>项目运营期无生产废气产生，评价等级为三级，</w:t>
                  </w:r>
                  <w:r>
                    <w:rPr>
                      <w:rFonts w:hint="default" w:ascii="Times New Roman" w:hAnsi="Times New Roman"/>
                      <w:color w:val="auto"/>
                      <w:spacing w:val="-8"/>
                      <w:sz w:val="21"/>
                      <w:szCs w:val="21"/>
                      <w:highlight w:val="none"/>
                    </w:rPr>
                    <w:t>不设置评价范围</w:t>
                  </w:r>
                  <w:r>
                    <w:rPr>
                      <w:rFonts w:hint="eastAsia" w:ascii="Times New Roman" w:hAnsi="Times New Roman"/>
                      <w:color w:val="auto"/>
                      <w:spacing w:val="-8"/>
                      <w:sz w:val="21"/>
                      <w:szCs w:val="21"/>
                      <w:highlight w:val="none"/>
                      <w:lang w:eastAsia="zh-CN"/>
                    </w:rPr>
                    <w:t>。项目参考《建设项目环境影响报告表编制技术指南（污染影响类）（试行）》，确定项目大气环境以</w:t>
                  </w:r>
                  <w:r>
                    <w:rPr>
                      <w:rFonts w:hint="default" w:ascii="Times New Roman" w:hAnsi="Times New Roman"/>
                      <w:color w:val="auto"/>
                      <w:spacing w:val="-8"/>
                      <w:sz w:val="21"/>
                      <w:szCs w:val="21"/>
                      <w:highlight w:val="none"/>
                    </w:rPr>
                    <w:t>项目用地红线内及外延</w:t>
                  </w:r>
                  <w:r>
                    <w:rPr>
                      <w:rFonts w:hint="eastAsia" w:ascii="Times New Roman" w:hAnsi="Times New Roman"/>
                      <w:color w:val="auto"/>
                      <w:spacing w:val="-8"/>
                      <w:sz w:val="21"/>
                      <w:szCs w:val="21"/>
                      <w:highlight w:val="none"/>
                      <w:lang w:val="en-US" w:eastAsia="zh-CN"/>
                    </w:rPr>
                    <w:t>500</w:t>
                  </w:r>
                  <w:r>
                    <w:rPr>
                      <w:rFonts w:hint="default" w:ascii="Times New Roman" w:hAnsi="Times New Roman"/>
                      <w:color w:val="auto"/>
                      <w:spacing w:val="-8"/>
                      <w:sz w:val="21"/>
                      <w:szCs w:val="21"/>
                      <w:highlight w:val="none"/>
                    </w:rPr>
                    <w:t>m的区域</w:t>
                  </w:r>
                  <w:r>
                    <w:rPr>
                      <w:rFonts w:hint="eastAsia" w:ascii="Times New Roman" w:hAnsi="Times New Roman"/>
                      <w:color w:val="auto"/>
                      <w:spacing w:val="-8"/>
                      <w:sz w:val="21"/>
                      <w:szCs w:val="21"/>
                      <w:highlight w:val="none"/>
                      <w:lang w:eastAsia="zh-CN"/>
                    </w:rPr>
                    <w:t>为评价范围。</w:t>
                  </w:r>
                </w:p>
              </w:tc>
            </w:tr>
            <w:tr w14:paraId="6763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3AEB2012">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声环境</w:t>
                  </w:r>
                </w:p>
              </w:tc>
              <w:tc>
                <w:tcPr>
                  <w:tcW w:w="4223" w:type="pct"/>
                </w:tcPr>
                <w:p w14:paraId="5C7ABC45">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pacing w:val="-8"/>
                      <w:sz w:val="21"/>
                      <w:szCs w:val="21"/>
                      <w:highlight w:val="none"/>
                      <w:lang w:val="en-US" w:eastAsia="zh-CN"/>
                    </w:rPr>
                  </w:pPr>
                  <w:r>
                    <w:rPr>
                      <w:rFonts w:hint="default" w:ascii="Times New Roman" w:hAnsi="Times New Roman"/>
                      <w:color w:val="auto"/>
                      <w:spacing w:val="-8"/>
                      <w:sz w:val="21"/>
                      <w:szCs w:val="21"/>
                      <w:highlight w:val="none"/>
                    </w:rPr>
                    <w:t>根据《环境影响评价技术导则 声环境》（HJ2.4-2021），评价范围为项目用地红线内及外延</w:t>
                  </w:r>
                  <w:r>
                    <w:rPr>
                      <w:rFonts w:hint="eastAsia" w:ascii="Times New Roman" w:hAnsi="Times New Roman"/>
                      <w:color w:val="auto"/>
                      <w:spacing w:val="-8"/>
                      <w:sz w:val="21"/>
                      <w:szCs w:val="21"/>
                      <w:highlight w:val="none"/>
                      <w:lang w:val="en-US" w:eastAsia="zh-CN"/>
                    </w:rPr>
                    <w:t>200</w:t>
                  </w:r>
                  <w:r>
                    <w:rPr>
                      <w:rFonts w:hint="default" w:ascii="Times New Roman" w:hAnsi="Times New Roman"/>
                      <w:color w:val="auto"/>
                      <w:spacing w:val="-8"/>
                      <w:sz w:val="21"/>
                      <w:szCs w:val="21"/>
                      <w:highlight w:val="none"/>
                    </w:rPr>
                    <w:t>m的区域</w:t>
                  </w:r>
                  <w:r>
                    <w:rPr>
                      <w:rFonts w:hint="eastAsia" w:ascii="Times New Roman" w:hAnsi="Times New Roman"/>
                      <w:color w:val="auto"/>
                      <w:spacing w:val="-8"/>
                      <w:sz w:val="21"/>
                      <w:szCs w:val="21"/>
                      <w:highlight w:val="none"/>
                      <w:lang w:eastAsia="zh-CN"/>
                    </w:rPr>
                    <w:t>。</w:t>
                  </w:r>
                </w:p>
              </w:tc>
            </w:tr>
            <w:tr w14:paraId="1D1C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54D0FCA">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地表水环境</w:t>
                  </w:r>
                </w:p>
              </w:tc>
              <w:tc>
                <w:tcPr>
                  <w:tcW w:w="4223" w:type="pct"/>
                </w:tcPr>
                <w:p w14:paraId="244EE336">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8"/>
                      <w:sz w:val="21"/>
                      <w:szCs w:val="21"/>
                      <w:highlight w:val="none"/>
                      <w:lang w:val="en-US" w:eastAsia="zh-CN"/>
                    </w:rPr>
                    <w:t>根据《环境影响评价技术导则 地表水环境》（HJ2.3-2018），</w:t>
                  </w:r>
                  <w:r>
                    <w:rPr>
                      <w:rFonts w:hint="default" w:ascii="Times New Roman" w:hAnsi="Times New Roman" w:cs="Times New Roman"/>
                      <w:color w:val="auto"/>
                      <w:sz w:val="21"/>
                      <w:szCs w:val="21"/>
                      <w:highlight w:val="none"/>
                      <w:lang w:val="en-US" w:eastAsia="zh-CN"/>
                    </w:rPr>
                    <w:t>由于本工程施工期及运营期不外排污水</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本次评价重点对施工期污水、</w:t>
                  </w:r>
                  <w:r>
                    <w:rPr>
                      <w:rFonts w:hint="eastAsia" w:ascii="Times New Roman" w:hAnsi="Times New Roman" w:cs="Times New Roman"/>
                      <w:color w:val="auto"/>
                      <w:sz w:val="21"/>
                      <w:szCs w:val="21"/>
                      <w:highlight w:val="none"/>
                      <w:lang w:val="en-US" w:eastAsia="zh-CN"/>
                    </w:rPr>
                    <w:t>光伏</w:t>
                  </w:r>
                  <w:r>
                    <w:rPr>
                      <w:rFonts w:hint="default" w:ascii="Times New Roman" w:hAnsi="Times New Roman" w:cs="Times New Roman"/>
                      <w:color w:val="auto"/>
                      <w:sz w:val="21"/>
                      <w:szCs w:val="21"/>
                      <w:highlight w:val="none"/>
                      <w:lang w:val="en-US" w:eastAsia="zh-CN"/>
                    </w:rPr>
                    <w:t>板清</w:t>
                  </w:r>
                  <w:r>
                    <w:rPr>
                      <w:rFonts w:hint="eastAsia" w:ascii="Times New Roman" w:hAnsi="Times New Roman" w:cs="Times New Roman"/>
                      <w:color w:val="auto"/>
                      <w:sz w:val="21"/>
                      <w:szCs w:val="21"/>
                      <w:highlight w:val="none"/>
                      <w:lang w:val="en-US" w:eastAsia="zh-CN"/>
                    </w:rPr>
                    <w:t>洁</w:t>
                  </w:r>
                  <w:r>
                    <w:rPr>
                      <w:rFonts w:hint="default" w:ascii="Times New Roman" w:hAnsi="Times New Roman" w:cs="Times New Roman"/>
                      <w:color w:val="auto"/>
                      <w:sz w:val="21"/>
                      <w:szCs w:val="21"/>
                      <w:highlight w:val="none"/>
                      <w:lang w:val="en-US" w:eastAsia="zh-CN"/>
                    </w:rPr>
                    <w:t>废水的回用可行性及可靠性进行分析评价。</w:t>
                  </w:r>
                </w:p>
              </w:tc>
            </w:tr>
            <w:tr w14:paraId="0DE2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08DA3525">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生态环境</w:t>
                  </w:r>
                </w:p>
              </w:tc>
              <w:tc>
                <w:tcPr>
                  <w:tcW w:w="4223" w:type="pct"/>
                </w:tcPr>
                <w:p w14:paraId="56AC7D90">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8"/>
                      <w:sz w:val="21"/>
                      <w:szCs w:val="21"/>
                      <w:highlight w:val="none"/>
                      <w:lang w:val="en-US" w:eastAsia="zh-CN"/>
                    </w:rPr>
                    <w:t>根据《环境影响评价技术导则 生态环境》（HJ19-2022），</w:t>
                  </w:r>
                  <w:r>
                    <w:rPr>
                      <w:rFonts w:hint="default" w:ascii="Times New Roman" w:hAnsi="Times New Roman"/>
                      <w:color w:val="auto"/>
                      <w:spacing w:val="-8"/>
                      <w:sz w:val="21"/>
                      <w:szCs w:val="21"/>
                      <w:highlight w:val="none"/>
                    </w:rPr>
                    <w:t>评价范围为</w:t>
                  </w:r>
                  <w:r>
                    <w:rPr>
                      <w:rFonts w:hint="default" w:ascii="Times New Roman" w:hAnsi="Times New Roman" w:cs="Times New Roman"/>
                      <w:color w:val="auto"/>
                      <w:sz w:val="21"/>
                      <w:szCs w:val="21"/>
                      <w:highlight w:val="none"/>
                      <w:lang w:val="en-US" w:eastAsia="zh-CN"/>
                    </w:rPr>
                    <w:t>用地红线范围内</w:t>
                  </w:r>
                  <w:r>
                    <w:rPr>
                      <w:rFonts w:hint="default" w:ascii="Times New Roman" w:hAnsi="Times New Roman"/>
                      <w:color w:val="auto"/>
                      <w:spacing w:val="-8"/>
                      <w:sz w:val="21"/>
                      <w:szCs w:val="21"/>
                      <w:highlight w:val="none"/>
                    </w:rPr>
                    <w:t>及</w:t>
                  </w:r>
                  <w:r>
                    <w:rPr>
                      <w:rFonts w:hint="default" w:ascii="Times New Roman" w:hAnsi="Times New Roman" w:cs="Times New Roman"/>
                      <w:color w:val="auto"/>
                      <w:sz w:val="21"/>
                      <w:szCs w:val="21"/>
                      <w:highlight w:val="none"/>
                      <w:lang w:val="en-US" w:eastAsia="zh-CN"/>
                    </w:rPr>
                    <w:t>外延300m的区域</w:t>
                  </w:r>
                  <w:r>
                    <w:rPr>
                      <w:rFonts w:hint="eastAsia" w:ascii="Times New Roman" w:hAnsi="Times New Roman" w:cs="Times New Roman"/>
                      <w:color w:val="auto"/>
                      <w:sz w:val="21"/>
                      <w:szCs w:val="21"/>
                      <w:highlight w:val="none"/>
                      <w:lang w:val="en-US" w:eastAsia="zh-CN"/>
                    </w:rPr>
                    <w:t>。</w:t>
                  </w:r>
                </w:p>
              </w:tc>
            </w:tr>
            <w:tr w14:paraId="7687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43689239">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地下水环境</w:t>
                  </w:r>
                </w:p>
              </w:tc>
              <w:tc>
                <w:tcPr>
                  <w:tcW w:w="4223" w:type="pct"/>
                </w:tcPr>
                <w:p w14:paraId="73FD7B5B">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8"/>
                      <w:sz w:val="21"/>
                      <w:szCs w:val="21"/>
                      <w:highlight w:val="none"/>
                      <w:lang w:val="en-US" w:eastAsia="zh-CN"/>
                    </w:rPr>
                    <w:t>根据《环境影响评价技术导则 地下水环境》（HJ610-2016），</w:t>
                  </w:r>
                  <w:r>
                    <w:rPr>
                      <w:rFonts w:hint="default" w:ascii="Times New Roman" w:hAnsi="Times New Roman" w:cs="Times New Roman"/>
                      <w:color w:val="auto"/>
                      <w:sz w:val="21"/>
                      <w:szCs w:val="21"/>
                      <w:highlight w:val="none"/>
                      <w:lang w:val="en-US" w:eastAsia="zh-CN"/>
                    </w:rPr>
                    <w:t>地下水环境影响评价项目类别为Ⅳ类，Ⅳ类项目不开展地下水环境影响评价。</w:t>
                  </w:r>
                </w:p>
              </w:tc>
            </w:tr>
            <w:tr w14:paraId="1F98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Align w:val="center"/>
                </w:tcPr>
                <w:p w14:paraId="235C120D">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土壤环境</w:t>
                  </w:r>
                </w:p>
              </w:tc>
              <w:tc>
                <w:tcPr>
                  <w:tcW w:w="4223" w:type="pct"/>
                </w:tcPr>
                <w:p w14:paraId="1F9FAA32">
                  <w:pPr>
                    <w:pStyle w:val="3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pacing w:val="-8"/>
                      <w:sz w:val="21"/>
                      <w:szCs w:val="21"/>
                      <w:highlight w:val="none"/>
                      <w:lang w:val="en-US" w:eastAsia="zh-CN"/>
                    </w:rPr>
                    <w:t>根据《环境影响评价技术导则 土壤环境（试行）》（HJ964-2018），</w:t>
                  </w:r>
                  <w:r>
                    <w:rPr>
                      <w:rFonts w:hint="default" w:ascii="Times New Roman" w:hAnsi="Times New Roman" w:cs="Times New Roman"/>
                      <w:color w:val="auto"/>
                      <w:sz w:val="21"/>
                      <w:szCs w:val="21"/>
                      <w:highlight w:val="none"/>
                      <w:lang w:val="en-US" w:eastAsia="zh-CN"/>
                    </w:rPr>
                    <w:t>土壤环境评价项目类别为Ⅳ类，Ⅳ类项目可不开展土壤环境影响评价。</w:t>
                  </w:r>
                </w:p>
              </w:tc>
            </w:tr>
          </w:tbl>
          <w:p w14:paraId="11600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bCs/>
                <w:color w:val="auto"/>
                <w:sz w:val="24"/>
                <w:highlight w:val="none"/>
              </w:rPr>
            </w:pPr>
            <w:r>
              <w:rPr>
                <w:rFonts w:hint="eastAsia" w:ascii="Times New Roman" w:hAnsi="Times New Roman" w:eastAsia="宋体"/>
                <w:b/>
                <w:bCs/>
                <w:color w:val="auto"/>
                <w:sz w:val="24"/>
                <w:highlight w:val="none"/>
                <w:lang w:val="en-US" w:eastAsia="zh-CN"/>
              </w:rPr>
              <w:t>2、</w:t>
            </w:r>
            <w:r>
              <w:rPr>
                <w:rFonts w:hint="eastAsia" w:ascii="Times New Roman" w:hAnsi="Times New Roman" w:eastAsia="宋体"/>
                <w:b/>
                <w:bCs/>
                <w:color w:val="auto"/>
                <w:sz w:val="24"/>
                <w:highlight w:val="none"/>
              </w:rPr>
              <w:t>项目环境保护目标</w:t>
            </w:r>
          </w:p>
          <w:p w14:paraId="324D3BD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eastAsia="zh-CN"/>
              </w:rPr>
              <w:t>（</w:t>
            </w:r>
            <w:r>
              <w:rPr>
                <w:rFonts w:hint="eastAsia" w:ascii="Times New Roman" w:hAnsi="Times New Roman" w:eastAsia="宋体"/>
                <w:b/>
                <w:color w:val="auto"/>
                <w:sz w:val="24"/>
                <w:highlight w:val="none"/>
                <w:lang w:val="en-US" w:eastAsia="zh-CN"/>
              </w:rPr>
              <w:t>1</w:t>
            </w:r>
            <w:r>
              <w:rPr>
                <w:rFonts w:hint="eastAsia" w:ascii="Times New Roman" w:hAnsi="Times New Roman" w:eastAsia="宋体"/>
                <w:b/>
                <w:color w:val="auto"/>
                <w:sz w:val="24"/>
                <w:highlight w:val="none"/>
                <w:lang w:eastAsia="zh-CN"/>
              </w:rPr>
              <w:t>）</w:t>
            </w:r>
            <w:r>
              <w:rPr>
                <w:rFonts w:hint="default" w:ascii="Times New Roman" w:hAnsi="Times New Roman" w:eastAsia="宋体"/>
                <w:b/>
                <w:color w:val="auto"/>
                <w:sz w:val="24"/>
                <w:highlight w:val="none"/>
              </w:rPr>
              <w:t>生态环境保护目标</w:t>
            </w:r>
          </w:p>
          <w:p w14:paraId="42FD7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本项目不涉及自然保护区、风景名胜区、饮用水水源保护区等环境敏感区，主要生态环境保护目标为评价区植被植物</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陆生脊椎动物</w:t>
            </w:r>
            <w:r>
              <w:rPr>
                <w:rFonts w:hint="eastAsia" w:ascii="Times New Roman" w:hAnsi="Times New Roman" w:eastAsia="宋体"/>
                <w:color w:val="auto"/>
                <w:sz w:val="24"/>
                <w:highlight w:val="none"/>
                <w:lang w:eastAsia="zh-CN"/>
              </w:rPr>
              <w:t>等</w:t>
            </w:r>
            <w:r>
              <w:rPr>
                <w:rFonts w:hint="default" w:ascii="Times New Roman" w:hAnsi="Times New Roman" w:eastAsia="宋体"/>
                <w:color w:val="auto"/>
                <w:sz w:val="24"/>
                <w:highlight w:val="none"/>
              </w:rPr>
              <w:t>。</w:t>
            </w:r>
          </w:p>
          <w:p w14:paraId="1C1ECABA">
            <w:pPr>
              <w:keepNext w:val="0"/>
              <w:keepLines w:val="0"/>
              <w:suppressLineNumbers w:val="0"/>
              <w:spacing w:before="0" w:beforeAutospacing="0" w:after="0" w:afterAutospacing="0" w:line="240" w:lineRule="auto"/>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表3-</w:t>
            </w:r>
            <w:r>
              <w:rPr>
                <w:rFonts w:hint="eastAsia" w:ascii="Times New Roman" w:hAnsi="Times New Roman" w:eastAsia="宋体"/>
                <w:b/>
                <w:color w:val="auto"/>
                <w:sz w:val="21"/>
                <w:szCs w:val="21"/>
                <w:highlight w:val="none"/>
                <w:lang w:val="en-US" w:eastAsia="zh-CN"/>
              </w:rPr>
              <w:t>8</w:t>
            </w:r>
            <w:r>
              <w:rPr>
                <w:rFonts w:hint="eastAsia" w:ascii="Times New Roman" w:hAnsi="Times New Roman" w:eastAsia="宋体"/>
                <w:b/>
                <w:color w:val="auto"/>
                <w:sz w:val="21"/>
                <w:szCs w:val="21"/>
                <w:highlight w:val="none"/>
              </w:rPr>
              <w:t xml:space="preserve">  </w:t>
            </w:r>
            <w:r>
              <w:rPr>
                <w:rFonts w:hint="eastAsia" w:ascii="Times New Roman" w:hAnsi="Times New Roman" w:eastAsia="宋体"/>
                <w:b/>
                <w:color w:val="auto"/>
                <w:sz w:val="21"/>
                <w:szCs w:val="21"/>
                <w:highlight w:val="none"/>
                <w:lang w:eastAsia="zh-CN"/>
              </w:rPr>
              <w:t>生态环境</w:t>
            </w:r>
            <w:r>
              <w:rPr>
                <w:rFonts w:hint="eastAsia" w:ascii="Times New Roman" w:hAnsi="Times New Roman" w:eastAsia="宋体"/>
                <w:b/>
                <w:color w:val="auto"/>
                <w:sz w:val="21"/>
                <w:szCs w:val="21"/>
                <w:highlight w:val="none"/>
              </w:rPr>
              <w:t>保</w:t>
            </w:r>
            <w:r>
              <w:rPr>
                <w:rFonts w:hint="default" w:ascii="Times New Roman" w:hAnsi="Times New Roman" w:eastAsia="宋体"/>
                <w:b/>
                <w:color w:val="auto"/>
                <w:sz w:val="21"/>
                <w:szCs w:val="21"/>
                <w:highlight w:val="none"/>
              </w:rPr>
              <w:t>护目标一览表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18"/>
              <w:gridCol w:w="1472"/>
              <w:gridCol w:w="2000"/>
              <w:gridCol w:w="2660"/>
              <w:gridCol w:w="984"/>
            </w:tblGrid>
            <w:tr w14:paraId="31F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458" w:type="pct"/>
                  <w:tcBorders>
                    <w:top w:val="single" w:color="auto" w:sz="4" w:space="0"/>
                  </w:tcBorders>
                  <w:noWrap w:val="0"/>
                  <w:vAlign w:val="center"/>
                </w:tcPr>
                <w:p w14:paraId="7DF77AF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highlight w:val="none"/>
                      <w:lang w:val="en-US" w:eastAsia="zh-CN"/>
                    </w:rPr>
                  </w:pPr>
                  <w:r>
                    <w:rPr>
                      <w:rFonts w:hint="default" w:ascii="Times New Roman" w:hAnsi="Times New Roman" w:eastAsia="宋体"/>
                      <w:b/>
                      <w:color w:val="auto"/>
                      <w:sz w:val="21"/>
                      <w:szCs w:val="21"/>
                      <w:highlight w:val="none"/>
                      <w:lang w:val="en-US" w:eastAsia="zh-CN"/>
                    </w:rPr>
                    <w:t>环境要素</w:t>
                  </w:r>
                </w:p>
              </w:tc>
              <w:tc>
                <w:tcPr>
                  <w:tcW w:w="939" w:type="pct"/>
                  <w:tcBorders>
                    <w:top w:val="single" w:color="auto" w:sz="4" w:space="0"/>
                  </w:tcBorders>
                  <w:noWrap w:val="0"/>
                  <w:vAlign w:val="center"/>
                </w:tcPr>
                <w:p w14:paraId="78924E7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highlight w:val="none"/>
                      <w:lang w:val="en-US" w:eastAsia="zh-CN"/>
                    </w:rPr>
                  </w:pPr>
                  <w:r>
                    <w:rPr>
                      <w:rFonts w:hint="default" w:ascii="Times New Roman" w:hAnsi="Times New Roman" w:eastAsia="宋体"/>
                      <w:b/>
                      <w:color w:val="auto"/>
                      <w:sz w:val="21"/>
                      <w:szCs w:val="21"/>
                      <w:highlight w:val="none"/>
                      <w:lang w:val="en-US" w:eastAsia="zh-CN"/>
                    </w:rPr>
                    <w:t>保护对象</w:t>
                  </w:r>
                </w:p>
              </w:tc>
              <w:tc>
                <w:tcPr>
                  <w:tcW w:w="1276" w:type="pct"/>
                  <w:tcBorders>
                    <w:top w:val="single" w:color="auto" w:sz="4" w:space="0"/>
                  </w:tcBorders>
                  <w:noWrap w:val="0"/>
                  <w:vAlign w:val="center"/>
                </w:tcPr>
                <w:p w14:paraId="1F7A4D7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highlight w:val="none"/>
                      <w:lang w:val="en-US" w:eastAsia="zh-CN"/>
                    </w:rPr>
                  </w:pPr>
                  <w:r>
                    <w:rPr>
                      <w:rFonts w:hint="eastAsia" w:ascii="Times New Roman" w:hAnsi="Times New Roman" w:eastAsia="宋体"/>
                      <w:b/>
                      <w:color w:val="auto"/>
                      <w:sz w:val="21"/>
                      <w:szCs w:val="21"/>
                      <w:highlight w:val="none"/>
                      <w:lang w:val="en-US" w:eastAsia="zh-CN"/>
                    </w:rPr>
                    <w:t>特性/</w:t>
                  </w:r>
                  <w:r>
                    <w:rPr>
                      <w:rFonts w:hint="default" w:ascii="Times New Roman" w:hAnsi="Times New Roman" w:eastAsia="宋体"/>
                      <w:b/>
                      <w:color w:val="auto"/>
                      <w:sz w:val="21"/>
                      <w:szCs w:val="21"/>
                      <w:highlight w:val="none"/>
                      <w:lang w:val="en-US" w:eastAsia="zh-CN"/>
                    </w:rPr>
                    <w:t>规模</w:t>
                  </w:r>
                </w:p>
              </w:tc>
              <w:tc>
                <w:tcPr>
                  <w:tcW w:w="1697" w:type="pct"/>
                  <w:tcBorders>
                    <w:top w:val="single" w:color="auto" w:sz="4" w:space="0"/>
                  </w:tcBorders>
                  <w:noWrap w:val="0"/>
                  <w:vAlign w:val="center"/>
                </w:tcPr>
                <w:p w14:paraId="4D37E6AE">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highlight w:val="none"/>
                      <w:lang w:val="en-US" w:eastAsia="zh-CN"/>
                    </w:rPr>
                  </w:pPr>
                  <w:r>
                    <w:rPr>
                      <w:rFonts w:hint="default" w:ascii="Times New Roman" w:hAnsi="Times New Roman" w:eastAsia="宋体"/>
                      <w:b/>
                      <w:color w:val="auto"/>
                      <w:sz w:val="21"/>
                      <w:szCs w:val="21"/>
                      <w:highlight w:val="none"/>
                      <w:lang w:val="en-US" w:eastAsia="zh-CN"/>
                    </w:rPr>
                    <w:t>位置</w:t>
                  </w:r>
                </w:p>
              </w:tc>
              <w:tc>
                <w:tcPr>
                  <w:tcW w:w="628" w:type="pct"/>
                  <w:tcBorders>
                    <w:top w:val="single" w:color="auto" w:sz="4" w:space="0"/>
                  </w:tcBorders>
                  <w:noWrap w:val="0"/>
                  <w:vAlign w:val="center"/>
                </w:tcPr>
                <w:p w14:paraId="2BC324AC">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b/>
                      <w:color w:val="auto"/>
                      <w:sz w:val="21"/>
                      <w:szCs w:val="21"/>
                      <w:highlight w:val="none"/>
                      <w:lang w:val="en-US" w:eastAsia="zh-CN"/>
                    </w:rPr>
                  </w:pPr>
                  <w:r>
                    <w:rPr>
                      <w:rFonts w:hint="eastAsia" w:ascii="Times New Roman" w:hAnsi="Times New Roman" w:eastAsia="宋体"/>
                      <w:b/>
                      <w:color w:val="auto"/>
                      <w:sz w:val="21"/>
                      <w:szCs w:val="21"/>
                      <w:highlight w:val="none"/>
                    </w:rPr>
                    <w:t>保护要求</w:t>
                  </w:r>
                </w:p>
              </w:tc>
            </w:tr>
            <w:tr w14:paraId="6A98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458" w:type="pct"/>
                  <w:vMerge w:val="restart"/>
                  <w:noWrap w:val="0"/>
                  <w:vAlign w:val="center"/>
                </w:tcPr>
                <w:p w14:paraId="01C8E9E4">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生态环境</w:t>
                  </w:r>
                </w:p>
              </w:tc>
              <w:tc>
                <w:tcPr>
                  <w:tcW w:w="939" w:type="pct"/>
                  <w:noWrap w:val="0"/>
                  <w:vAlign w:val="center"/>
                </w:tcPr>
                <w:p w14:paraId="1B815C5F">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陆生植被植物</w:t>
                  </w:r>
                </w:p>
              </w:tc>
              <w:tc>
                <w:tcPr>
                  <w:tcW w:w="1276" w:type="pct"/>
                  <w:noWrap w:val="0"/>
                  <w:vAlign w:val="center"/>
                </w:tcPr>
                <w:p w14:paraId="7201C1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自然植被</w:t>
                  </w:r>
                </w:p>
              </w:tc>
              <w:tc>
                <w:tcPr>
                  <w:tcW w:w="1697" w:type="pct"/>
                  <w:noWrap w:val="0"/>
                  <w:vAlign w:val="center"/>
                </w:tcPr>
                <w:p w14:paraId="3EBDD9B5">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kern w:val="0"/>
                      <w:sz w:val="21"/>
                      <w:szCs w:val="21"/>
                      <w:highlight w:val="none"/>
                      <w:lang w:val="en-US" w:eastAsia="zh-CN"/>
                    </w:rPr>
                    <w:t>项目</w:t>
                  </w:r>
                  <w:r>
                    <w:rPr>
                      <w:rFonts w:hint="default" w:ascii="Times New Roman" w:hAnsi="Times New Roman" w:eastAsia="宋体"/>
                      <w:color w:val="auto"/>
                      <w:kern w:val="0"/>
                      <w:sz w:val="21"/>
                      <w:szCs w:val="21"/>
                      <w:highlight w:val="none"/>
                    </w:rPr>
                    <w:t>用地红线</w:t>
                  </w:r>
                  <w:r>
                    <w:rPr>
                      <w:rFonts w:hint="eastAsia" w:ascii="Times New Roman" w:hAnsi="Times New Roman" w:eastAsia="宋体"/>
                      <w:color w:val="auto"/>
                      <w:kern w:val="0"/>
                      <w:sz w:val="21"/>
                      <w:szCs w:val="21"/>
                      <w:highlight w:val="none"/>
                    </w:rPr>
                    <w:t>范围内及</w:t>
                  </w:r>
                  <w:r>
                    <w:rPr>
                      <w:rFonts w:hint="default" w:ascii="Times New Roman" w:hAnsi="Times New Roman" w:eastAsia="宋体"/>
                      <w:color w:val="auto"/>
                      <w:kern w:val="0"/>
                      <w:sz w:val="21"/>
                      <w:szCs w:val="21"/>
                      <w:highlight w:val="none"/>
                    </w:rPr>
                    <w:t>外延300m</w:t>
                  </w:r>
                  <w:r>
                    <w:rPr>
                      <w:rFonts w:hint="eastAsia" w:ascii="Times New Roman" w:hAnsi="Times New Roman" w:eastAsia="宋体"/>
                      <w:color w:val="auto"/>
                      <w:kern w:val="0"/>
                      <w:sz w:val="21"/>
                      <w:szCs w:val="21"/>
                      <w:highlight w:val="none"/>
                    </w:rPr>
                    <w:t>的区域</w:t>
                  </w:r>
                  <w:r>
                    <w:rPr>
                      <w:rFonts w:hint="default" w:ascii="Times New Roman" w:hAnsi="Times New Roman" w:eastAsia="宋体"/>
                      <w:color w:val="auto"/>
                      <w:kern w:val="0"/>
                      <w:sz w:val="21"/>
                      <w:szCs w:val="21"/>
                      <w:highlight w:val="none"/>
                    </w:rPr>
                    <w:t>。</w:t>
                  </w:r>
                </w:p>
              </w:tc>
              <w:tc>
                <w:tcPr>
                  <w:tcW w:w="628" w:type="pct"/>
                  <w:noWrap w:val="0"/>
                  <w:vAlign w:val="center"/>
                </w:tcPr>
                <w:p w14:paraId="1108D298">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影响小</w:t>
                  </w:r>
                </w:p>
              </w:tc>
            </w:tr>
            <w:tr w14:paraId="3829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8" w:type="pct"/>
                  <w:vMerge w:val="continue"/>
                  <w:noWrap w:val="0"/>
                  <w:vAlign w:val="center"/>
                </w:tcPr>
                <w:p w14:paraId="75252AF9">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p>
              </w:tc>
              <w:tc>
                <w:tcPr>
                  <w:tcW w:w="939" w:type="pct"/>
                  <w:noWrap w:val="0"/>
                  <w:vAlign w:val="center"/>
                </w:tcPr>
                <w:p w14:paraId="2C091D98">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highlight w:val="none"/>
                      <w:lang w:val="en-US" w:eastAsia="zh-CN" w:bidi="ar-SA"/>
                    </w:rPr>
                  </w:pPr>
                  <w:r>
                    <w:rPr>
                      <w:rFonts w:hint="default" w:ascii="Times New Roman" w:hAnsi="Times New Roman" w:eastAsia="宋体"/>
                      <w:color w:val="auto"/>
                      <w:sz w:val="21"/>
                      <w:szCs w:val="21"/>
                      <w:highlight w:val="none"/>
                      <w:lang w:val="en-US" w:eastAsia="zh-CN"/>
                    </w:rPr>
                    <w:t>陆生脊椎动物</w:t>
                  </w:r>
                </w:p>
              </w:tc>
              <w:tc>
                <w:tcPr>
                  <w:tcW w:w="1276" w:type="pct"/>
                  <w:noWrap w:val="0"/>
                  <w:vAlign w:val="center"/>
                </w:tcPr>
                <w:p w14:paraId="200C5213">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两栖类、爬行类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鸟类、哺乳类野生动物</w:t>
                  </w:r>
                </w:p>
              </w:tc>
              <w:tc>
                <w:tcPr>
                  <w:tcW w:w="1697" w:type="pct"/>
                  <w:noWrap w:val="0"/>
                  <w:vAlign w:val="center"/>
                </w:tcPr>
                <w:p w14:paraId="7E7C128B">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highlight w:val="none"/>
                      <w:lang w:val="en-US" w:eastAsia="zh-CN" w:bidi="ar-SA"/>
                    </w:rPr>
                  </w:pPr>
                  <w:r>
                    <w:rPr>
                      <w:rFonts w:hint="default" w:ascii="Times New Roman" w:hAnsi="Times New Roman" w:eastAsia="宋体"/>
                      <w:color w:val="auto"/>
                      <w:sz w:val="21"/>
                      <w:szCs w:val="21"/>
                      <w:highlight w:val="none"/>
                      <w:lang w:val="en-US" w:eastAsia="zh-CN"/>
                    </w:rPr>
                    <w:t>项目占地范围</w:t>
                  </w:r>
                  <w:r>
                    <w:rPr>
                      <w:rFonts w:hint="eastAsia" w:ascii="Times New Roman"/>
                      <w:color w:val="auto"/>
                      <w:sz w:val="21"/>
                      <w:szCs w:val="21"/>
                      <w:highlight w:val="none"/>
                      <w:lang w:val="en-US" w:eastAsia="zh-CN"/>
                    </w:rPr>
                    <w:t>及</w:t>
                  </w:r>
                  <w:r>
                    <w:rPr>
                      <w:rFonts w:hint="default" w:ascii="Times New Roman" w:hAnsi="Times New Roman" w:eastAsia="宋体"/>
                      <w:color w:val="auto"/>
                      <w:sz w:val="21"/>
                      <w:szCs w:val="21"/>
                      <w:highlight w:val="none"/>
                      <w:lang w:val="en-US" w:eastAsia="zh-CN"/>
                    </w:rPr>
                    <w:t>周边</w:t>
                  </w:r>
                </w:p>
              </w:tc>
              <w:tc>
                <w:tcPr>
                  <w:tcW w:w="628" w:type="pct"/>
                  <w:noWrap w:val="0"/>
                  <w:vAlign w:val="center"/>
                </w:tcPr>
                <w:p w14:paraId="3389502F">
                  <w:pPr>
                    <w:pStyle w:val="66"/>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影响小</w:t>
                  </w:r>
                </w:p>
              </w:tc>
            </w:tr>
            <w:tr w14:paraId="6376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8" w:type="pct"/>
                  <w:vMerge w:val="continue"/>
                  <w:noWrap w:val="0"/>
                  <w:vAlign w:val="center"/>
                </w:tcPr>
                <w:p w14:paraId="592E27D5">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p>
              </w:tc>
              <w:tc>
                <w:tcPr>
                  <w:tcW w:w="1472" w:type="dxa"/>
                  <w:noWrap w:val="0"/>
                  <w:vAlign w:val="center"/>
                </w:tcPr>
                <w:p w14:paraId="0B34F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kern w:val="3"/>
                      <w:sz w:val="21"/>
                      <w:szCs w:val="21"/>
                      <w:highlight w:val="none"/>
                      <w:lang w:eastAsia="zh-CN"/>
                    </w:rPr>
                    <w:t>生态保护红线</w:t>
                  </w:r>
                </w:p>
              </w:tc>
              <w:tc>
                <w:tcPr>
                  <w:tcW w:w="2000" w:type="dxa"/>
                  <w:noWrap w:val="0"/>
                  <w:vAlign w:val="center"/>
                </w:tcPr>
                <w:p w14:paraId="2891C7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2"/>
                      <w:sz w:val="21"/>
                      <w:szCs w:val="21"/>
                      <w:highlight w:val="none"/>
                      <w:lang w:val="en-US" w:eastAsia="zh-CN" w:bidi="ar-SA"/>
                    </w:rPr>
                    <w:t>项目</w:t>
                  </w:r>
                  <w:r>
                    <w:rPr>
                      <w:rFonts w:hint="eastAsia" w:ascii="Times New Roman" w:hAnsi="Times New Roman" w:eastAsia="宋体" w:cs="Times New Roman"/>
                      <w:b w:val="0"/>
                      <w:bCs w:val="0"/>
                      <w:color w:val="auto"/>
                      <w:kern w:val="2"/>
                      <w:sz w:val="21"/>
                      <w:szCs w:val="21"/>
                      <w:highlight w:val="none"/>
                      <w:lang w:val="en-US" w:eastAsia="zh-CN" w:bidi="ar-SA"/>
                    </w:rPr>
                    <w:t>15#方阵西侧5.19m</w:t>
                  </w:r>
                  <w:r>
                    <w:rPr>
                      <w:rFonts w:hint="eastAsia" w:ascii="Times New Roman" w:hAnsi="Times New Roman" w:eastAsia="宋体" w:cs="Times New Roman"/>
                      <w:color w:val="auto"/>
                      <w:kern w:val="3"/>
                      <w:sz w:val="21"/>
                      <w:szCs w:val="21"/>
                      <w:highlight w:val="none"/>
                      <w:lang w:eastAsia="zh-CN"/>
                    </w:rPr>
                    <w:t>，</w:t>
                  </w:r>
                  <w:r>
                    <w:rPr>
                      <w:rFonts w:hint="default" w:ascii="Times New Roman" w:hAnsi="Times New Roman" w:cs="Times New Roman"/>
                      <w:color w:val="auto"/>
                      <w:kern w:val="0"/>
                      <w:sz w:val="21"/>
                      <w:szCs w:val="21"/>
                      <w:highlight w:val="none"/>
                    </w:rPr>
                    <w:t>生态红线类型为</w:t>
                  </w:r>
                  <w:r>
                    <w:rPr>
                      <w:rFonts w:hint="eastAsia"/>
                      <w:color w:val="auto"/>
                      <w:lang w:eastAsia="zh-CN"/>
                    </w:rPr>
                    <w:t>高原湖泊及牛栏江上游水源涵养生态保护红线</w:t>
                  </w:r>
                </w:p>
              </w:tc>
              <w:tc>
                <w:tcPr>
                  <w:tcW w:w="2660" w:type="dxa"/>
                  <w:noWrap w:val="0"/>
                  <w:vAlign w:val="center"/>
                </w:tcPr>
                <w:p w14:paraId="385045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以不破坏生物多样性、生态系统完整性为标准</w:t>
                  </w:r>
                </w:p>
              </w:tc>
              <w:tc>
                <w:tcPr>
                  <w:tcW w:w="984" w:type="dxa"/>
                  <w:noWrap w:val="0"/>
                  <w:vAlign w:val="center"/>
                </w:tcPr>
                <w:p w14:paraId="1383B488">
                  <w:pPr>
                    <w:pStyle w:val="66"/>
                    <w:keepNext w:val="0"/>
                    <w:keepLines w:val="0"/>
                    <w:suppressLineNumbers w:val="0"/>
                    <w:spacing w:before="0" w:beforeLines="0" w:beforeAutospacing="0" w:after="0" w:afterLines="0" w:afterAutospacing="0" w:line="240" w:lineRule="auto"/>
                    <w:ind w:left="0" w:leftChars="0" w:right="0" w:rightChars="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lang w:val="en-US" w:eastAsia="zh-CN"/>
                    </w:rPr>
                    <w:t>影响小</w:t>
                  </w:r>
                </w:p>
              </w:tc>
            </w:tr>
            <w:tr w14:paraId="072E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458" w:type="pct"/>
                  <w:vMerge w:val="continue"/>
                  <w:noWrap w:val="0"/>
                  <w:vAlign w:val="center"/>
                </w:tcPr>
                <w:p w14:paraId="7248DF91">
                  <w:pPr>
                    <w:pStyle w:val="66"/>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olor w:val="auto"/>
                      <w:sz w:val="21"/>
                      <w:szCs w:val="21"/>
                      <w:highlight w:val="none"/>
                      <w:lang w:val="en-US" w:eastAsia="zh-CN"/>
                    </w:rPr>
                  </w:pPr>
                </w:p>
              </w:tc>
              <w:tc>
                <w:tcPr>
                  <w:tcW w:w="1472" w:type="dxa"/>
                  <w:noWrap w:val="0"/>
                  <w:vAlign w:val="center"/>
                </w:tcPr>
                <w:p w14:paraId="749841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kern w:val="3"/>
                      <w:sz w:val="21"/>
                      <w:szCs w:val="21"/>
                      <w:highlight w:val="none"/>
                      <w:lang w:eastAsia="zh-CN"/>
                    </w:rPr>
                    <w:t>土地利用</w:t>
                  </w:r>
                </w:p>
              </w:tc>
              <w:tc>
                <w:tcPr>
                  <w:tcW w:w="2000" w:type="dxa"/>
                  <w:noWrap w:val="0"/>
                  <w:vAlign w:val="center"/>
                </w:tcPr>
                <w:p w14:paraId="60ED4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项目</w:t>
                  </w:r>
                  <w:r>
                    <w:rPr>
                      <w:rFonts w:hint="eastAsia" w:cs="Times New Roman"/>
                      <w:color w:val="auto"/>
                      <w:sz w:val="21"/>
                      <w:szCs w:val="21"/>
                      <w:highlight w:val="none"/>
                      <w:lang w:val="en-US" w:eastAsia="zh-CN"/>
                    </w:rPr>
                    <w:t>紧邻8#西南侧</w:t>
                  </w:r>
                  <w:r>
                    <w:rPr>
                      <w:rFonts w:hint="eastAsia" w:ascii="Times New Roman" w:hAnsi="Times New Roman" w:eastAsia="宋体" w:cs="Times New Roman"/>
                      <w:color w:val="auto"/>
                      <w:kern w:val="3"/>
                      <w:sz w:val="21"/>
                      <w:szCs w:val="21"/>
                      <w:highlight w:val="none"/>
                      <w:lang w:val="en-US" w:eastAsia="zh-CN"/>
                    </w:rPr>
                    <w:t>为</w:t>
                  </w:r>
                  <w:r>
                    <w:rPr>
                      <w:rFonts w:hint="default" w:ascii="Times New Roman" w:hAnsi="Times New Roman" w:eastAsia="宋体" w:cs="Times New Roman"/>
                      <w:color w:val="auto"/>
                      <w:kern w:val="3"/>
                      <w:sz w:val="21"/>
                      <w:szCs w:val="21"/>
                      <w:highlight w:val="none"/>
                      <w:lang w:val="en-US" w:eastAsia="zh-CN"/>
                    </w:rPr>
                    <w:t>永久基本农田</w:t>
                  </w:r>
                </w:p>
              </w:tc>
              <w:tc>
                <w:tcPr>
                  <w:tcW w:w="2660" w:type="dxa"/>
                  <w:noWrap w:val="0"/>
                  <w:vAlign w:val="center"/>
                </w:tcPr>
                <w:p w14:paraId="4E5C0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color w:val="auto"/>
                      <w:kern w:val="3"/>
                      <w:sz w:val="21"/>
                      <w:szCs w:val="21"/>
                      <w:highlight w:val="none"/>
                      <w:lang w:val="en-US" w:eastAsia="zh-CN"/>
                    </w:rPr>
                    <w:t>确保不占用永久基本农田</w:t>
                  </w:r>
                </w:p>
              </w:tc>
              <w:tc>
                <w:tcPr>
                  <w:tcW w:w="984" w:type="dxa"/>
                  <w:noWrap w:val="0"/>
                  <w:vAlign w:val="center"/>
                </w:tcPr>
                <w:p w14:paraId="578BEA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kern w:val="3"/>
                      <w:sz w:val="21"/>
                      <w:szCs w:val="21"/>
                      <w:highlight w:val="none"/>
                      <w:lang w:val="en-US" w:eastAsia="zh-CN"/>
                    </w:rPr>
                    <w:t>影响小</w:t>
                  </w:r>
                </w:p>
              </w:tc>
            </w:tr>
          </w:tbl>
          <w:p w14:paraId="6EE7D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eastAsia="zh-CN"/>
              </w:rPr>
              <w:t>（</w:t>
            </w:r>
            <w:r>
              <w:rPr>
                <w:rFonts w:hint="eastAsia" w:ascii="Times New Roman" w:hAnsi="Times New Roman" w:eastAsia="宋体"/>
                <w:b/>
                <w:color w:val="auto"/>
                <w:sz w:val="24"/>
                <w:highlight w:val="none"/>
                <w:lang w:val="en-US" w:eastAsia="zh-CN"/>
              </w:rPr>
              <w:t>2</w:t>
            </w:r>
            <w:r>
              <w:rPr>
                <w:rFonts w:hint="eastAsia" w:ascii="Times New Roman" w:hAnsi="Times New Roman" w:eastAsia="宋体"/>
                <w:b/>
                <w:color w:val="auto"/>
                <w:sz w:val="24"/>
                <w:highlight w:val="none"/>
                <w:lang w:eastAsia="zh-CN"/>
              </w:rPr>
              <w:t>）</w:t>
            </w:r>
            <w:r>
              <w:rPr>
                <w:rFonts w:hint="default" w:ascii="Times New Roman" w:hAnsi="Times New Roman" w:eastAsia="宋体"/>
                <w:b/>
                <w:color w:val="auto"/>
                <w:sz w:val="24"/>
                <w:highlight w:val="none"/>
              </w:rPr>
              <w:t>地表水环境保护目标</w:t>
            </w:r>
          </w:p>
          <w:p w14:paraId="115F1CCD">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项目周边地表水环境保护目标如下表所示。</w:t>
            </w:r>
          </w:p>
          <w:p w14:paraId="46AB05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ascii="Times New Roman" w:hAnsi="Times New Roman" w:eastAsia="宋体" w:cs="Times New Roman"/>
                <w:b/>
                <w:color w:val="auto"/>
                <w:sz w:val="21"/>
                <w:szCs w:val="21"/>
                <w:highlight w:val="none"/>
                <w:lang w:val="en-US" w:eastAsia="zh-CN"/>
              </w:rPr>
              <w:t>9</w:t>
            </w:r>
            <w:r>
              <w:rPr>
                <w:rFonts w:hint="eastAsia"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地表水环境保护目标一览表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32"/>
              <w:gridCol w:w="985"/>
              <w:gridCol w:w="1270"/>
              <w:gridCol w:w="919"/>
              <w:gridCol w:w="1293"/>
              <w:gridCol w:w="1099"/>
              <w:gridCol w:w="1736"/>
            </w:tblGrid>
            <w:tr w14:paraId="3CD2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tblHeader/>
                <w:jc w:val="center"/>
              </w:trPr>
              <w:tc>
                <w:tcPr>
                  <w:tcW w:w="347" w:type="pct"/>
                  <w:tcBorders>
                    <w:top w:val="single" w:color="auto" w:sz="4" w:space="0"/>
                  </w:tcBorders>
                  <w:noWrap w:val="0"/>
                  <w:vAlign w:val="center"/>
                </w:tcPr>
                <w:p w14:paraId="378EF9D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环境要素</w:t>
                  </w:r>
                </w:p>
              </w:tc>
              <w:tc>
                <w:tcPr>
                  <w:tcW w:w="635" w:type="pct"/>
                  <w:tcBorders>
                    <w:top w:val="single" w:color="auto" w:sz="4" w:space="0"/>
                  </w:tcBorders>
                  <w:noWrap w:val="0"/>
                  <w:vAlign w:val="center"/>
                </w:tcPr>
                <w:p w14:paraId="7B4819E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保护对象</w:t>
                  </w:r>
                </w:p>
              </w:tc>
              <w:tc>
                <w:tcPr>
                  <w:tcW w:w="817" w:type="pct"/>
                  <w:tcBorders>
                    <w:top w:val="single" w:color="auto" w:sz="4" w:space="0"/>
                  </w:tcBorders>
                  <w:noWrap w:val="0"/>
                  <w:vAlign w:val="center"/>
                </w:tcPr>
                <w:p w14:paraId="05E2EE9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与项目位置关系</w:t>
                  </w:r>
                </w:p>
              </w:tc>
              <w:tc>
                <w:tcPr>
                  <w:tcW w:w="593" w:type="pct"/>
                  <w:tcBorders>
                    <w:top w:val="single" w:color="auto" w:sz="4" w:space="0"/>
                  </w:tcBorders>
                  <w:noWrap w:val="0"/>
                  <w:vAlign w:val="center"/>
                </w:tcPr>
                <w:p w14:paraId="06EAFAE7">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距离（m）</w:t>
                  </w:r>
                </w:p>
              </w:tc>
              <w:tc>
                <w:tcPr>
                  <w:tcW w:w="832" w:type="pct"/>
                  <w:tcBorders>
                    <w:top w:val="single" w:color="auto" w:sz="4" w:space="0"/>
                  </w:tcBorders>
                  <w:noWrap w:val="0"/>
                  <w:vAlign w:val="center"/>
                </w:tcPr>
                <w:p w14:paraId="6A7081D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eastAsia="宋体"/>
                      <w:b/>
                      <w:color w:val="auto"/>
                      <w:sz w:val="21"/>
                      <w:szCs w:val="21"/>
                      <w:highlight w:val="none"/>
                      <w:lang w:eastAsia="zh-CN"/>
                    </w:rPr>
                  </w:pPr>
                  <w:r>
                    <w:rPr>
                      <w:rFonts w:hint="eastAsia" w:ascii="Times New Roman" w:hAnsi="Times New Roman" w:eastAsia="宋体"/>
                      <w:b/>
                      <w:color w:val="auto"/>
                      <w:sz w:val="21"/>
                      <w:szCs w:val="21"/>
                      <w:highlight w:val="none"/>
                      <w:lang w:eastAsia="zh-CN"/>
                    </w:rPr>
                    <w:t>水体功能</w:t>
                  </w:r>
                </w:p>
              </w:tc>
              <w:tc>
                <w:tcPr>
                  <w:tcW w:w="708" w:type="pct"/>
                  <w:tcBorders>
                    <w:top w:val="single" w:color="auto" w:sz="4" w:space="0"/>
                  </w:tcBorders>
                  <w:noWrap w:val="0"/>
                  <w:vAlign w:val="center"/>
                </w:tcPr>
                <w:p w14:paraId="5D81FC37">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特性/规模</w:t>
                  </w:r>
                </w:p>
              </w:tc>
              <w:tc>
                <w:tcPr>
                  <w:tcW w:w="1065" w:type="pct"/>
                  <w:tcBorders>
                    <w:top w:val="single" w:color="auto" w:sz="4" w:space="0"/>
                  </w:tcBorders>
                  <w:noWrap w:val="0"/>
                  <w:vAlign w:val="center"/>
                </w:tcPr>
                <w:p w14:paraId="55EE27BF">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保护级别</w:t>
                  </w:r>
                </w:p>
              </w:tc>
            </w:tr>
            <w:tr w14:paraId="6F64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7" w:type="pct"/>
                  <w:vMerge w:val="restart"/>
                  <w:noWrap w:val="0"/>
                  <w:vAlign w:val="center"/>
                </w:tcPr>
                <w:p w14:paraId="49F0B4A9">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水环境</w:t>
                  </w:r>
                </w:p>
              </w:tc>
              <w:tc>
                <w:tcPr>
                  <w:tcW w:w="635" w:type="pct"/>
                  <w:noWrap w:val="0"/>
                  <w:vAlign w:val="center"/>
                </w:tcPr>
                <w:p w14:paraId="459EE0CA">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牛栏江</w:t>
                  </w:r>
                </w:p>
              </w:tc>
              <w:tc>
                <w:tcPr>
                  <w:tcW w:w="817" w:type="pct"/>
                  <w:noWrap w:val="0"/>
                  <w:vAlign w:val="center"/>
                </w:tcPr>
                <w:p w14:paraId="7A36266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highlight w:val="none"/>
                      <w:lang w:val="en-US" w:eastAsia="zh-CN" w:bidi="ar-SA"/>
                    </w:rPr>
                  </w:pPr>
                  <w:r>
                    <w:rPr>
                      <w:rFonts w:hint="eastAsia" w:ascii="Times New Roman"/>
                      <w:color w:val="auto"/>
                      <w:sz w:val="21"/>
                      <w:szCs w:val="21"/>
                      <w:highlight w:val="none"/>
                      <w:lang w:val="en-US" w:eastAsia="zh-CN"/>
                    </w:rPr>
                    <w:t>16</w:t>
                  </w:r>
                  <w:r>
                    <w:rPr>
                      <w:rFonts w:hint="eastAsia" w:ascii="Times New Roman" w:hAnsi="Times New Roman"/>
                      <w:color w:val="auto"/>
                      <w:sz w:val="21"/>
                      <w:szCs w:val="21"/>
                      <w:highlight w:val="none"/>
                      <w:lang w:val="en-US" w:eastAsia="zh-CN"/>
                    </w:rPr>
                    <w:t>#方阵东侧</w:t>
                  </w:r>
                </w:p>
              </w:tc>
              <w:tc>
                <w:tcPr>
                  <w:tcW w:w="593" w:type="pct"/>
                  <w:noWrap w:val="0"/>
                  <w:vAlign w:val="center"/>
                </w:tcPr>
                <w:p w14:paraId="72ADC765">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highlight w:val="none"/>
                      <w:lang w:val="en-US" w:eastAsia="zh-CN" w:bidi="ar-SA"/>
                    </w:rPr>
                  </w:pPr>
                  <w:r>
                    <w:rPr>
                      <w:rFonts w:hint="eastAsia" w:ascii="Times New Roman"/>
                      <w:color w:val="auto"/>
                      <w:kern w:val="0"/>
                      <w:sz w:val="21"/>
                      <w:szCs w:val="21"/>
                      <w:highlight w:val="none"/>
                      <w:lang w:val="en-US" w:eastAsia="zh-CN" w:bidi="ar-SA"/>
                    </w:rPr>
                    <w:t>4425</w:t>
                  </w:r>
                </w:p>
              </w:tc>
              <w:tc>
                <w:tcPr>
                  <w:tcW w:w="832" w:type="pct"/>
                  <w:noWrap w:val="0"/>
                  <w:vAlign w:val="center"/>
                </w:tcPr>
                <w:p w14:paraId="276DA4E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大型调水水源区</w:t>
                  </w:r>
                </w:p>
              </w:tc>
              <w:tc>
                <w:tcPr>
                  <w:tcW w:w="708" w:type="pct"/>
                  <w:noWrap w:val="0"/>
                  <w:vAlign w:val="center"/>
                </w:tcPr>
                <w:p w14:paraId="6BB9456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sz w:val="21"/>
                      <w:szCs w:val="21"/>
                      <w:highlight w:val="none"/>
                      <w:lang w:val="en-US" w:eastAsia="zh-CN"/>
                    </w:rPr>
                    <w:t>地表水体</w:t>
                  </w:r>
                </w:p>
              </w:tc>
              <w:tc>
                <w:tcPr>
                  <w:tcW w:w="1065" w:type="pct"/>
                  <w:vMerge w:val="restart"/>
                  <w:noWrap w:val="0"/>
                  <w:vAlign w:val="center"/>
                </w:tcPr>
                <w:p w14:paraId="37CD80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highlight w:val="none"/>
                      <w:lang w:val="en-US" w:eastAsia="zh-CN" w:bidi="ar-SA"/>
                    </w:rPr>
                  </w:pPr>
                  <w:r>
                    <w:rPr>
                      <w:rFonts w:hint="default" w:ascii="Times New Roman" w:hAnsi="Times New Roman"/>
                      <w:color w:val="auto"/>
                      <w:sz w:val="21"/>
                      <w:szCs w:val="21"/>
                      <w:highlight w:val="none"/>
                      <w:lang w:val="en-US" w:eastAsia="zh-CN"/>
                    </w:rPr>
                    <w:t>《地表水环境质量标准》（GB3838-2002）Ⅲ类标准</w:t>
                  </w:r>
                </w:p>
              </w:tc>
            </w:tr>
            <w:tr w14:paraId="118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7" w:type="pct"/>
                  <w:vMerge w:val="continue"/>
                  <w:noWrap w:val="0"/>
                  <w:vAlign w:val="center"/>
                </w:tcPr>
                <w:p w14:paraId="5F7E2231">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highlight w:val="none"/>
                    </w:rPr>
                  </w:pPr>
                </w:p>
              </w:tc>
              <w:tc>
                <w:tcPr>
                  <w:tcW w:w="635" w:type="pct"/>
                  <w:noWrap w:val="0"/>
                  <w:vAlign w:val="center"/>
                </w:tcPr>
                <w:p w14:paraId="5A4878F4">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干河</w:t>
                  </w:r>
                </w:p>
              </w:tc>
              <w:tc>
                <w:tcPr>
                  <w:tcW w:w="817" w:type="pct"/>
                  <w:noWrap w:val="0"/>
                  <w:vAlign w:val="center"/>
                </w:tcPr>
                <w:p w14:paraId="5D64528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olor w:val="auto"/>
                      <w:sz w:val="21"/>
                      <w:szCs w:val="21"/>
                      <w:highlight w:val="none"/>
                      <w:lang w:val="en-US" w:eastAsia="zh-CN"/>
                    </w:rPr>
                    <w:t>1</w:t>
                  </w:r>
                  <w:r>
                    <w:rPr>
                      <w:rFonts w:hint="eastAsia" w:ascii="Times New Roman" w:hAnsi="Times New Roman"/>
                      <w:color w:val="auto"/>
                      <w:sz w:val="21"/>
                      <w:szCs w:val="21"/>
                      <w:highlight w:val="none"/>
                      <w:lang w:val="en-US" w:eastAsia="zh-CN"/>
                    </w:rPr>
                    <w:t>#方阵东北侧</w:t>
                  </w:r>
                </w:p>
              </w:tc>
              <w:tc>
                <w:tcPr>
                  <w:tcW w:w="593" w:type="pct"/>
                  <w:noWrap w:val="0"/>
                  <w:vAlign w:val="center"/>
                </w:tcPr>
                <w:p w14:paraId="6380A7FD">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olor w:val="auto"/>
                      <w:sz w:val="21"/>
                      <w:szCs w:val="21"/>
                      <w:highlight w:val="none"/>
                      <w:lang w:val="en-US" w:eastAsia="zh-CN"/>
                    </w:rPr>
                    <w:t>6840</w:t>
                  </w:r>
                </w:p>
              </w:tc>
              <w:tc>
                <w:tcPr>
                  <w:tcW w:w="832" w:type="pct"/>
                  <w:noWrap w:val="0"/>
                  <w:vAlign w:val="center"/>
                </w:tcPr>
                <w:p w14:paraId="16DBF9E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河流</w:t>
                  </w:r>
                </w:p>
              </w:tc>
              <w:tc>
                <w:tcPr>
                  <w:tcW w:w="708" w:type="pct"/>
                  <w:noWrap w:val="0"/>
                  <w:vAlign w:val="center"/>
                </w:tcPr>
                <w:p w14:paraId="30742BF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地表水体</w:t>
                  </w:r>
                </w:p>
              </w:tc>
              <w:tc>
                <w:tcPr>
                  <w:tcW w:w="1065" w:type="pct"/>
                  <w:vMerge w:val="continue"/>
                  <w:noWrap w:val="0"/>
                  <w:vAlign w:val="center"/>
                </w:tcPr>
                <w:p w14:paraId="260FF5E3">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highlight w:val="none"/>
                      <w:lang w:val="en-US" w:eastAsia="zh-CN"/>
                    </w:rPr>
                  </w:pPr>
                </w:p>
              </w:tc>
            </w:tr>
            <w:tr w14:paraId="0694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3" w:hRule="atLeast"/>
                <w:jc w:val="center"/>
              </w:trPr>
              <w:tc>
                <w:tcPr>
                  <w:tcW w:w="347" w:type="pct"/>
                  <w:vMerge w:val="continue"/>
                  <w:noWrap w:val="0"/>
                  <w:vAlign w:val="center"/>
                </w:tcPr>
                <w:p w14:paraId="3E16F9A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sz w:val="21"/>
                      <w:szCs w:val="21"/>
                      <w:highlight w:val="none"/>
                    </w:rPr>
                  </w:pPr>
                </w:p>
              </w:tc>
              <w:tc>
                <w:tcPr>
                  <w:tcW w:w="635" w:type="pct"/>
                  <w:noWrap w:val="0"/>
                  <w:vAlign w:val="center"/>
                </w:tcPr>
                <w:p w14:paraId="0FE8A0C6">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长地沟</w:t>
                  </w:r>
                </w:p>
              </w:tc>
              <w:tc>
                <w:tcPr>
                  <w:tcW w:w="817" w:type="pct"/>
                  <w:noWrap w:val="0"/>
                  <w:vAlign w:val="center"/>
                </w:tcPr>
                <w:p w14:paraId="37F1CA42">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highlight w:val="none"/>
                      <w:lang w:val="en-US" w:eastAsia="zh-CN" w:bidi="ar-SA"/>
                    </w:rPr>
                  </w:pPr>
                  <w:r>
                    <w:rPr>
                      <w:rFonts w:hint="eastAsia" w:ascii="Times New Roman"/>
                      <w:color w:val="auto"/>
                      <w:kern w:val="0"/>
                      <w:sz w:val="21"/>
                      <w:szCs w:val="21"/>
                      <w:highlight w:val="none"/>
                      <w:lang w:val="en-US" w:eastAsia="zh-CN" w:bidi="ar-SA"/>
                    </w:rPr>
                    <w:t>8#方阵西侧</w:t>
                  </w:r>
                </w:p>
              </w:tc>
              <w:tc>
                <w:tcPr>
                  <w:tcW w:w="593" w:type="pct"/>
                  <w:noWrap w:val="0"/>
                  <w:vAlign w:val="center"/>
                </w:tcPr>
                <w:p w14:paraId="2A2D5A58">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eastAsia="宋体"/>
                      <w:color w:val="auto"/>
                      <w:kern w:val="0"/>
                      <w:sz w:val="21"/>
                      <w:szCs w:val="21"/>
                      <w:highlight w:val="none"/>
                      <w:lang w:val="en-US" w:eastAsia="zh-CN" w:bidi="ar-SA"/>
                    </w:rPr>
                  </w:pPr>
                  <w:r>
                    <w:rPr>
                      <w:rFonts w:hint="eastAsia" w:ascii="Times New Roman"/>
                      <w:color w:val="auto"/>
                      <w:kern w:val="0"/>
                      <w:sz w:val="21"/>
                      <w:szCs w:val="21"/>
                      <w:highlight w:val="none"/>
                      <w:lang w:val="en-US" w:eastAsia="zh-CN" w:bidi="ar-SA"/>
                    </w:rPr>
                    <w:t>1520</w:t>
                  </w:r>
                </w:p>
              </w:tc>
              <w:tc>
                <w:tcPr>
                  <w:tcW w:w="832" w:type="pct"/>
                  <w:noWrap w:val="0"/>
                  <w:vAlign w:val="center"/>
                </w:tcPr>
                <w:p w14:paraId="10EB591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季节性箐沟</w:t>
                  </w:r>
                </w:p>
              </w:tc>
              <w:tc>
                <w:tcPr>
                  <w:tcW w:w="708" w:type="pct"/>
                  <w:noWrap w:val="0"/>
                  <w:vAlign w:val="center"/>
                </w:tcPr>
                <w:p w14:paraId="31881EA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地表水体</w:t>
                  </w:r>
                </w:p>
              </w:tc>
              <w:tc>
                <w:tcPr>
                  <w:tcW w:w="1065" w:type="pct"/>
                  <w:vMerge w:val="continue"/>
                  <w:noWrap w:val="0"/>
                  <w:vAlign w:val="center"/>
                </w:tcPr>
                <w:p w14:paraId="5596EF0B">
                  <w:pPr>
                    <w:pStyle w:val="66"/>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320" w:lineRule="exact"/>
                    <w:ind w:left="0" w:right="0"/>
                    <w:jc w:val="center"/>
                    <w:textAlignment w:val="auto"/>
                    <w:rPr>
                      <w:rFonts w:hint="default" w:ascii="Times New Roman" w:hAnsi="Times New Roman"/>
                      <w:color w:val="auto"/>
                      <w:sz w:val="21"/>
                      <w:szCs w:val="21"/>
                      <w:highlight w:val="none"/>
                      <w:lang w:val="en-US" w:eastAsia="zh-CN"/>
                    </w:rPr>
                  </w:pPr>
                </w:p>
              </w:tc>
            </w:tr>
          </w:tbl>
          <w:p w14:paraId="0DDFA5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eastAsia="zh-CN"/>
              </w:rPr>
              <w:t>（</w:t>
            </w:r>
            <w:r>
              <w:rPr>
                <w:rFonts w:hint="eastAsia" w:ascii="Times New Roman" w:hAnsi="Times New Roman" w:eastAsia="宋体"/>
                <w:b/>
                <w:color w:val="auto"/>
                <w:sz w:val="24"/>
                <w:highlight w:val="none"/>
                <w:lang w:val="en-US" w:eastAsia="zh-CN"/>
              </w:rPr>
              <w:t>3</w:t>
            </w:r>
            <w:r>
              <w:rPr>
                <w:rFonts w:hint="eastAsia" w:ascii="Times New Roman" w:hAnsi="Times New Roman" w:eastAsia="宋体"/>
                <w:b/>
                <w:color w:val="auto"/>
                <w:sz w:val="24"/>
                <w:highlight w:val="none"/>
                <w:lang w:eastAsia="zh-CN"/>
              </w:rPr>
              <w:t>）</w:t>
            </w:r>
            <w:r>
              <w:rPr>
                <w:rFonts w:hint="default" w:ascii="Times New Roman" w:hAnsi="Times New Roman" w:eastAsia="宋体"/>
                <w:b/>
                <w:color w:val="auto"/>
                <w:sz w:val="24"/>
                <w:highlight w:val="none"/>
              </w:rPr>
              <w:t>环境空气保护目标</w:t>
            </w:r>
          </w:p>
          <w:p w14:paraId="7C6D3885">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eastAsia" w:ascii="Times New Roman" w:hAnsi="Times New Roman" w:eastAsia="宋体"/>
                <w:color w:val="auto"/>
                <w:sz w:val="24"/>
                <w:highlight w:val="none"/>
                <w:lang w:eastAsia="zh-CN"/>
              </w:rPr>
              <w:t>项目</w:t>
            </w:r>
            <w:r>
              <w:rPr>
                <w:rFonts w:hint="eastAsia" w:ascii="Times New Roman" w:hAnsi="Times New Roman" w:eastAsia="宋体"/>
                <w:color w:val="auto"/>
                <w:sz w:val="24"/>
                <w:highlight w:val="none"/>
              </w:rPr>
              <w:t>光伏区</w:t>
            </w:r>
            <w:r>
              <w:rPr>
                <w:rFonts w:hint="default" w:ascii="Times New Roman" w:hAnsi="Times New Roman" w:eastAsia="宋体"/>
                <w:color w:val="auto"/>
                <w:sz w:val="24"/>
                <w:highlight w:val="none"/>
              </w:rPr>
              <w:t>500m范围内环境空气保护目标如下表所示。</w:t>
            </w:r>
          </w:p>
          <w:p w14:paraId="729C98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ascii="Times New Roman" w:hAnsi="Times New Roman" w:eastAsia="宋体" w:cs="Times New Roman"/>
                <w:b/>
                <w:color w:val="auto"/>
                <w:sz w:val="21"/>
                <w:szCs w:val="21"/>
                <w:highlight w:val="none"/>
                <w:lang w:val="en-US" w:eastAsia="zh-CN"/>
              </w:rPr>
              <w:t>10</w:t>
            </w:r>
            <w:r>
              <w:rPr>
                <w:rFonts w:hint="eastAsia" w:ascii="Times New Roman" w:hAnsi="Times New Roman" w:eastAsia="宋体" w:cs="Times New Roman"/>
                <w:b/>
                <w:color w:val="auto"/>
                <w:sz w:val="21"/>
                <w:szCs w:val="21"/>
                <w:highlight w:val="none"/>
              </w:rPr>
              <w:t xml:space="preserve"> </w:t>
            </w: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项目大气环境保护目标一览表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81"/>
              <w:gridCol w:w="1030"/>
              <w:gridCol w:w="1214"/>
              <w:gridCol w:w="1110"/>
              <w:gridCol w:w="1636"/>
              <w:gridCol w:w="1630"/>
            </w:tblGrid>
            <w:tr w14:paraId="243E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2" w:type="pct"/>
                  <w:vMerge w:val="restart"/>
                  <w:noWrap w:val="0"/>
                  <w:vAlign w:val="center"/>
                </w:tcPr>
                <w:p w14:paraId="76420D0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r>
                    <w:rPr>
                      <w:rFonts w:hint="default"/>
                      <w:b/>
                      <w:bCs/>
                      <w:color w:val="auto"/>
                      <w:spacing w:val="-8"/>
                      <w:sz w:val="21"/>
                      <w:szCs w:val="21"/>
                      <w:highlight w:val="none"/>
                    </w:rPr>
                    <w:t>保护目标</w:t>
                  </w:r>
                </w:p>
              </w:tc>
              <w:tc>
                <w:tcPr>
                  <w:tcW w:w="243" w:type="pct"/>
                  <w:vMerge w:val="restart"/>
                  <w:noWrap w:val="0"/>
                  <w:vAlign w:val="center"/>
                </w:tcPr>
                <w:p w14:paraId="39746E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r>
                    <w:rPr>
                      <w:rFonts w:hint="default"/>
                      <w:b/>
                      <w:bCs/>
                      <w:color w:val="auto"/>
                      <w:spacing w:val="-8"/>
                      <w:sz w:val="21"/>
                      <w:szCs w:val="21"/>
                      <w:highlight w:val="none"/>
                    </w:rPr>
                    <w:t>保护内容</w:t>
                  </w:r>
                </w:p>
              </w:tc>
              <w:tc>
                <w:tcPr>
                  <w:tcW w:w="657" w:type="pct"/>
                  <w:vMerge w:val="restart"/>
                  <w:noWrap w:val="0"/>
                  <w:vAlign w:val="center"/>
                </w:tcPr>
                <w:p w14:paraId="6A76A20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r>
                    <w:rPr>
                      <w:rFonts w:hint="default"/>
                      <w:b/>
                      <w:bCs/>
                      <w:color w:val="auto"/>
                      <w:spacing w:val="-8"/>
                      <w:sz w:val="21"/>
                      <w:szCs w:val="21"/>
                      <w:highlight w:val="none"/>
                    </w:rPr>
                    <w:t>规模</w:t>
                  </w:r>
                </w:p>
              </w:tc>
              <w:tc>
                <w:tcPr>
                  <w:tcW w:w="1482" w:type="pct"/>
                  <w:gridSpan w:val="2"/>
                  <w:noWrap w:val="0"/>
                  <w:vAlign w:val="center"/>
                </w:tcPr>
                <w:p w14:paraId="27D12C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r>
                    <w:rPr>
                      <w:rFonts w:hint="default"/>
                      <w:b/>
                      <w:bCs/>
                      <w:color w:val="auto"/>
                      <w:spacing w:val="-8"/>
                      <w:sz w:val="21"/>
                      <w:szCs w:val="21"/>
                      <w:highlight w:val="none"/>
                    </w:rPr>
                    <w:t>坐标</w:t>
                  </w:r>
                </w:p>
              </w:tc>
              <w:tc>
                <w:tcPr>
                  <w:tcW w:w="1044" w:type="pct"/>
                  <w:vMerge w:val="restart"/>
                  <w:noWrap w:val="0"/>
                  <w:vAlign w:val="center"/>
                </w:tcPr>
                <w:p w14:paraId="33DAEF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r>
                    <w:rPr>
                      <w:rFonts w:hint="default"/>
                      <w:b/>
                      <w:bCs/>
                      <w:color w:val="auto"/>
                      <w:spacing w:val="-8"/>
                      <w:sz w:val="21"/>
                      <w:szCs w:val="21"/>
                      <w:highlight w:val="none"/>
                    </w:rPr>
                    <w:t>方位与距离/m</w:t>
                  </w:r>
                </w:p>
              </w:tc>
              <w:tc>
                <w:tcPr>
                  <w:tcW w:w="1040" w:type="pct"/>
                  <w:vMerge w:val="restart"/>
                  <w:noWrap w:val="0"/>
                  <w:vAlign w:val="center"/>
                </w:tcPr>
                <w:p w14:paraId="6EBC7F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r>
                    <w:rPr>
                      <w:rFonts w:hint="default"/>
                      <w:b/>
                      <w:bCs/>
                      <w:color w:val="auto"/>
                      <w:spacing w:val="-8"/>
                      <w:sz w:val="21"/>
                      <w:szCs w:val="21"/>
                      <w:highlight w:val="none"/>
                    </w:rPr>
                    <w:t>保护级别</w:t>
                  </w:r>
                </w:p>
              </w:tc>
            </w:tr>
            <w:tr w14:paraId="24FC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32" w:type="pct"/>
                  <w:vMerge w:val="continue"/>
                  <w:noWrap w:val="0"/>
                  <w:vAlign w:val="center"/>
                </w:tcPr>
                <w:p w14:paraId="0C0139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p>
              </w:tc>
              <w:tc>
                <w:tcPr>
                  <w:tcW w:w="243" w:type="pct"/>
                  <w:vMerge w:val="continue"/>
                  <w:noWrap w:val="0"/>
                  <w:vAlign w:val="center"/>
                </w:tcPr>
                <w:p w14:paraId="07E7D3D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p>
              </w:tc>
              <w:tc>
                <w:tcPr>
                  <w:tcW w:w="657" w:type="pct"/>
                  <w:vMerge w:val="continue"/>
                  <w:noWrap w:val="0"/>
                  <w:vAlign w:val="center"/>
                </w:tcPr>
                <w:p w14:paraId="35875F3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p>
              </w:tc>
              <w:tc>
                <w:tcPr>
                  <w:tcW w:w="774" w:type="pct"/>
                  <w:noWrap w:val="0"/>
                  <w:vAlign w:val="center"/>
                </w:tcPr>
                <w:p w14:paraId="0DD5984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东经（°）</w:t>
                  </w:r>
                </w:p>
              </w:tc>
              <w:tc>
                <w:tcPr>
                  <w:tcW w:w="708" w:type="pct"/>
                  <w:noWrap w:val="0"/>
                  <w:vAlign w:val="center"/>
                </w:tcPr>
                <w:p w14:paraId="55FEC9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eastAsia" w:eastAsia="宋体"/>
                      <w:b/>
                      <w:bCs/>
                      <w:color w:val="auto"/>
                      <w:spacing w:val="-8"/>
                      <w:sz w:val="21"/>
                      <w:szCs w:val="21"/>
                      <w:highlight w:val="none"/>
                      <w:lang w:eastAsia="zh-CN"/>
                    </w:rPr>
                  </w:pPr>
                  <w:r>
                    <w:rPr>
                      <w:rFonts w:hint="eastAsia"/>
                      <w:b/>
                      <w:bCs/>
                      <w:color w:val="auto"/>
                      <w:spacing w:val="-8"/>
                      <w:sz w:val="21"/>
                      <w:szCs w:val="21"/>
                      <w:highlight w:val="none"/>
                      <w:lang w:val="en-US" w:eastAsia="zh-CN"/>
                    </w:rPr>
                    <w:t>北纬（°）</w:t>
                  </w:r>
                </w:p>
              </w:tc>
              <w:tc>
                <w:tcPr>
                  <w:tcW w:w="1044" w:type="pct"/>
                  <w:vMerge w:val="continue"/>
                  <w:noWrap w:val="0"/>
                  <w:vAlign w:val="center"/>
                </w:tcPr>
                <w:p w14:paraId="24A14DF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p>
              </w:tc>
              <w:tc>
                <w:tcPr>
                  <w:tcW w:w="1040" w:type="pct"/>
                  <w:vMerge w:val="continue"/>
                  <w:noWrap w:val="0"/>
                  <w:vAlign w:val="center"/>
                </w:tcPr>
                <w:p w14:paraId="5ED1D2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20" w:lineRule="exact"/>
                    <w:ind w:left="-105" w:leftChars="-50" w:right="-105" w:rightChars="-50"/>
                    <w:jc w:val="center"/>
                    <w:textAlignment w:val="center"/>
                    <w:rPr>
                      <w:rFonts w:hint="default"/>
                      <w:b/>
                      <w:bCs/>
                      <w:color w:val="auto"/>
                      <w:spacing w:val="-8"/>
                      <w:sz w:val="21"/>
                      <w:szCs w:val="21"/>
                      <w:highlight w:val="none"/>
                    </w:rPr>
                  </w:pPr>
                </w:p>
              </w:tc>
            </w:tr>
            <w:tr w14:paraId="09E2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32" w:type="pct"/>
                  <w:noWrap w:val="0"/>
                  <w:vAlign w:val="center"/>
                </w:tcPr>
                <w:p w14:paraId="6220175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小村口子</w:t>
                  </w:r>
                </w:p>
              </w:tc>
              <w:tc>
                <w:tcPr>
                  <w:tcW w:w="243" w:type="pct"/>
                  <w:noWrap w:val="0"/>
                  <w:vAlign w:val="center"/>
                </w:tcPr>
                <w:p w14:paraId="0FB51A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居民</w:t>
                  </w:r>
                </w:p>
              </w:tc>
              <w:tc>
                <w:tcPr>
                  <w:tcW w:w="657" w:type="pct"/>
                  <w:noWrap w:val="0"/>
                  <w:vAlign w:val="center"/>
                </w:tcPr>
                <w:p w14:paraId="495C7C7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19</w:t>
                  </w:r>
                  <w:r>
                    <w:rPr>
                      <w:rFonts w:hint="eastAsia" w:ascii="Times New Roman" w:hAnsi="Times New Roman" w:eastAsia="宋体" w:cs="Times New Roman"/>
                      <w:color w:val="auto"/>
                      <w:szCs w:val="21"/>
                      <w:highlight w:val="none"/>
                      <w:lang w:val="en-US" w:eastAsia="zh-CN"/>
                    </w:rPr>
                    <w:t>户</w:t>
                  </w:r>
                  <w:r>
                    <w:rPr>
                      <w:rFonts w:hint="eastAsia" w:cs="Times New Roman"/>
                      <w:color w:val="auto"/>
                      <w:szCs w:val="21"/>
                      <w:highlight w:val="none"/>
                      <w:lang w:val="en-US" w:eastAsia="zh-CN"/>
                    </w:rPr>
                    <w:t>76</w:t>
                  </w:r>
                  <w:r>
                    <w:rPr>
                      <w:rFonts w:hint="eastAsia" w:ascii="Times New Roman" w:hAnsi="Times New Roman" w:eastAsia="宋体" w:cs="Times New Roman"/>
                      <w:color w:val="auto"/>
                      <w:szCs w:val="21"/>
                      <w:highlight w:val="none"/>
                      <w:lang w:val="en-US" w:eastAsia="zh-CN"/>
                    </w:rPr>
                    <w:t>人</w:t>
                  </w:r>
                </w:p>
              </w:tc>
              <w:tc>
                <w:tcPr>
                  <w:tcW w:w="774" w:type="pct"/>
                  <w:noWrap w:val="0"/>
                  <w:vAlign w:val="center"/>
                </w:tcPr>
                <w:p w14:paraId="29A917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103.45</w:t>
                  </w:r>
                  <w:r>
                    <w:rPr>
                      <w:rFonts w:hint="eastAsia" w:cs="Times New Roman"/>
                      <w:color w:val="auto"/>
                      <w:sz w:val="21"/>
                      <w:szCs w:val="21"/>
                      <w:highlight w:val="none"/>
                      <w:lang w:val="en-US" w:eastAsia="zh-CN"/>
                    </w:rPr>
                    <w:t>415688</w:t>
                  </w:r>
                </w:p>
              </w:tc>
              <w:tc>
                <w:tcPr>
                  <w:tcW w:w="708" w:type="pct"/>
                  <w:noWrap w:val="0"/>
                  <w:vAlign w:val="center"/>
                </w:tcPr>
                <w:p w14:paraId="1D8FBC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25.75</w:t>
                  </w:r>
                  <w:r>
                    <w:rPr>
                      <w:rFonts w:hint="eastAsia" w:cs="Times New Roman"/>
                      <w:color w:val="auto"/>
                      <w:sz w:val="21"/>
                      <w:szCs w:val="21"/>
                      <w:highlight w:val="none"/>
                      <w:lang w:val="en-US" w:eastAsia="zh-CN"/>
                    </w:rPr>
                    <w:t>523374</w:t>
                  </w:r>
                </w:p>
              </w:tc>
              <w:tc>
                <w:tcPr>
                  <w:tcW w:w="1044" w:type="pct"/>
                  <w:noWrap w:val="0"/>
                  <w:vAlign w:val="center"/>
                </w:tcPr>
                <w:p w14:paraId="4AB6F4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西</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101</w:t>
                  </w:r>
                  <w:r>
                    <w:rPr>
                      <w:rFonts w:hint="eastAsia" w:ascii="Times New Roman" w:hAnsi="Times New Roman" w:eastAsia="宋体" w:cs="Times New Roman"/>
                      <w:color w:val="auto"/>
                      <w:sz w:val="21"/>
                      <w:szCs w:val="21"/>
                      <w:highlight w:val="none"/>
                      <w:lang w:val="en-US" w:eastAsia="zh-CN"/>
                    </w:rPr>
                    <w:t>m</w:t>
                  </w:r>
                </w:p>
              </w:tc>
              <w:tc>
                <w:tcPr>
                  <w:tcW w:w="1040" w:type="pct"/>
                  <w:vMerge w:val="restart"/>
                  <w:noWrap w:val="0"/>
                  <w:vAlign w:val="center"/>
                </w:tcPr>
                <w:p w14:paraId="6E6D7F56">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highlight w:val="none"/>
                    </w:rPr>
                  </w:pPr>
                  <w:r>
                    <w:rPr>
                      <w:rFonts w:hint="default" w:eastAsia="宋体"/>
                      <w:color w:val="auto"/>
                      <w:sz w:val="21"/>
                      <w:szCs w:val="21"/>
                      <w:highlight w:val="none"/>
                    </w:rPr>
                    <w:t>《环境空气质量标准》（GB3095-2012）及修改单二级标准</w:t>
                  </w:r>
                </w:p>
              </w:tc>
            </w:tr>
            <w:tr w14:paraId="4B85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3" w:hRule="atLeast"/>
              </w:trPr>
              <w:tc>
                <w:tcPr>
                  <w:tcW w:w="532" w:type="pct"/>
                  <w:noWrap w:val="0"/>
                  <w:vAlign w:val="center"/>
                </w:tcPr>
                <w:p w14:paraId="1BAEFBA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小村口散户1#</w:t>
                  </w:r>
                </w:p>
              </w:tc>
              <w:tc>
                <w:tcPr>
                  <w:tcW w:w="243" w:type="pct"/>
                  <w:noWrap w:val="0"/>
                  <w:vAlign w:val="center"/>
                </w:tcPr>
                <w:p w14:paraId="239C6CD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tc>
              <w:tc>
                <w:tcPr>
                  <w:tcW w:w="657" w:type="pct"/>
                  <w:noWrap w:val="0"/>
                  <w:vAlign w:val="center"/>
                </w:tcPr>
                <w:p w14:paraId="3F7D4D2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1户</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人</w:t>
                  </w:r>
                </w:p>
              </w:tc>
              <w:tc>
                <w:tcPr>
                  <w:tcW w:w="774" w:type="pct"/>
                  <w:noWrap w:val="0"/>
                  <w:vAlign w:val="center"/>
                </w:tcPr>
                <w:p w14:paraId="3672FFB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103.4</w:t>
                  </w:r>
                  <w:r>
                    <w:rPr>
                      <w:rFonts w:hint="eastAsia" w:cs="Times New Roman"/>
                      <w:color w:val="auto"/>
                      <w:sz w:val="21"/>
                      <w:szCs w:val="21"/>
                      <w:highlight w:val="none"/>
                      <w:lang w:val="en-US" w:eastAsia="zh-CN"/>
                    </w:rPr>
                    <w:t>5704348</w:t>
                  </w:r>
                </w:p>
              </w:tc>
              <w:tc>
                <w:tcPr>
                  <w:tcW w:w="708" w:type="pct"/>
                  <w:noWrap w:val="0"/>
                  <w:vAlign w:val="center"/>
                </w:tcPr>
                <w:p w14:paraId="422F4A8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w:t>
                  </w:r>
                  <w:r>
                    <w:rPr>
                      <w:rFonts w:hint="eastAsia" w:cs="Times New Roman"/>
                      <w:color w:val="auto"/>
                      <w:sz w:val="21"/>
                      <w:szCs w:val="21"/>
                      <w:highlight w:val="none"/>
                      <w:lang w:val="en-US" w:eastAsia="zh-CN"/>
                    </w:rPr>
                    <w:t>5082863</w:t>
                  </w:r>
                </w:p>
              </w:tc>
              <w:tc>
                <w:tcPr>
                  <w:tcW w:w="1044" w:type="pct"/>
                  <w:noWrap w:val="0"/>
                  <w:vAlign w:val="center"/>
                </w:tcPr>
                <w:p w14:paraId="28CA207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西北</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135</w:t>
                  </w:r>
                  <w:r>
                    <w:rPr>
                      <w:rFonts w:hint="eastAsia" w:ascii="Times New Roman" w:hAnsi="Times New Roman" w:eastAsia="宋体" w:cs="Times New Roman"/>
                      <w:color w:val="auto"/>
                      <w:sz w:val="21"/>
                      <w:szCs w:val="21"/>
                      <w:highlight w:val="none"/>
                      <w:lang w:val="en-US" w:eastAsia="zh-CN"/>
                    </w:rPr>
                    <w:t>m</w:t>
                  </w:r>
                </w:p>
              </w:tc>
              <w:tc>
                <w:tcPr>
                  <w:tcW w:w="1040" w:type="pct"/>
                  <w:vMerge w:val="continue"/>
                  <w:noWrap w:val="0"/>
                  <w:vAlign w:val="center"/>
                </w:tcPr>
                <w:p w14:paraId="7CA3894F">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highlight w:val="none"/>
                    </w:rPr>
                  </w:pPr>
                </w:p>
              </w:tc>
            </w:tr>
            <w:tr w14:paraId="3E25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532" w:type="pct"/>
                  <w:shd w:val="clear" w:color="auto" w:fill="auto"/>
                  <w:noWrap w:val="0"/>
                  <w:vAlign w:val="center"/>
                </w:tcPr>
                <w:p w14:paraId="05A9843F">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小村口散户2#</w:t>
                  </w:r>
                </w:p>
              </w:tc>
              <w:tc>
                <w:tcPr>
                  <w:tcW w:w="243" w:type="pct"/>
                  <w:shd w:val="clear" w:color="auto" w:fill="auto"/>
                  <w:noWrap w:val="0"/>
                  <w:vAlign w:val="center"/>
                </w:tcPr>
                <w:p w14:paraId="4189E98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居民</w:t>
                  </w:r>
                </w:p>
              </w:tc>
              <w:tc>
                <w:tcPr>
                  <w:tcW w:w="657" w:type="pct"/>
                  <w:shd w:val="clear" w:color="auto" w:fill="auto"/>
                  <w:noWrap w:val="0"/>
                  <w:vAlign w:val="center"/>
                </w:tcPr>
                <w:p w14:paraId="296C88F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人</w:t>
                  </w:r>
                </w:p>
              </w:tc>
              <w:tc>
                <w:tcPr>
                  <w:tcW w:w="774" w:type="pct"/>
                  <w:noWrap w:val="0"/>
                  <w:vAlign w:val="center"/>
                </w:tcPr>
                <w:p w14:paraId="5BA56D1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103.45753298</w:t>
                  </w:r>
                </w:p>
              </w:tc>
              <w:tc>
                <w:tcPr>
                  <w:tcW w:w="708" w:type="pct"/>
                  <w:noWrap w:val="0"/>
                  <w:vAlign w:val="center"/>
                </w:tcPr>
                <w:p w14:paraId="31EEA0E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25.76187478</w:t>
                  </w:r>
                </w:p>
              </w:tc>
              <w:tc>
                <w:tcPr>
                  <w:tcW w:w="1044" w:type="pct"/>
                  <w:noWrap w:val="0"/>
                  <w:vAlign w:val="center"/>
                </w:tcPr>
                <w:p w14:paraId="3F71D61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西北</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490</w:t>
                  </w:r>
                  <w:r>
                    <w:rPr>
                      <w:rFonts w:hint="eastAsia" w:ascii="Times New Roman" w:hAnsi="Times New Roman" w:eastAsia="宋体" w:cs="Times New Roman"/>
                      <w:color w:val="auto"/>
                      <w:sz w:val="21"/>
                      <w:szCs w:val="21"/>
                      <w:highlight w:val="none"/>
                      <w:lang w:val="en-US" w:eastAsia="zh-CN"/>
                    </w:rPr>
                    <w:t>m</w:t>
                  </w:r>
                </w:p>
              </w:tc>
              <w:tc>
                <w:tcPr>
                  <w:tcW w:w="1040" w:type="pct"/>
                  <w:vMerge w:val="continue"/>
                  <w:noWrap w:val="0"/>
                  <w:vAlign w:val="center"/>
                </w:tcPr>
                <w:p w14:paraId="0C77E276">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highlight w:val="none"/>
                    </w:rPr>
                  </w:pPr>
                </w:p>
              </w:tc>
            </w:tr>
            <w:tr w14:paraId="53D1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532" w:type="pct"/>
                  <w:noWrap w:val="0"/>
                  <w:vAlign w:val="center"/>
                </w:tcPr>
                <w:p w14:paraId="54B0B1A8">
                  <w:pPr>
                    <w:keepNext w:val="0"/>
                    <w:keepLines w:val="0"/>
                    <w:suppressLineNumbers w:val="0"/>
                    <w:spacing w:before="0" w:beforeAutospacing="0" w:after="0" w:afterAutospacing="0"/>
                    <w:ind w:left="-105" w:leftChars="-50" w:right="-105" w:rightChars="-5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小村口散户3#</w:t>
                  </w:r>
                </w:p>
              </w:tc>
              <w:tc>
                <w:tcPr>
                  <w:tcW w:w="243" w:type="pct"/>
                  <w:noWrap w:val="0"/>
                  <w:vAlign w:val="center"/>
                </w:tcPr>
                <w:p w14:paraId="27CF2D1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居民</w:t>
                  </w:r>
                </w:p>
              </w:tc>
              <w:tc>
                <w:tcPr>
                  <w:tcW w:w="657" w:type="pct"/>
                  <w:noWrap w:val="0"/>
                  <w:vAlign w:val="center"/>
                </w:tcPr>
                <w:p w14:paraId="625132C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人</w:t>
                  </w:r>
                </w:p>
              </w:tc>
              <w:tc>
                <w:tcPr>
                  <w:tcW w:w="774" w:type="pct"/>
                  <w:noWrap w:val="0"/>
                  <w:vAlign w:val="center"/>
                </w:tcPr>
                <w:p w14:paraId="10851B2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103.45631750</w:t>
                  </w:r>
                </w:p>
              </w:tc>
              <w:tc>
                <w:tcPr>
                  <w:tcW w:w="708" w:type="pct"/>
                  <w:noWrap w:val="0"/>
                  <w:vAlign w:val="center"/>
                </w:tcPr>
                <w:p w14:paraId="1F128B7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25.75774929</w:t>
                  </w:r>
                </w:p>
              </w:tc>
              <w:tc>
                <w:tcPr>
                  <w:tcW w:w="1044" w:type="pct"/>
                  <w:noWrap w:val="0"/>
                  <w:vAlign w:val="center"/>
                </w:tcPr>
                <w:p w14:paraId="52A515C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西北</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242</w:t>
                  </w:r>
                  <w:r>
                    <w:rPr>
                      <w:rFonts w:hint="eastAsia" w:ascii="Times New Roman" w:hAnsi="Times New Roman" w:eastAsia="宋体" w:cs="Times New Roman"/>
                      <w:color w:val="auto"/>
                      <w:sz w:val="21"/>
                      <w:szCs w:val="21"/>
                      <w:highlight w:val="none"/>
                      <w:lang w:val="en-US" w:eastAsia="zh-CN"/>
                    </w:rPr>
                    <w:t>m</w:t>
                  </w:r>
                </w:p>
              </w:tc>
              <w:tc>
                <w:tcPr>
                  <w:tcW w:w="1040" w:type="pct"/>
                  <w:vMerge w:val="continue"/>
                  <w:noWrap w:val="0"/>
                  <w:vAlign w:val="center"/>
                </w:tcPr>
                <w:p w14:paraId="70A7DEF1">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highlight w:val="none"/>
                    </w:rPr>
                  </w:pPr>
                </w:p>
              </w:tc>
            </w:tr>
            <w:tr w14:paraId="32B5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32" w:type="pct"/>
                  <w:noWrap w:val="0"/>
                  <w:vAlign w:val="center"/>
                </w:tcPr>
                <w:p w14:paraId="60837EC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干水塘</w:t>
                  </w:r>
                </w:p>
              </w:tc>
              <w:tc>
                <w:tcPr>
                  <w:tcW w:w="243" w:type="pct"/>
                  <w:noWrap w:val="0"/>
                  <w:vAlign w:val="center"/>
                </w:tcPr>
                <w:p w14:paraId="4A7ABD5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居民</w:t>
                  </w:r>
                </w:p>
              </w:tc>
              <w:tc>
                <w:tcPr>
                  <w:tcW w:w="657" w:type="pct"/>
                  <w:noWrap w:val="0"/>
                  <w:vAlign w:val="center"/>
                </w:tcPr>
                <w:p w14:paraId="24A7C10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29</w:t>
                  </w:r>
                  <w:r>
                    <w:rPr>
                      <w:rFonts w:hint="eastAsia"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87</w:t>
                  </w:r>
                  <w:r>
                    <w:rPr>
                      <w:rFonts w:hint="eastAsia" w:ascii="Times New Roman" w:hAnsi="Times New Roman" w:eastAsia="宋体" w:cs="Times New Roman"/>
                      <w:color w:val="auto"/>
                      <w:sz w:val="21"/>
                      <w:szCs w:val="21"/>
                      <w:highlight w:val="none"/>
                      <w:lang w:val="en-US" w:eastAsia="zh-CN"/>
                    </w:rPr>
                    <w:t>人</w:t>
                  </w:r>
                </w:p>
              </w:tc>
              <w:tc>
                <w:tcPr>
                  <w:tcW w:w="774" w:type="pct"/>
                  <w:noWrap w:val="0"/>
                  <w:vAlign w:val="center"/>
                </w:tcPr>
                <w:p w14:paraId="6FEC151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w:t>
                  </w:r>
                  <w:r>
                    <w:rPr>
                      <w:rFonts w:hint="eastAsia" w:cs="Times New Roman"/>
                      <w:color w:val="auto"/>
                      <w:sz w:val="21"/>
                      <w:szCs w:val="21"/>
                      <w:highlight w:val="none"/>
                      <w:lang w:val="en-US" w:eastAsia="zh-CN"/>
                    </w:rPr>
                    <w:t>46894226</w:t>
                  </w:r>
                </w:p>
              </w:tc>
              <w:tc>
                <w:tcPr>
                  <w:tcW w:w="708" w:type="pct"/>
                  <w:noWrap w:val="0"/>
                  <w:vAlign w:val="center"/>
                </w:tcPr>
                <w:p w14:paraId="0001A03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25.73</w:t>
                  </w:r>
                  <w:r>
                    <w:rPr>
                      <w:rFonts w:hint="eastAsia" w:cs="Times New Roman"/>
                      <w:color w:val="auto"/>
                      <w:sz w:val="21"/>
                      <w:szCs w:val="21"/>
                      <w:highlight w:val="none"/>
                      <w:lang w:val="en-US" w:eastAsia="zh-CN"/>
                    </w:rPr>
                    <w:t>462933</w:t>
                  </w:r>
                </w:p>
              </w:tc>
              <w:tc>
                <w:tcPr>
                  <w:tcW w:w="1044" w:type="pct"/>
                  <w:noWrap w:val="0"/>
                  <w:vAlign w:val="center"/>
                </w:tcPr>
                <w:p w14:paraId="1381B69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r>
                    <w:rPr>
                      <w:rFonts w:hint="eastAsia" w:ascii="Times New Roman" w:hAnsi="Times New Roman" w:eastAsia="宋体" w:cs="Times New Roman"/>
                      <w:color w:val="auto"/>
                      <w:sz w:val="21"/>
                      <w:szCs w:val="21"/>
                      <w:highlight w:val="none"/>
                      <w:lang w:val="en-US" w:eastAsia="zh-CN"/>
                    </w:rPr>
                    <w:t>#光伏方阵南侧</w:t>
                  </w: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03</w:t>
                  </w:r>
                  <w:r>
                    <w:rPr>
                      <w:rFonts w:hint="eastAsia" w:ascii="Times New Roman" w:hAnsi="Times New Roman" w:eastAsia="宋体" w:cs="Times New Roman"/>
                      <w:color w:val="auto"/>
                      <w:sz w:val="21"/>
                      <w:szCs w:val="21"/>
                      <w:highlight w:val="none"/>
                      <w:lang w:val="en-US" w:eastAsia="zh-CN"/>
                    </w:rPr>
                    <w:t>m</w:t>
                  </w:r>
                </w:p>
              </w:tc>
              <w:tc>
                <w:tcPr>
                  <w:tcW w:w="1040" w:type="pct"/>
                  <w:vMerge w:val="continue"/>
                  <w:noWrap w:val="0"/>
                  <w:vAlign w:val="center"/>
                </w:tcPr>
                <w:p w14:paraId="4F7600E4">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highlight w:val="none"/>
                    </w:rPr>
                  </w:pPr>
                </w:p>
              </w:tc>
            </w:tr>
            <w:tr w14:paraId="693F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32" w:type="pct"/>
                  <w:noWrap w:val="0"/>
                  <w:vAlign w:val="center"/>
                </w:tcPr>
                <w:p w14:paraId="19540A5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代家</w:t>
                  </w:r>
                </w:p>
              </w:tc>
              <w:tc>
                <w:tcPr>
                  <w:tcW w:w="243" w:type="pct"/>
                  <w:noWrap w:val="0"/>
                  <w:vAlign w:val="center"/>
                </w:tcPr>
                <w:p w14:paraId="5F75FEC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居民</w:t>
                  </w:r>
                </w:p>
              </w:tc>
              <w:tc>
                <w:tcPr>
                  <w:tcW w:w="657" w:type="pct"/>
                  <w:noWrap w:val="0"/>
                  <w:vAlign w:val="center"/>
                </w:tcPr>
                <w:p w14:paraId="5CAA9F9F">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r>
                    <w:rPr>
                      <w:rFonts w:hint="eastAsia"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42</w:t>
                  </w:r>
                  <w:r>
                    <w:rPr>
                      <w:rFonts w:hint="eastAsia" w:ascii="Times New Roman" w:hAnsi="Times New Roman" w:eastAsia="宋体" w:cs="Times New Roman"/>
                      <w:color w:val="auto"/>
                      <w:sz w:val="21"/>
                      <w:szCs w:val="21"/>
                      <w:highlight w:val="none"/>
                      <w:lang w:val="en-US" w:eastAsia="zh-CN"/>
                    </w:rPr>
                    <w:t>人</w:t>
                  </w:r>
                </w:p>
              </w:tc>
              <w:tc>
                <w:tcPr>
                  <w:tcW w:w="774" w:type="pct"/>
                  <w:noWrap w:val="0"/>
                  <w:vAlign w:val="center"/>
                </w:tcPr>
                <w:p w14:paraId="1556CA2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103.</w:t>
                  </w:r>
                  <w:r>
                    <w:rPr>
                      <w:rFonts w:hint="eastAsia" w:cs="Times New Roman"/>
                      <w:color w:val="auto"/>
                      <w:kern w:val="2"/>
                      <w:sz w:val="21"/>
                      <w:szCs w:val="21"/>
                      <w:highlight w:val="none"/>
                      <w:lang w:val="en-US" w:eastAsia="zh-CN" w:bidi="ar-SA"/>
                    </w:rPr>
                    <w:t>47479335</w:t>
                  </w:r>
                </w:p>
              </w:tc>
              <w:tc>
                <w:tcPr>
                  <w:tcW w:w="708" w:type="pct"/>
                  <w:noWrap w:val="0"/>
                  <w:vAlign w:val="center"/>
                </w:tcPr>
                <w:p w14:paraId="1D2483B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w:t>
                  </w:r>
                  <w:r>
                    <w:rPr>
                      <w:rFonts w:hint="eastAsia" w:cs="Times New Roman"/>
                      <w:color w:val="auto"/>
                      <w:kern w:val="2"/>
                      <w:sz w:val="21"/>
                      <w:szCs w:val="21"/>
                      <w:highlight w:val="none"/>
                      <w:lang w:val="en-US" w:eastAsia="zh-CN" w:bidi="ar-SA"/>
                    </w:rPr>
                    <w:t>73664204</w:t>
                  </w:r>
                </w:p>
              </w:tc>
              <w:tc>
                <w:tcPr>
                  <w:tcW w:w="1044" w:type="pct"/>
                  <w:noWrap w:val="0"/>
                  <w:vAlign w:val="center"/>
                </w:tcPr>
                <w:p w14:paraId="5CBB80E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东</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371</w:t>
                  </w:r>
                  <w:r>
                    <w:rPr>
                      <w:rFonts w:hint="eastAsia" w:ascii="Times New Roman" w:hAnsi="Times New Roman" w:eastAsia="宋体" w:cs="Times New Roman"/>
                      <w:color w:val="auto"/>
                      <w:sz w:val="21"/>
                      <w:szCs w:val="21"/>
                      <w:highlight w:val="none"/>
                      <w:lang w:val="en-US" w:eastAsia="zh-CN"/>
                    </w:rPr>
                    <w:t>m</w:t>
                  </w:r>
                </w:p>
              </w:tc>
              <w:tc>
                <w:tcPr>
                  <w:tcW w:w="1040" w:type="pct"/>
                  <w:vMerge w:val="continue"/>
                  <w:noWrap w:val="0"/>
                  <w:vAlign w:val="center"/>
                </w:tcPr>
                <w:p w14:paraId="7F2C6242">
                  <w:pPr>
                    <w:pStyle w:val="7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eastAsia="宋体"/>
                      <w:color w:val="auto"/>
                      <w:sz w:val="21"/>
                      <w:szCs w:val="21"/>
                      <w:highlight w:val="none"/>
                    </w:rPr>
                  </w:pPr>
                </w:p>
              </w:tc>
            </w:tr>
          </w:tbl>
          <w:p w14:paraId="5C995A3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eastAsia="zh-CN"/>
              </w:rPr>
              <w:t>（</w:t>
            </w:r>
            <w:r>
              <w:rPr>
                <w:rFonts w:hint="eastAsia" w:ascii="Times New Roman" w:hAnsi="Times New Roman" w:eastAsia="宋体"/>
                <w:b/>
                <w:color w:val="auto"/>
                <w:sz w:val="24"/>
                <w:highlight w:val="none"/>
                <w:lang w:val="en-US" w:eastAsia="zh-CN"/>
              </w:rPr>
              <w:t>4</w:t>
            </w:r>
            <w:r>
              <w:rPr>
                <w:rFonts w:hint="eastAsia" w:ascii="Times New Roman" w:hAnsi="Times New Roman" w:eastAsia="宋体"/>
                <w:b/>
                <w:color w:val="auto"/>
                <w:sz w:val="24"/>
                <w:highlight w:val="none"/>
                <w:lang w:eastAsia="zh-CN"/>
              </w:rPr>
              <w:t>）</w:t>
            </w:r>
            <w:r>
              <w:rPr>
                <w:rFonts w:hint="default" w:ascii="Times New Roman" w:hAnsi="Times New Roman" w:eastAsia="宋体"/>
                <w:b/>
                <w:color w:val="auto"/>
                <w:sz w:val="24"/>
                <w:highlight w:val="none"/>
              </w:rPr>
              <w:t>声环境保护目标</w:t>
            </w:r>
          </w:p>
          <w:p w14:paraId="443B13C1">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b/>
                <w:color w:val="auto"/>
                <w:kern w:val="0"/>
                <w:szCs w:val="21"/>
                <w:highlight w:val="none"/>
              </w:rPr>
            </w:pPr>
            <w:r>
              <w:rPr>
                <w:rFonts w:hint="eastAsia" w:ascii="Times New Roman" w:hAnsi="Times New Roman" w:eastAsia="宋体"/>
                <w:color w:val="auto"/>
                <w:sz w:val="24"/>
                <w:highlight w:val="none"/>
                <w:lang w:eastAsia="zh-CN"/>
              </w:rPr>
              <w:t>项目</w:t>
            </w:r>
            <w:r>
              <w:rPr>
                <w:rFonts w:hint="eastAsia" w:ascii="Times New Roman" w:hAnsi="Times New Roman" w:eastAsia="宋体"/>
                <w:color w:val="auto"/>
                <w:sz w:val="24"/>
                <w:highlight w:val="none"/>
              </w:rPr>
              <w:t>光伏区</w:t>
            </w:r>
            <w:r>
              <w:rPr>
                <w:rFonts w:hint="eastAsia"/>
                <w:color w:val="auto"/>
                <w:sz w:val="24"/>
                <w:highlight w:val="none"/>
                <w:lang w:val="en-US" w:eastAsia="zh-CN"/>
              </w:rPr>
              <w:t>20</w:t>
            </w:r>
            <w:r>
              <w:rPr>
                <w:rFonts w:hint="default" w:ascii="Times New Roman" w:hAnsi="Times New Roman" w:eastAsia="宋体"/>
                <w:color w:val="auto"/>
                <w:sz w:val="24"/>
                <w:highlight w:val="none"/>
              </w:rPr>
              <w:t>0m范围内</w:t>
            </w:r>
            <w:r>
              <w:rPr>
                <w:rFonts w:hint="eastAsia" w:ascii="Times New Roman" w:hAnsi="Times New Roman" w:eastAsia="宋体"/>
                <w:color w:val="auto"/>
                <w:sz w:val="24"/>
                <w:highlight w:val="none"/>
                <w:lang w:val="en-US" w:eastAsia="zh-CN"/>
              </w:rPr>
              <w:t>声环境</w:t>
            </w:r>
            <w:r>
              <w:rPr>
                <w:rFonts w:hint="default" w:ascii="Times New Roman" w:hAnsi="Times New Roman" w:eastAsia="宋体"/>
                <w:color w:val="auto"/>
                <w:sz w:val="24"/>
                <w:highlight w:val="none"/>
              </w:rPr>
              <w:t>保护目标如下表所示。</w:t>
            </w:r>
          </w:p>
          <w:p w14:paraId="714CA73F">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highlight w:val="none"/>
              </w:rPr>
            </w:pPr>
            <w:r>
              <w:rPr>
                <w:rFonts w:hint="eastAsia"/>
                <w:b/>
                <w:color w:val="auto"/>
                <w:kern w:val="0"/>
                <w:szCs w:val="21"/>
                <w:highlight w:val="none"/>
              </w:rPr>
              <w:t>表3</w:t>
            </w:r>
            <w:r>
              <w:rPr>
                <w:rFonts w:hint="default"/>
                <w:b/>
                <w:color w:val="auto"/>
                <w:kern w:val="0"/>
                <w:szCs w:val="21"/>
                <w:highlight w:val="none"/>
              </w:rPr>
              <w:t>-</w:t>
            </w:r>
            <w:r>
              <w:rPr>
                <w:rFonts w:hint="eastAsia"/>
                <w:b/>
                <w:color w:val="auto"/>
                <w:kern w:val="0"/>
                <w:szCs w:val="21"/>
                <w:highlight w:val="none"/>
                <w:lang w:val="en-US" w:eastAsia="zh-CN"/>
              </w:rPr>
              <w:t>11</w:t>
            </w:r>
            <w:r>
              <w:rPr>
                <w:rFonts w:hint="default"/>
                <w:b/>
                <w:color w:val="auto"/>
                <w:kern w:val="0"/>
                <w:szCs w:val="21"/>
                <w:highlight w:val="none"/>
              </w:rPr>
              <w:t xml:space="preserve"> </w:t>
            </w:r>
            <w:r>
              <w:rPr>
                <w:rFonts w:hint="eastAsia"/>
                <w:b/>
                <w:color w:val="auto"/>
                <w:kern w:val="0"/>
                <w:szCs w:val="21"/>
                <w:highlight w:val="none"/>
              </w:rPr>
              <w:t xml:space="preserve"> </w:t>
            </w:r>
            <w:r>
              <w:rPr>
                <w:rFonts w:hint="default"/>
                <w:b/>
                <w:color w:val="auto"/>
                <w:kern w:val="0"/>
                <w:szCs w:val="21"/>
                <w:highlight w:val="none"/>
              </w:rPr>
              <w:t>项目</w:t>
            </w:r>
            <w:r>
              <w:rPr>
                <w:rFonts w:hint="eastAsia"/>
                <w:b/>
                <w:color w:val="auto"/>
                <w:kern w:val="0"/>
                <w:szCs w:val="21"/>
                <w:highlight w:val="none"/>
                <w:lang w:val="en-US" w:eastAsia="zh-CN"/>
              </w:rPr>
              <w:t>声</w:t>
            </w:r>
            <w:r>
              <w:rPr>
                <w:rFonts w:hint="default"/>
                <w:b/>
                <w:color w:val="auto"/>
                <w:kern w:val="0"/>
                <w:szCs w:val="21"/>
                <w:highlight w:val="none"/>
              </w:rPr>
              <w:t>环境保护目标一览表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0"/>
              <w:gridCol w:w="1411"/>
              <w:gridCol w:w="2621"/>
              <w:gridCol w:w="1942"/>
            </w:tblGrid>
            <w:tr w14:paraId="601E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187" w:type="pct"/>
                  <w:noWrap w:val="0"/>
                  <w:vAlign w:val="center"/>
                </w:tcPr>
                <w:p w14:paraId="40D34B71">
                  <w:pPr>
                    <w:keepNext w:val="0"/>
                    <w:keepLines w:val="0"/>
                    <w:suppressLineNumbers w:val="0"/>
                    <w:adjustRightInd w:val="0"/>
                    <w:spacing w:before="0" w:beforeAutospacing="0" w:after="0" w:afterAutospacing="0"/>
                    <w:ind w:left="-105" w:leftChars="-50" w:right="-105" w:rightChars="-50"/>
                    <w:jc w:val="center"/>
                    <w:textAlignment w:val="center"/>
                    <w:rPr>
                      <w:rFonts w:hint="default"/>
                      <w:b/>
                      <w:bCs/>
                      <w:color w:val="auto"/>
                      <w:spacing w:val="-8"/>
                      <w:szCs w:val="21"/>
                      <w:highlight w:val="none"/>
                    </w:rPr>
                  </w:pPr>
                  <w:r>
                    <w:rPr>
                      <w:rFonts w:hint="default"/>
                      <w:b/>
                      <w:bCs/>
                      <w:color w:val="auto"/>
                      <w:spacing w:val="-8"/>
                      <w:szCs w:val="21"/>
                      <w:highlight w:val="none"/>
                    </w:rPr>
                    <w:t>保护目标</w:t>
                  </w:r>
                </w:p>
              </w:tc>
              <w:tc>
                <w:tcPr>
                  <w:tcW w:w="900" w:type="pct"/>
                  <w:noWrap w:val="0"/>
                  <w:vAlign w:val="center"/>
                </w:tcPr>
                <w:p w14:paraId="2C770E38">
                  <w:pPr>
                    <w:keepNext w:val="0"/>
                    <w:keepLines w:val="0"/>
                    <w:suppressLineNumbers w:val="0"/>
                    <w:adjustRightInd w:val="0"/>
                    <w:spacing w:before="0" w:beforeAutospacing="0" w:after="0" w:afterAutospacing="0"/>
                    <w:ind w:left="-105" w:leftChars="-50" w:right="-105" w:rightChars="-50"/>
                    <w:jc w:val="center"/>
                    <w:textAlignment w:val="center"/>
                    <w:rPr>
                      <w:rFonts w:hint="default" w:eastAsia="宋体"/>
                      <w:b/>
                      <w:bCs/>
                      <w:color w:val="auto"/>
                      <w:spacing w:val="-8"/>
                      <w:szCs w:val="21"/>
                      <w:highlight w:val="none"/>
                      <w:lang w:val="en-US" w:eastAsia="zh-CN"/>
                    </w:rPr>
                  </w:pPr>
                  <w:r>
                    <w:rPr>
                      <w:rFonts w:hint="eastAsia"/>
                      <w:b/>
                      <w:bCs/>
                      <w:color w:val="auto"/>
                      <w:spacing w:val="-8"/>
                      <w:szCs w:val="21"/>
                      <w:highlight w:val="none"/>
                      <w:lang w:val="en-US" w:eastAsia="zh-CN"/>
                    </w:rPr>
                    <w:t>保护内容</w:t>
                  </w:r>
                </w:p>
              </w:tc>
              <w:tc>
                <w:tcPr>
                  <w:tcW w:w="1672" w:type="pct"/>
                  <w:noWrap w:val="0"/>
                  <w:vAlign w:val="center"/>
                </w:tcPr>
                <w:p w14:paraId="676AAF54">
                  <w:pPr>
                    <w:keepNext w:val="0"/>
                    <w:keepLines w:val="0"/>
                    <w:suppressLineNumbers w:val="0"/>
                    <w:adjustRightInd w:val="0"/>
                    <w:spacing w:before="0" w:beforeAutospacing="0" w:after="0" w:afterAutospacing="0"/>
                    <w:ind w:left="-105" w:leftChars="-50" w:right="-105" w:rightChars="-50"/>
                    <w:jc w:val="center"/>
                    <w:textAlignment w:val="center"/>
                    <w:rPr>
                      <w:rFonts w:hint="default"/>
                      <w:b/>
                      <w:bCs/>
                      <w:color w:val="auto"/>
                      <w:spacing w:val="-8"/>
                      <w:szCs w:val="21"/>
                      <w:highlight w:val="none"/>
                    </w:rPr>
                  </w:pPr>
                  <w:r>
                    <w:rPr>
                      <w:rFonts w:hint="default"/>
                      <w:b/>
                      <w:bCs/>
                      <w:color w:val="auto"/>
                      <w:spacing w:val="-8"/>
                      <w:szCs w:val="21"/>
                      <w:highlight w:val="none"/>
                    </w:rPr>
                    <w:t>方位与距离/m</w:t>
                  </w:r>
                </w:p>
              </w:tc>
              <w:tc>
                <w:tcPr>
                  <w:tcW w:w="1239" w:type="pct"/>
                  <w:noWrap w:val="0"/>
                  <w:vAlign w:val="center"/>
                </w:tcPr>
                <w:p w14:paraId="1B4EB9AF">
                  <w:pPr>
                    <w:keepNext w:val="0"/>
                    <w:keepLines w:val="0"/>
                    <w:suppressLineNumbers w:val="0"/>
                    <w:adjustRightInd w:val="0"/>
                    <w:spacing w:before="0" w:beforeAutospacing="0" w:after="0" w:afterAutospacing="0"/>
                    <w:ind w:left="-105" w:leftChars="-50" w:right="-105" w:rightChars="-50"/>
                    <w:jc w:val="center"/>
                    <w:textAlignment w:val="center"/>
                    <w:rPr>
                      <w:rFonts w:hint="default"/>
                      <w:b/>
                      <w:bCs/>
                      <w:color w:val="auto"/>
                      <w:spacing w:val="-8"/>
                      <w:szCs w:val="21"/>
                      <w:highlight w:val="none"/>
                    </w:rPr>
                  </w:pPr>
                  <w:r>
                    <w:rPr>
                      <w:rFonts w:hint="default"/>
                      <w:b/>
                      <w:bCs/>
                      <w:color w:val="auto"/>
                      <w:spacing w:val="-8"/>
                      <w:szCs w:val="21"/>
                      <w:highlight w:val="none"/>
                    </w:rPr>
                    <w:t>保护级别</w:t>
                  </w:r>
                </w:p>
              </w:tc>
            </w:tr>
            <w:tr w14:paraId="3087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87" w:type="pct"/>
                  <w:noWrap w:val="0"/>
                  <w:vAlign w:val="center"/>
                </w:tcPr>
                <w:p w14:paraId="211064D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小村口</w:t>
                  </w:r>
                </w:p>
              </w:tc>
              <w:tc>
                <w:tcPr>
                  <w:tcW w:w="1411" w:type="dxa"/>
                  <w:noWrap w:val="0"/>
                  <w:vAlign w:val="center"/>
                </w:tcPr>
                <w:p w14:paraId="5F5957E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19</w:t>
                  </w:r>
                  <w:r>
                    <w:rPr>
                      <w:rFonts w:hint="eastAsia" w:ascii="Times New Roman" w:hAnsi="Times New Roman" w:eastAsia="宋体" w:cs="Times New Roman"/>
                      <w:color w:val="auto"/>
                      <w:szCs w:val="21"/>
                      <w:highlight w:val="none"/>
                      <w:lang w:val="en-US" w:eastAsia="zh-CN"/>
                    </w:rPr>
                    <w:t>户</w:t>
                  </w:r>
                  <w:r>
                    <w:rPr>
                      <w:rFonts w:hint="eastAsia" w:cs="Times New Roman"/>
                      <w:color w:val="auto"/>
                      <w:szCs w:val="21"/>
                      <w:highlight w:val="none"/>
                      <w:lang w:val="en-US" w:eastAsia="zh-CN"/>
                    </w:rPr>
                    <w:t>76</w:t>
                  </w:r>
                  <w:r>
                    <w:rPr>
                      <w:rFonts w:hint="eastAsia" w:ascii="Times New Roman" w:hAnsi="Times New Roman" w:eastAsia="宋体" w:cs="Times New Roman"/>
                      <w:color w:val="auto"/>
                      <w:szCs w:val="21"/>
                      <w:highlight w:val="none"/>
                      <w:lang w:val="en-US" w:eastAsia="zh-CN"/>
                    </w:rPr>
                    <w:t>人</w:t>
                  </w:r>
                </w:p>
              </w:tc>
              <w:tc>
                <w:tcPr>
                  <w:tcW w:w="2622" w:type="dxa"/>
                  <w:noWrap w:val="0"/>
                  <w:vAlign w:val="center"/>
                </w:tcPr>
                <w:p w14:paraId="5BD7DE1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西</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101</w:t>
                  </w:r>
                  <w:r>
                    <w:rPr>
                      <w:rFonts w:hint="eastAsia" w:ascii="Times New Roman" w:hAnsi="Times New Roman" w:eastAsia="宋体" w:cs="Times New Roman"/>
                      <w:color w:val="auto"/>
                      <w:sz w:val="21"/>
                      <w:szCs w:val="21"/>
                      <w:highlight w:val="none"/>
                      <w:lang w:val="en-US" w:eastAsia="zh-CN"/>
                    </w:rPr>
                    <w:t>m</w:t>
                  </w:r>
                </w:p>
              </w:tc>
              <w:tc>
                <w:tcPr>
                  <w:tcW w:w="1239" w:type="pct"/>
                  <w:vMerge w:val="restart"/>
                  <w:noWrap w:val="0"/>
                  <w:vAlign w:val="center"/>
                </w:tcPr>
                <w:p w14:paraId="1A5D1273">
                  <w:pPr>
                    <w:pStyle w:val="73"/>
                    <w:keepNext w:val="0"/>
                    <w:keepLines w:val="0"/>
                    <w:suppressLineNumbers w:val="0"/>
                    <w:spacing w:before="0" w:beforeAutospacing="0" w:after="0" w:afterAutospacing="0"/>
                    <w:ind w:left="-105" w:leftChars="-50" w:right="-105" w:rightChars="-50"/>
                    <w:jc w:val="center"/>
                    <w:rPr>
                      <w:rFonts w:hint="default" w:eastAsia="宋体"/>
                      <w:color w:val="auto"/>
                      <w:szCs w:val="21"/>
                      <w:highlight w:val="none"/>
                    </w:rPr>
                  </w:pPr>
                  <w:r>
                    <w:rPr>
                      <w:rFonts w:hint="default" w:eastAsia="宋体"/>
                      <w:color w:val="auto"/>
                      <w:szCs w:val="21"/>
                      <w:highlight w:val="none"/>
                    </w:rPr>
                    <w:t>《声环境质量标准》（GB3096-2008）</w:t>
                  </w:r>
                  <w:r>
                    <w:rPr>
                      <w:rFonts w:hint="eastAsia" w:eastAsia="宋体"/>
                      <w:color w:val="auto"/>
                      <w:szCs w:val="21"/>
                      <w:highlight w:val="none"/>
                      <w:lang w:val="en-US" w:eastAsia="zh-CN"/>
                    </w:rPr>
                    <w:t>1</w:t>
                  </w:r>
                  <w:r>
                    <w:rPr>
                      <w:rFonts w:hint="default" w:eastAsia="宋体"/>
                      <w:color w:val="auto"/>
                      <w:szCs w:val="21"/>
                      <w:highlight w:val="none"/>
                    </w:rPr>
                    <w:t>类标准</w:t>
                  </w:r>
                </w:p>
              </w:tc>
            </w:tr>
            <w:tr w14:paraId="7B58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87" w:type="pct"/>
                  <w:noWrap w:val="0"/>
                  <w:vAlign w:val="center"/>
                </w:tcPr>
                <w:p w14:paraId="456CB14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小村口散户1#</w:t>
                  </w:r>
                </w:p>
              </w:tc>
              <w:tc>
                <w:tcPr>
                  <w:tcW w:w="1411" w:type="dxa"/>
                  <w:noWrap w:val="0"/>
                  <w:vAlign w:val="center"/>
                </w:tcPr>
                <w:p w14:paraId="3D37E8D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1户</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人</w:t>
                  </w:r>
                </w:p>
              </w:tc>
              <w:tc>
                <w:tcPr>
                  <w:tcW w:w="2622" w:type="dxa"/>
                  <w:noWrap w:val="0"/>
                  <w:vAlign w:val="center"/>
                </w:tcPr>
                <w:p w14:paraId="6276717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w:t>
                  </w:r>
                  <w:r>
                    <w:rPr>
                      <w:rFonts w:hint="eastAsia" w:ascii="Times New Roman" w:hAnsi="Times New Roman" w:eastAsia="宋体" w:cs="Times New Roman"/>
                      <w:color w:val="auto"/>
                      <w:sz w:val="21"/>
                      <w:szCs w:val="21"/>
                      <w:highlight w:val="none"/>
                      <w:lang w:val="en-US" w:eastAsia="zh-CN"/>
                    </w:rPr>
                    <w:t>#光伏方阵</w:t>
                  </w:r>
                  <w:r>
                    <w:rPr>
                      <w:rFonts w:hint="eastAsia" w:cs="Times New Roman"/>
                      <w:color w:val="auto"/>
                      <w:sz w:val="21"/>
                      <w:szCs w:val="21"/>
                      <w:highlight w:val="none"/>
                      <w:lang w:val="en-US" w:eastAsia="zh-CN"/>
                    </w:rPr>
                    <w:t>西北</w:t>
                  </w:r>
                  <w:r>
                    <w:rPr>
                      <w:rFonts w:hint="eastAsia" w:ascii="Times New Roman" w:hAnsi="Times New Roman" w:eastAsia="宋体" w:cs="Times New Roman"/>
                      <w:color w:val="auto"/>
                      <w:sz w:val="21"/>
                      <w:szCs w:val="21"/>
                      <w:highlight w:val="none"/>
                      <w:lang w:val="en-US" w:eastAsia="zh-CN"/>
                    </w:rPr>
                    <w:t>侧</w:t>
                  </w:r>
                  <w:r>
                    <w:rPr>
                      <w:rFonts w:hint="eastAsia" w:cs="Times New Roman"/>
                      <w:color w:val="auto"/>
                      <w:sz w:val="21"/>
                      <w:szCs w:val="21"/>
                      <w:highlight w:val="none"/>
                      <w:lang w:val="en-US" w:eastAsia="zh-CN"/>
                    </w:rPr>
                    <w:t>135</w:t>
                  </w:r>
                  <w:r>
                    <w:rPr>
                      <w:rFonts w:hint="eastAsia" w:ascii="Times New Roman" w:hAnsi="Times New Roman" w:eastAsia="宋体" w:cs="Times New Roman"/>
                      <w:color w:val="auto"/>
                      <w:sz w:val="21"/>
                      <w:szCs w:val="21"/>
                      <w:highlight w:val="none"/>
                      <w:lang w:val="en-US" w:eastAsia="zh-CN"/>
                    </w:rPr>
                    <w:t>m</w:t>
                  </w:r>
                </w:p>
              </w:tc>
              <w:tc>
                <w:tcPr>
                  <w:tcW w:w="1239" w:type="pct"/>
                  <w:vMerge w:val="continue"/>
                  <w:noWrap w:val="0"/>
                  <w:vAlign w:val="center"/>
                </w:tcPr>
                <w:p w14:paraId="482F4B1C">
                  <w:pPr>
                    <w:pStyle w:val="73"/>
                    <w:keepNext w:val="0"/>
                    <w:keepLines w:val="0"/>
                    <w:suppressLineNumbers w:val="0"/>
                    <w:spacing w:before="0" w:beforeAutospacing="0" w:after="0" w:afterAutospacing="0"/>
                    <w:ind w:left="-105" w:leftChars="-50" w:right="-105" w:rightChars="-50"/>
                    <w:jc w:val="center"/>
                    <w:rPr>
                      <w:rFonts w:hint="default" w:eastAsia="宋体"/>
                      <w:color w:val="auto"/>
                      <w:szCs w:val="21"/>
                      <w:highlight w:val="none"/>
                    </w:rPr>
                  </w:pPr>
                </w:p>
              </w:tc>
            </w:tr>
            <w:tr w14:paraId="280F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87" w:type="pct"/>
                  <w:noWrap w:val="0"/>
                  <w:vAlign w:val="center"/>
                </w:tcPr>
                <w:p w14:paraId="2B7C617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干水塘</w:t>
                  </w:r>
                </w:p>
              </w:tc>
              <w:tc>
                <w:tcPr>
                  <w:tcW w:w="1411" w:type="dxa"/>
                  <w:noWrap w:val="0"/>
                  <w:vAlign w:val="center"/>
                </w:tcPr>
                <w:p w14:paraId="51C3E12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29</w:t>
                  </w:r>
                  <w:r>
                    <w:rPr>
                      <w:rFonts w:hint="eastAsia"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87</w:t>
                  </w:r>
                  <w:r>
                    <w:rPr>
                      <w:rFonts w:hint="eastAsia" w:ascii="Times New Roman" w:hAnsi="Times New Roman" w:eastAsia="宋体" w:cs="Times New Roman"/>
                      <w:color w:val="auto"/>
                      <w:sz w:val="21"/>
                      <w:szCs w:val="21"/>
                      <w:highlight w:val="none"/>
                      <w:lang w:val="en-US" w:eastAsia="zh-CN"/>
                    </w:rPr>
                    <w:t>人</w:t>
                  </w:r>
                </w:p>
              </w:tc>
              <w:tc>
                <w:tcPr>
                  <w:tcW w:w="2622" w:type="dxa"/>
                  <w:noWrap w:val="0"/>
                  <w:vAlign w:val="center"/>
                </w:tcPr>
                <w:p w14:paraId="58D4E38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20" w:lineRule="exact"/>
                    <w:ind w:left="-105" w:leftChars="-50" w:right="-105" w:rightChars="-5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16</w:t>
                  </w:r>
                  <w:r>
                    <w:rPr>
                      <w:rFonts w:hint="eastAsia" w:ascii="Times New Roman" w:hAnsi="Times New Roman" w:eastAsia="宋体" w:cs="Times New Roman"/>
                      <w:color w:val="auto"/>
                      <w:sz w:val="21"/>
                      <w:szCs w:val="21"/>
                      <w:highlight w:val="none"/>
                      <w:lang w:val="en-US" w:eastAsia="zh-CN"/>
                    </w:rPr>
                    <w:t>#光伏方阵南侧</w:t>
                  </w: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03</w:t>
                  </w:r>
                  <w:r>
                    <w:rPr>
                      <w:rFonts w:hint="eastAsia" w:ascii="Times New Roman" w:hAnsi="Times New Roman" w:eastAsia="宋体" w:cs="Times New Roman"/>
                      <w:color w:val="auto"/>
                      <w:sz w:val="21"/>
                      <w:szCs w:val="21"/>
                      <w:highlight w:val="none"/>
                      <w:lang w:val="en-US" w:eastAsia="zh-CN"/>
                    </w:rPr>
                    <w:t>m</w:t>
                  </w:r>
                </w:p>
              </w:tc>
              <w:tc>
                <w:tcPr>
                  <w:tcW w:w="1239" w:type="pct"/>
                  <w:vMerge w:val="continue"/>
                  <w:noWrap w:val="0"/>
                  <w:vAlign w:val="center"/>
                </w:tcPr>
                <w:p w14:paraId="7FD6EA09">
                  <w:pPr>
                    <w:pStyle w:val="73"/>
                    <w:keepNext w:val="0"/>
                    <w:keepLines w:val="0"/>
                    <w:suppressLineNumbers w:val="0"/>
                    <w:spacing w:before="0" w:beforeAutospacing="0" w:after="0" w:afterAutospacing="0"/>
                    <w:ind w:left="-105" w:leftChars="-50" w:right="-105" w:rightChars="-50"/>
                    <w:jc w:val="center"/>
                    <w:rPr>
                      <w:rFonts w:hint="default" w:eastAsia="宋体"/>
                      <w:color w:val="auto"/>
                      <w:szCs w:val="21"/>
                      <w:highlight w:val="none"/>
                    </w:rPr>
                  </w:pPr>
                </w:p>
              </w:tc>
            </w:tr>
          </w:tbl>
          <w:p w14:paraId="3E73AFB7">
            <w:pPr>
              <w:keepNext w:val="0"/>
              <w:keepLines w:val="0"/>
              <w:suppressLineNumbers w:val="0"/>
              <w:adjustRightInd w:val="0"/>
              <w:snapToGrid w:val="0"/>
              <w:spacing w:before="0" w:beforeAutospacing="0" w:after="0" w:afterAutospacing="0"/>
              <w:ind w:left="0" w:right="0"/>
              <w:jc w:val="both"/>
              <w:rPr>
                <w:rFonts w:hint="default"/>
                <w:color w:val="auto"/>
                <w:kern w:val="0"/>
                <w:szCs w:val="21"/>
                <w:highlight w:val="none"/>
              </w:rPr>
            </w:pPr>
          </w:p>
        </w:tc>
      </w:tr>
      <w:tr w14:paraId="3D3A6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44" w:type="pct"/>
            <w:vAlign w:val="center"/>
          </w:tcPr>
          <w:p w14:paraId="4B7CDE52">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评价</w:t>
            </w:r>
          </w:p>
          <w:p w14:paraId="509A117E">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 w:val="24"/>
                <w:highlight w:val="none"/>
              </w:rPr>
              <w:t>标准</w:t>
            </w:r>
          </w:p>
        </w:tc>
        <w:tc>
          <w:tcPr>
            <w:tcW w:w="4755" w:type="pct"/>
            <w:vAlign w:val="center"/>
          </w:tcPr>
          <w:p w14:paraId="59589404">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highlight w:val="none"/>
              </w:rPr>
            </w:pPr>
            <w:r>
              <w:rPr>
                <w:rFonts w:hint="default"/>
                <w:b/>
                <w:bCs/>
                <w:color w:val="auto"/>
                <w:kern w:val="0"/>
                <w:sz w:val="24"/>
                <w:highlight w:val="none"/>
              </w:rPr>
              <w:t>1、环境质量标准</w:t>
            </w:r>
          </w:p>
          <w:p w14:paraId="3D47334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default"/>
                <w:color w:val="auto"/>
                <w:kern w:val="0"/>
                <w:sz w:val="24"/>
                <w:highlight w:val="none"/>
              </w:rPr>
              <w:t>（1）环境空气</w:t>
            </w:r>
          </w:p>
          <w:p w14:paraId="03BE7A3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highlight w:val="none"/>
              </w:rPr>
              <w:t>本</w:t>
            </w:r>
            <w:r>
              <w:rPr>
                <w:rFonts w:hint="default"/>
                <w:color w:val="auto"/>
                <w:kern w:val="0"/>
                <w:sz w:val="24"/>
                <w:highlight w:val="none"/>
              </w:rPr>
              <w:t>项目位于</w:t>
            </w:r>
            <w:r>
              <w:rPr>
                <w:rFonts w:hint="eastAsia" w:ascii="宋体" w:hAnsi="宋体" w:cs="宋体"/>
                <w:color w:val="auto"/>
                <w:kern w:val="0"/>
                <w:sz w:val="24"/>
                <w:szCs w:val="24"/>
                <w:highlight w:val="none"/>
                <w:lang w:val="en-US" w:eastAsia="zh-CN" w:bidi="ar"/>
              </w:rPr>
              <w:t>云南省昆明市寻甸回族彝族自治县河口镇境内</w:t>
            </w:r>
            <w:r>
              <w:rPr>
                <w:rFonts w:hint="default"/>
                <w:color w:val="auto"/>
                <w:kern w:val="0"/>
                <w:sz w:val="24"/>
                <w:highlight w:val="none"/>
              </w:rPr>
              <w:t>，</w:t>
            </w:r>
            <w:r>
              <w:rPr>
                <w:rFonts w:hint="eastAsia"/>
                <w:color w:val="auto"/>
                <w:kern w:val="0"/>
                <w:sz w:val="24"/>
                <w:highlight w:val="none"/>
              </w:rPr>
              <w:t>区域</w:t>
            </w:r>
            <w:r>
              <w:rPr>
                <w:rFonts w:hint="default"/>
                <w:color w:val="auto"/>
                <w:kern w:val="0"/>
                <w:sz w:val="24"/>
                <w:highlight w:val="none"/>
              </w:rPr>
              <w:t>环境空气属于二类区，执行《环境空气质量标准》</w:t>
            </w:r>
            <w:r>
              <w:rPr>
                <w:rFonts w:hint="eastAsia"/>
                <w:color w:val="auto"/>
                <w:kern w:val="0"/>
                <w:sz w:val="24"/>
                <w:highlight w:val="none"/>
              </w:rPr>
              <w:t>（</w:t>
            </w:r>
            <w:r>
              <w:rPr>
                <w:rFonts w:hint="default"/>
                <w:color w:val="auto"/>
                <w:kern w:val="0"/>
                <w:sz w:val="24"/>
                <w:highlight w:val="none"/>
              </w:rPr>
              <w:t>GB3095-2012</w:t>
            </w:r>
            <w:r>
              <w:rPr>
                <w:rFonts w:hint="eastAsia"/>
                <w:color w:val="auto"/>
                <w:kern w:val="0"/>
                <w:sz w:val="24"/>
                <w:highlight w:val="none"/>
              </w:rPr>
              <w:t>）及修改单中</w:t>
            </w:r>
            <w:r>
              <w:rPr>
                <w:rFonts w:hint="default"/>
                <w:color w:val="auto"/>
                <w:kern w:val="0"/>
                <w:sz w:val="24"/>
                <w:highlight w:val="none"/>
              </w:rPr>
              <w:t>二级标准限值。</w:t>
            </w:r>
          </w:p>
          <w:p w14:paraId="3071611A">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表3</w:t>
            </w:r>
            <w:r>
              <w:rPr>
                <w:rFonts w:hint="default" w:ascii="Times New Roman" w:hAnsi="Times New Roman"/>
                <w:b/>
                <w:color w:val="auto"/>
                <w:kern w:val="2"/>
                <w:sz w:val="21"/>
                <w:szCs w:val="21"/>
                <w:highlight w:val="none"/>
              </w:rPr>
              <w:t>-</w:t>
            </w:r>
            <w:r>
              <w:rPr>
                <w:rFonts w:hint="eastAsia" w:ascii="Times New Roman" w:hAnsi="Times New Roman"/>
                <w:b/>
                <w:color w:val="auto"/>
                <w:kern w:val="2"/>
                <w:sz w:val="21"/>
                <w:szCs w:val="21"/>
                <w:highlight w:val="none"/>
                <w:lang w:val="en-US" w:eastAsia="zh-CN"/>
              </w:rPr>
              <w:t>12</w:t>
            </w:r>
            <w:r>
              <w:rPr>
                <w:rFonts w:hint="eastAsia" w:ascii="Times New Roman" w:hAnsi="Times New Roman"/>
                <w:b/>
                <w:color w:val="auto"/>
                <w:kern w:val="2"/>
                <w:sz w:val="21"/>
                <w:szCs w:val="21"/>
                <w:highlight w:val="none"/>
              </w:rPr>
              <w:t xml:space="preserve">  </w:t>
            </w:r>
            <w:r>
              <w:rPr>
                <w:rFonts w:hint="default" w:ascii="Times New Roman" w:hAnsi="Times New Roman"/>
                <w:b/>
                <w:color w:val="auto"/>
                <w:kern w:val="2"/>
                <w:sz w:val="21"/>
                <w:szCs w:val="21"/>
                <w:highlight w:val="none"/>
              </w:rPr>
              <w:t>环境空气质量标准    单位：</w:t>
            </w:r>
            <w:r>
              <w:rPr>
                <w:rFonts w:hint="default" w:ascii="Times New Roman" w:hAnsi="Times New Roman"/>
                <w:b/>
                <w:bCs/>
                <w:color w:val="auto"/>
                <w:sz w:val="21"/>
                <w:szCs w:val="21"/>
                <w:highlight w:val="none"/>
              </w:rPr>
              <w:t>μ</w:t>
            </w:r>
            <w:r>
              <w:rPr>
                <w:rFonts w:hint="default" w:ascii="Times New Roman" w:hAnsi="Times New Roman"/>
                <w:b/>
                <w:color w:val="auto"/>
                <w:kern w:val="2"/>
                <w:sz w:val="21"/>
                <w:szCs w:val="21"/>
                <w:highlight w:val="none"/>
              </w:rPr>
              <w:t>g/m</w:t>
            </w:r>
            <w:r>
              <w:rPr>
                <w:rFonts w:hint="default" w:ascii="Times New Roman" w:hAnsi="Times New Roman"/>
                <w:b/>
                <w:color w:val="auto"/>
                <w:kern w:val="2"/>
                <w:sz w:val="21"/>
                <w:szCs w:val="21"/>
                <w:highlight w:val="none"/>
                <w:vertAlign w:val="superscript"/>
              </w:rPr>
              <w:t>3</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622"/>
              <w:gridCol w:w="616"/>
              <w:gridCol w:w="674"/>
              <w:gridCol w:w="708"/>
              <w:gridCol w:w="719"/>
              <w:gridCol w:w="756"/>
              <w:gridCol w:w="2427"/>
            </w:tblGrid>
            <w:tr w14:paraId="264D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14CDE9B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取值时间</w:t>
                  </w:r>
                </w:p>
              </w:tc>
              <w:tc>
                <w:tcPr>
                  <w:tcW w:w="397" w:type="pct"/>
                  <w:noWrap w:val="0"/>
                  <w:vAlign w:val="center"/>
                </w:tcPr>
                <w:p w14:paraId="2B54F19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TSP</w:t>
                  </w:r>
                </w:p>
              </w:tc>
              <w:tc>
                <w:tcPr>
                  <w:tcW w:w="393" w:type="pct"/>
                  <w:noWrap w:val="0"/>
                  <w:vAlign w:val="center"/>
                </w:tcPr>
                <w:p w14:paraId="4F91554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SO</w:t>
                  </w:r>
                  <w:r>
                    <w:rPr>
                      <w:rFonts w:hint="default" w:eastAsia="宋体"/>
                      <w:b/>
                      <w:bCs/>
                      <w:color w:val="auto"/>
                      <w:sz w:val="21"/>
                      <w:szCs w:val="21"/>
                      <w:highlight w:val="none"/>
                      <w:vertAlign w:val="subscript"/>
                    </w:rPr>
                    <w:t>2</w:t>
                  </w:r>
                </w:p>
              </w:tc>
              <w:tc>
                <w:tcPr>
                  <w:tcW w:w="430" w:type="pct"/>
                  <w:noWrap w:val="0"/>
                  <w:vAlign w:val="center"/>
                </w:tcPr>
                <w:p w14:paraId="3A1FFA4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NO</w:t>
                  </w:r>
                  <w:r>
                    <w:rPr>
                      <w:rFonts w:hint="default" w:eastAsia="宋体"/>
                      <w:b/>
                      <w:bCs/>
                      <w:color w:val="auto"/>
                      <w:sz w:val="21"/>
                      <w:szCs w:val="21"/>
                      <w:highlight w:val="none"/>
                      <w:vertAlign w:val="subscript"/>
                    </w:rPr>
                    <w:t>2</w:t>
                  </w:r>
                </w:p>
              </w:tc>
              <w:tc>
                <w:tcPr>
                  <w:tcW w:w="452" w:type="pct"/>
                  <w:noWrap w:val="0"/>
                  <w:vAlign w:val="center"/>
                </w:tcPr>
                <w:p w14:paraId="2657803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PM</w:t>
                  </w:r>
                  <w:r>
                    <w:rPr>
                      <w:rFonts w:hint="default" w:eastAsia="宋体"/>
                      <w:b/>
                      <w:bCs/>
                      <w:color w:val="auto"/>
                      <w:sz w:val="21"/>
                      <w:szCs w:val="21"/>
                      <w:highlight w:val="none"/>
                      <w:vertAlign w:val="subscript"/>
                    </w:rPr>
                    <w:t>10</w:t>
                  </w:r>
                </w:p>
              </w:tc>
              <w:tc>
                <w:tcPr>
                  <w:tcW w:w="459" w:type="pct"/>
                  <w:noWrap w:val="0"/>
                  <w:vAlign w:val="center"/>
                </w:tcPr>
                <w:p w14:paraId="432EC2B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default" w:eastAsia="宋体"/>
                      <w:b/>
                      <w:bCs/>
                      <w:color w:val="auto"/>
                      <w:sz w:val="21"/>
                      <w:szCs w:val="21"/>
                      <w:highlight w:val="none"/>
                    </w:rPr>
                    <w:t>PM</w:t>
                  </w:r>
                  <w:r>
                    <w:rPr>
                      <w:rFonts w:hint="default" w:eastAsia="宋体"/>
                      <w:b/>
                      <w:bCs/>
                      <w:color w:val="auto"/>
                      <w:sz w:val="21"/>
                      <w:szCs w:val="21"/>
                      <w:highlight w:val="none"/>
                      <w:vertAlign w:val="subscript"/>
                    </w:rPr>
                    <w:t>2.5</w:t>
                  </w:r>
                </w:p>
              </w:tc>
              <w:tc>
                <w:tcPr>
                  <w:tcW w:w="482" w:type="pct"/>
                  <w:noWrap w:val="0"/>
                  <w:vAlign w:val="center"/>
                </w:tcPr>
                <w:p w14:paraId="27945E0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eastAsia" w:eastAsia="宋体"/>
                      <w:b/>
                      <w:bCs/>
                      <w:color w:val="auto"/>
                      <w:sz w:val="21"/>
                      <w:szCs w:val="21"/>
                      <w:highlight w:val="none"/>
                    </w:rPr>
                    <w:t>CO</w:t>
                  </w:r>
                </w:p>
              </w:tc>
              <w:tc>
                <w:tcPr>
                  <w:tcW w:w="1548" w:type="pct"/>
                  <w:noWrap w:val="0"/>
                  <w:vAlign w:val="center"/>
                </w:tcPr>
                <w:p w14:paraId="6170026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b/>
                      <w:bCs/>
                      <w:color w:val="auto"/>
                      <w:sz w:val="21"/>
                      <w:szCs w:val="21"/>
                      <w:highlight w:val="none"/>
                    </w:rPr>
                  </w:pPr>
                  <w:r>
                    <w:rPr>
                      <w:rFonts w:hint="eastAsia" w:eastAsia="宋体"/>
                      <w:b/>
                      <w:bCs/>
                      <w:color w:val="auto"/>
                      <w:sz w:val="21"/>
                      <w:szCs w:val="21"/>
                      <w:highlight w:val="none"/>
                    </w:rPr>
                    <w:t>O</w:t>
                  </w:r>
                  <w:r>
                    <w:rPr>
                      <w:rFonts w:hint="eastAsia" w:eastAsia="宋体"/>
                      <w:b/>
                      <w:bCs/>
                      <w:color w:val="auto"/>
                      <w:sz w:val="21"/>
                      <w:szCs w:val="21"/>
                      <w:highlight w:val="none"/>
                      <w:vertAlign w:val="subscript"/>
                    </w:rPr>
                    <w:t>3</w:t>
                  </w:r>
                </w:p>
              </w:tc>
            </w:tr>
            <w:tr w14:paraId="56E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2DDF988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年平均</w:t>
                  </w:r>
                </w:p>
              </w:tc>
              <w:tc>
                <w:tcPr>
                  <w:tcW w:w="397" w:type="pct"/>
                  <w:noWrap w:val="0"/>
                  <w:vAlign w:val="center"/>
                </w:tcPr>
                <w:p w14:paraId="10021BE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200</w:t>
                  </w:r>
                </w:p>
              </w:tc>
              <w:tc>
                <w:tcPr>
                  <w:tcW w:w="393" w:type="pct"/>
                  <w:noWrap w:val="0"/>
                  <w:vAlign w:val="center"/>
                </w:tcPr>
                <w:p w14:paraId="3A96272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60</w:t>
                  </w:r>
                </w:p>
              </w:tc>
              <w:tc>
                <w:tcPr>
                  <w:tcW w:w="430" w:type="pct"/>
                  <w:noWrap w:val="0"/>
                  <w:vAlign w:val="center"/>
                </w:tcPr>
                <w:p w14:paraId="3326B79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40</w:t>
                  </w:r>
                </w:p>
              </w:tc>
              <w:tc>
                <w:tcPr>
                  <w:tcW w:w="452" w:type="pct"/>
                  <w:noWrap w:val="0"/>
                  <w:vAlign w:val="center"/>
                </w:tcPr>
                <w:p w14:paraId="61E3385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70</w:t>
                  </w:r>
                </w:p>
              </w:tc>
              <w:tc>
                <w:tcPr>
                  <w:tcW w:w="459" w:type="pct"/>
                  <w:noWrap w:val="0"/>
                  <w:vAlign w:val="center"/>
                </w:tcPr>
                <w:p w14:paraId="4196974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35</w:t>
                  </w:r>
                </w:p>
              </w:tc>
              <w:tc>
                <w:tcPr>
                  <w:tcW w:w="482" w:type="pct"/>
                  <w:noWrap w:val="0"/>
                  <w:vAlign w:val="center"/>
                </w:tcPr>
                <w:p w14:paraId="5DC21A9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w:t>
                  </w:r>
                </w:p>
              </w:tc>
              <w:tc>
                <w:tcPr>
                  <w:tcW w:w="1548" w:type="pct"/>
                  <w:noWrap w:val="0"/>
                  <w:vAlign w:val="center"/>
                </w:tcPr>
                <w:p w14:paraId="0FB9776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w:t>
                  </w:r>
                </w:p>
              </w:tc>
            </w:tr>
            <w:tr w14:paraId="58D2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041A3EA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2</w:t>
                  </w:r>
                  <w:r>
                    <w:rPr>
                      <w:rFonts w:hint="default" w:eastAsia="宋体"/>
                      <w:color w:val="auto"/>
                      <w:sz w:val="21"/>
                      <w:szCs w:val="21"/>
                      <w:highlight w:val="none"/>
                    </w:rPr>
                    <w:t>4</w:t>
                  </w:r>
                  <w:r>
                    <w:rPr>
                      <w:rFonts w:hint="eastAsia" w:eastAsia="宋体"/>
                      <w:color w:val="auto"/>
                      <w:sz w:val="21"/>
                      <w:szCs w:val="21"/>
                      <w:highlight w:val="none"/>
                    </w:rPr>
                    <w:t>小时</w:t>
                  </w:r>
                  <w:r>
                    <w:rPr>
                      <w:rFonts w:hint="default" w:eastAsia="宋体"/>
                      <w:color w:val="auto"/>
                      <w:sz w:val="21"/>
                      <w:szCs w:val="21"/>
                      <w:highlight w:val="none"/>
                    </w:rPr>
                    <w:t>平均</w:t>
                  </w:r>
                </w:p>
              </w:tc>
              <w:tc>
                <w:tcPr>
                  <w:tcW w:w="397" w:type="pct"/>
                  <w:noWrap w:val="0"/>
                  <w:vAlign w:val="center"/>
                </w:tcPr>
                <w:p w14:paraId="72CA179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300</w:t>
                  </w:r>
                </w:p>
              </w:tc>
              <w:tc>
                <w:tcPr>
                  <w:tcW w:w="393" w:type="pct"/>
                  <w:noWrap w:val="0"/>
                  <w:vAlign w:val="center"/>
                </w:tcPr>
                <w:p w14:paraId="35AE085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150</w:t>
                  </w:r>
                </w:p>
              </w:tc>
              <w:tc>
                <w:tcPr>
                  <w:tcW w:w="430" w:type="pct"/>
                  <w:noWrap w:val="0"/>
                  <w:vAlign w:val="center"/>
                </w:tcPr>
                <w:p w14:paraId="528F845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8</w:t>
                  </w:r>
                  <w:r>
                    <w:rPr>
                      <w:rFonts w:hint="eastAsia" w:eastAsia="宋体"/>
                      <w:color w:val="auto"/>
                      <w:sz w:val="21"/>
                      <w:szCs w:val="21"/>
                      <w:highlight w:val="none"/>
                    </w:rPr>
                    <w:t>0</w:t>
                  </w:r>
                </w:p>
              </w:tc>
              <w:tc>
                <w:tcPr>
                  <w:tcW w:w="452" w:type="pct"/>
                  <w:noWrap w:val="0"/>
                  <w:vAlign w:val="center"/>
                </w:tcPr>
                <w:p w14:paraId="03B1343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150</w:t>
                  </w:r>
                </w:p>
              </w:tc>
              <w:tc>
                <w:tcPr>
                  <w:tcW w:w="459" w:type="pct"/>
                  <w:noWrap w:val="0"/>
                  <w:vAlign w:val="center"/>
                </w:tcPr>
                <w:p w14:paraId="3D8BE6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75</w:t>
                  </w:r>
                </w:p>
              </w:tc>
              <w:tc>
                <w:tcPr>
                  <w:tcW w:w="482" w:type="pct"/>
                  <w:noWrap w:val="0"/>
                  <w:vAlign w:val="center"/>
                </w:tcPr>
                <w:p w14:paraId="20DC1CD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4</w:t>
                  </w:r>
                  <w:r>
                    <w:rPr>
                      <w:rFonts w:hint="default" w:eastAsia="宋体"/>
                      <w:color w:val="auto"/>
                      <w:sz w:val="21"/>
                      <w:szCs w:val="21"/>
                      <w:highlight w:val="none"/>
                    </w:rPr>
                    <w:t>000</w:t>
                  </w:r>
                </w:p>
              </w:tc>
              <w:tc>
                <w:tcPr>
                  <w:tcW w:w="1548" w:type="pct"/>
                  <w:noWrap w:val="0"/>
                  <w:vAlign w:val="center"/>
                </w:tcPr>
                <w:p w14:paraId="3EC3DCF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1</w:t>
                  </w:r>
                  <w:r>
                    <w:rPr>
                      <w:rFonts w:hint="default" w:eastAsia="宋体"/>
                      <w:color w:val="auto"/>
                      <w:sz w:val="21"/>
                      <w:szCs w:val="21"/>
                      <w:highlight w:val="none"/>
                    </w:rPr>
                    <w:t>60</w:t>
                  </w:r>
                  <w:r>
                    <w:rPr>
                      <w:rFonts w:hint="eastAsia" w:eastAsia="宋体"/>
                      <w:color w:val="auto"/>
                      <w:sz w:val="21"/>
                      <w:szCs w:val="21"/>
                      <w:highlight w:val="none"/>
                      <w:lang w:eastAsia="zh-CN"/>
                    </w:rPr>
                    <w:t>（</w:t>
                  </w:r>
                  <w:r>
                    <w:rPr>
                      <w:rFonts w:hint="eastAsia" w:eastAsia="宋体"/>
                      <w:color w:val="auto"/>
                      <w:sz w:val="21"/>
                      <w:szCs w:val="21"/>
                      <w:highlight w:val="none"/>
                    </w:rPr>
                    <w:t>日最大8小时平均</w:t>
                  </w:r>
                  <w:r>
                    <w:rPr>
                      <w:rFonts w:hint="eastAsia" w:eastAsia="宋体"/>
                      <w:color w:val="auto"/>
                      <w:sz w:val="21"/>
                      <w:szCs w:val="21"/>
                      <w:highlight w:val="none"/>
                      <w:lang w:eastAsia="zh-CN"/>
                    </w:rPr>
                    <w:t>）</w:t>
                  </w:r>
                </w:p>
              </w:tc>
            </w:tr>
            <w:tr w14:paraId="5F62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pct"/>
                  <w:noWrap w:val="0"/>
                  <w:vAlign w:val="center"/>
                </w:tcPr>
                <w:p w14:paraId="7A1AF2E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1</w:t>
                  </w:r>
                  <w:r>
                    <w:rPr>
                      <w:rFonts w:hint="default" w:eastAsia="宋体"/>
                      <w:color w:val="auto"/>
                      <w:sz w:val="21"/>
                      <w:szCs w:val="21"/>
                      <w:highlight w:val="none"/>
                    </w:rPr>
                    <w:t>小时</w:t>
                  </w:r>
                  <w:r>
                    <w:rPr>
                      <w:rFonts w:hint="eastAsia" w:eastAsia="宋体"/>
                      <w:color w:val="auto"/>
                      <w:sz w:val="21"/>
                      <w:szCs w:val="21"/>
                      <w:highlight w:val="none"/>
                    </w:rPr>
                    <w:t>平</w:t>
                  </w:r>
                  <w:r>
                    <w:rPr>
                      <w:rFonts w:hint="default" w:eastAsia="宋体"/>
                      <w:color w:val="auto"/>
                      <w:sz w:val="21"/>
                      <w:szCs w:val="21"/>
                      <w:highlight w:val="none"/>
                    </w:rPr>
                    <w:t>均</w:t>
                  </w:r>
                </w:p>
              </w:tc>
              <w:tc>
                <w:tcPr>
                  <w:tcW w:w="397" w:type="pct"/>
                  <w:noWrap w:val="0"/>
                  <w:vAlign w:val="center"/>
                </w:tcPr>
                <w:p w14:paraId="3F3F79A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w:t>
                  </w:r>
                </w:p>
              </w:tc>
              <w:tc>
                <w:tcPr>
                  <w:tcW w:w="393" w:type="pct"/>
                  <w:noWrap w:val="0"/>
                  <w:vAlign w:val="center"/>
                </w:tcPr>
                <w:p w14:paraId="62030B3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500</w:t>
                  </w:r>
                </w:p>
              </w:tc>
              <w:tc>
                <w:tcPr>
                  <w:tcW w:w="430" w:type="pct"/>
                  <w:noWrap w:val="0"/>
                  <w:vAlign w:val="center"/>
                </w:tcPr>
                <w:p w14:paraId="069CA1D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200</w:t>
                  </w:r>
                </w:p>
              </w:tc>
              <w:tc>
                <w:tcPr>
                  <w:tcW w:w="452" w:type="pct"/>
                  <w:noWrap w:val="0"/>
                  <w:vAlign w:val="center"/>
                </w:tcPr>
                <w:p w14:paraId="21970BB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w:t>
                  </w:r>
                </w:p>
              </w:tc>
              <w:tc>
                <w:tcPr>
                  <w:tcW w:w="459" w:type="pct"/>
                  <w:noWrap w:val="0"/>
                  <w:vAlign w:val="center"/>
                </w:tcPr>
                <w:p w14:paraId="4A5829A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default" w:eastAsia="宋体"/>
                      <w:color w:val="auto"/>
                      <w:sz w:val="21"/>
                      <w:szCs w:val="21"/>
                      <w:highlight w:val="none"/>
                    </w:rPr>
                    <w:t>/</w:t>
                  </w:r>
                </w:p>
              </w:tc>
              <w:tc>
                <w:tcPr>
                  <w:tcW w:w="482" w:type="pct"/>
                  <w:noWrap w:val="0"/>
                  <w:vAlign w:val="center"/>
                </w:tcPr>
                <w:p w14:paraId="227136E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1</w:t>
                  </w:r>
                  <w:r>
                    <w:rPr>
                      <w:rFonts w:hint="default" w:eastAsia="宋体"/>
                      <w:color w:val="auto"/>
                      <w:sz w:val="21"/>
                      <w:szCs w:val="21"/>
                      <w:highlight w:val="none"/>
                    </w:rPr>
                    <w:t>0000</w:t>
                  </w:r>
                </w:p>
              </w:tc>
              <w:tc>
                <w:tcPr>
                  <w:tcW w:w="1548" w:type="pct"/>
                  <w:noWrap w:val="0"/>
                  <w:vAlign w:val="center"/>
                </w:tcPr>
                <w:p w14:paraId="3ADD0E1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eastAsia="宋体"/>
                      <w:color w:val="auto"/>
                      <w:sz w:val="21"/>
                      <w:szCs w:val="21"/>
                      <w:highlight w:val="none"/>
                    </w:rPr>
                  </w:pPr>
                  <w:r>
                    <w:rPr>
                      <w:rFonts w:hint="eastAsia" w:eastAsia="宋体"/>
                      <w:color w:val="auto"/>
                      <w:sz w:val="21"/>
                      <w:szCs w:val="21"/>
                      <w:highlight w:val="none"/>
                    </w:rPr>
                    <w:t>2</w:t>
                  </w:r>
                  <w:r>
                    <w:rPr>
                      <w:rFonts w:hint="default" w:eastAsia="宋体"/>
                      <w:color w:val="auto"/>
                      <w:sz w:val="21"/>
                      <w:szCs w:val="21"/>
                      <w:highlight w:val="none"/>
                    </w:rPr>
                    <w:t>00</w:t>
                  </w:r>
                </w:p>
              </w:tc>
            </w:tr>
          </w:tbl>
          <w:p w14:paraId="0E95C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（2）地表水</w:t>
            </w:r>
          </w:p>
          <w:p w14:paraId="65AE0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项目涉及的地表水为</w:t>
            </w:r>
            <w:r>
              <w:rPr>
                <w:rFonts w:hint="default" w:ascii="Times New Roman" w:hAnsi="Times New Roman" w:eastAsia="宋体" w:cs="Times New Roman"/>
                <w:color w:val="auto"/>
                <w:sz w:val="24"/>
                <w:szCs w:val="24"/>
                <w:highlight w:val="none"/>
                <w:lang w:val="en-US" w:eastAsia="zh-CN"/>
              </w:rPr>
              <w:t>长地沟、干河、牛栏江，项目区范围内长地沟、干河最终汇入牛栏江</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根据《牛栏江流域（云南部分）水环境保护规划报告（2009-2030年）》和《云南省牛栏江保护条例》（云南省第十一届人民代表大会常务委员会公告第68号公布）总则第八条，牛栏江流域水体水质</w:t>
            </w:r>
            <w:r>
              <w:rPr>
                <w:rFonts w:hint="eastAsia" w:ascii="Times New Roman" w:hAnsi="Times New Roman" w:eastAsia="宋体" w:cs="Times New Roman"/>
                <w:color w:val="auto"/>
                <w:sz w:val="24"/>
                <w:szCs w:val="24"/>
                <w:highlight w:val="none"/>
              </w:rPr>
              <w:t>执行《地表水环境质量标准》（GB3838-2002）Ⅲ类水标准。</w:t>
            </w:r>
          </w:p>
          <w:p w14:paraId="52C96C66">
            <w:pPr>
              <w:pStyle w:val="38"/>
              <w:keepNext w:val="0"/>
              <w:keepLines w:val="0"/>
              <w:widowControl w:val="0"/>
              <w:suppressLineNumbers w:val="0"/>
              <w:spacing w:before="0" w:beforeAutospacing="0" w:after="0" w:afterAutospacing="0"/>
              <w:ind w:left="0" w:right="0"/>
              <w:jc w:val="center"/>
              <w:rPr>
                <w:rFonts w:hint="eastAsia" w:eastAsia="宋体"/>
                <w:color w:val="auto"/>
                <w:highlight w:val="none"/>
                <w:lang w:eastAsia="zh-CN"/>
              </w:rPr>
            </w:pPr>
            <w:r>
              <w:rPr>
                <w:rFonts w:hint="eastAsia" w:ascii="Times New Roman" w:hAnsi="Times New Roman"/>
                <w:b/>
                <w:color w:val="auto"/>
                <w:kern w:val="2"/>
                <w:sz w:val="21"/>
                <w:szCs w:val="21"/>
                <w:highlight w:val="none"/>
              </w:rPr>
              <w:t>表3</w:t>
            </w:r>
            <w:r>
              <w:rPr>
                <w:rFonts w:hint="eastAsia" w:ascii="Times New Roman" w:hAnsi="Times New Roman"/>
                <w:b/>
                <w:color w:val="auto"/>
                <w:kern w:val="2"/>
                <w:sz w:val="21"/>
                <w:szCs w:val="21"/>
                <w:highlight w:val="none"/>
                <w:lang w:val="en-US" w:eastAsia="zh-CN"/>
              </w:rPr>
              <w:t>-13</w:t>
            </w:r>
            <w:r>
              <w:rPr>
                <w:rFonts w:hint="default" w:ascii="Times New Roman" w:hAnsi="Times New Roman"/>
                <w:b/>
                <w:color w:val="auto"/>
                <w:kern w:val="2"/>
                <w:sz w:val="21"/>
                <w:szCs w:val="21"/>
                <w:highlight w:val="none"/>
              </w:rPr>
              <w:t xml:space="preserve"> </w:t>
            </w:r>
            <w:r>
              <w:rPr>
                <w:rFonts w:hint="eastAsia" w:ascii="Times New Roman" w:hAnsi="Times New Roman"/>
                <w:b/>
                <w:color w:val="auto"/>
                <w:kern w:val="2"/>
                <w:sz w:val="21"/>
                <w:szCs w:val="21"/>
                <w:highlight w:val="none"/>
                <w:lang w:val="en-US" w:eastAsia="zh-CN"/>
              </w:rPr>
              <w:t xml:space="preserve"> </w:t>
            </w:r>
            <w:r>
              <w:rPr>
                <w:rFonts w:hint="default" w:ascii="Times New Roman" w:hAnsi="Times New Roman"/>
                <w:b/>
                <w:color w:val="auto"/>
                <w:kern w:val="2"/>
                <w:sz w:val="21"/>
                <w:szCs w:val="21"/>
                <w:highlight w:val="none"/>
              </w:rPr>
              <w:t>地</w:t>
            </w:r>
            <w:r>
              <w:rPr>
                <w:rFonts w:hint="eastAsia" w:ascii="Times New Roman" w:hAnsi="Times New Roman"/>
                <w:b/>
                <w:color w:val="auto"/>
                <w:kern w:val="2"/>
                <w:sz w:val="21"/>
                <w:szCs w:val="21"/>
                <w:highlight w:val="none"/>
              </w:rPr>
              <w:t>表</w:t>
            </w:r>
            <w:r>
              <w:rPr>
                <w:rFonts w:hint="default" w:ascii="Times New Roman" w:hAnsi="Times New Roman"/>
                <w:b/>
                <w:color w:val="auto"/>
                <w:kern w:val="2"/>
                <w:sz w:val="21"/>
                <w:szCs w:val="21"/>
                <w:highlight w:val="none"/>
              </w:rPr>
              <w:t>水环境质量标准</w:t>
            </w:r>
            <w:r>
              <w:rPr>
                <w:rFonts w:hint="eastAsia" w:ascii="Times New Roman" w:hAnsi="Times New Roman"/>
                <w:b/>
                <w:color w:val="auto"/>
                <w:kern w:val="2"/>
                <w:sz w:val="21"/>
                <w:szCs w:val="21"/>
                <w:highlight w:val="none"/>
              </w:rPr>
              <w:t xml:space="preserve"> </w:t>
            </w:r>
            <w:r>
              <w:rPr>
                <w:rFonts w:hint="default" w:ascii="Times New Roman" w:hAnsi="Times New Roman"/>
                <w:b/>
                <w:color w:val="auto"/>
                <w:kern w:val="2"/>
                <w:sz w:val="21"/>
                <w:szCs w:val="21"/>
                <w:highlight w:val="none"/>
              </w:rPr>
              <w:t xml:space="preserve">  单位：mg/L</w:t>
            </w:r>
            <w:r>
              <w:rPr>
                <w:rFonts w:hint="eastAsia" w:ascii="Times New Roman" w:hAnsi="Times New Roman"/>
                <w:b/>
                <w:color w:val="auto"/>
                <w:kern w:val="2"/>
                <w:sz w:val="21"/>
                <w:szCs w:val="21"/>
                <w:highlight w:val="none"/>
                <w:lang w:eastAsia="zh-CN"/>
              </w:rPr>
              <w:t>（</w:t>
            </w:r>
            <w:r>
              <w:rPr>
                <w:rFonts w:hint="eastAsia" w:ascii="Times New Roman" w:hAnsi="Times New Roman"/>
                <w:b/>
                <w:color w:val="auto"/>
                <w:kern w:val="2"/>
                <w:sz w:val="21"/>
                <w:szCs w:val="21"/>
                <w:highlight w:val="none"/>
                <w:lang w:val="en-US" w:eastAsia="zh-CN"/>
              </w:rPr>
              <w:t>pH除外</w:t>
            </w:r>
            <w:r>
              <w:rPr>
                <w:rFonts w:hint="eastAsia" w:ascii="Times New Roman" w:hAnsi="Times New Roman"/>
                <w:b/>
                <w:color w:val="auto"/>
                <w:kern w:val="2"/>
                <w:sz w:val="21"/>
                <w:szCs w:val="21"/>
                <w:highlight w:val="none"/>
                <w:lang w:eastAsia="zh-CN"/>
              </w:rPr>
              <w:t>）</w:t>
            </w:r>
          </w:p>
          <w:tbl>
            <w:tblPr>
              <w:tblStyle w:val="41"/>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35"/>
              <w:gridCol w:w="652"/>
              <w:gridCol w:w="949"/>
              <w:gridCol w:w="683"/>
              <w:gridCol w:w="745"/>
              <w:gridCol w:w="1479"/>
              <w:gridCol w:w="885"/>
              <w:gridCol w:w="648"/>
              <w:gridCol w:w="642"/>
            </w:tblGrid>
            <w:tr w14:paraId="577C3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26" w:type="pct"/>
                  <w:noWrap w:val="0"/>
                  <w:vAlign w:val="center"/>
                </w:tcPr>
                <w:p w14:paraId="0BB4694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417" w:type="pct"/>
                  <w:noWrap w:val="0"/>
                  <w:vAlign w:val="center"/>
                </w:tcPr>
                <w:p w14:paraId="384772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607" w:type="pct"/>
                  <w:noWrap w:val="0"/>
                  <w:vAlign w:val="center"/>
                </w:tcPr>
                <w:p w14:paraId="2D5543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溶解氧</w:t>
                  </w:r>
                </w:p>
              </w:tc>
              <w:tc>
                <w:tcPr>
                  <w:tcW w:w="433" w:type="pct"/>
                  <w:noWrap w:val="0"/>
                  <w:vAlign w:val="center"/>
                </w:tcPr>
                <w:p w14:paraId="3073963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477" w:type="pct"/>
                  <w:noWrap w:val="0"/>
                  <w:vAlign w:val="center"/>
                </w:tcPr>
                <w:p w14:paraId="7BDA45C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946" w:type="pct"/>
                  <w:noWrap w:val="0"/>
                  <w:vAlign w:val="center"/>
                </w:tcPr>
                <w:p w14:paraId="02A774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高锰酸盐指数</w:t>
                  </w:r>
                </w:p>
              </w:tc>
              <w:tc>
                <w:tcPr>
                  <w:tcW w:w="566" w:type="pct"/>
                  <w:noWrap w:val="0"/>
                  <w:vAlign w:val="center"/>
                </w:tcPr>
                <w:p w14:paraId="177EB5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414" w:type="pct"/>
                  <w:noWrap w:val="0"/>
                  <w:vAlign w:val="center"/>
                </w:tcPr>
                <w:p w14:paraId="31C0A35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410" w:type="pct"/>
                  <w:noWrap w:val="0"/>
                  <w:vAlign w:val="center"/>
                </w:tcPr>
                <w:p w14:paraId="769B68B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r>
            <w:tr w14:paraId="712C9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726" w:type="pct"/>
                  <w:noWrap w:val="0"/>
                  <w:vAlign w:val="center"/>
                </w:tcPr>
                <w:p w14:paraId="4F1F2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Ⅲ</w:t>
                  </w:r>
                  <w:r>
                    <w:rPr>
                      <w:rFonts w:hint="default" w:ascii="Times New Roman" w:hAnsi="Times New Roman" w:eastAsia="宋体" w:cs="Times New Roman"/>
                      <w:color w:val="auto"/>
                      <w:sz w:val="21"/>
                      <w:szCs w:val="21"/>
                      <w:highlight w:val="none"/>
                    </w:rPr>
                    <w:t>类标准</w:t>
                  </w:r>
                </w:p>
              </w:tc>
              <w:tc>
                <w:tcPr>
                  <w:tcW w:w="417" w:type="pct"/>
                  <w:noWrap w:val="0"/>
                  <w:vAlign w:val="center"/>
                </w:tcPr>
                <w:p w14:paraId="342FB5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607" w:type="pct"/>
                  <w:noWrap w:val="0"/>
                  <w:vAlign w:val="center"/>
                </w:tcPr>
                <w:p w14:paraId="4D7F76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33" w:type="pct"/>
                  <w:noWrap w:val="0"/>
                  <w:vAlign w:val="center"/>
                </w:tcPr>
                <w:p w14:paraId="19F758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477" w:type="pct"/>
                  <w:noWrap w:val="0"/>
                  <w:vAlign w:val="center"/>
                </w:tcPr>
                <w:p w14:paraId="1C8888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946" w:type="pct"/>
                  <w:noWrap w:val="0"/>
                  <w:vAlign w:val="center"/>
                </w:tcPr>
                <w:p w14:paraId="2BB336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566" w:type="pct"/>
                  <w:noWrap w:val="0"/>
                  <w:vAlign w:val="center"/>
                </w:tcPr>
                <w:p w14:paraId="2241D5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≤0.05</w:t>
                  </w:r>
                </w:p>
              </w:tc>
              <w:tc>
                <w:tcPr>
                  <w:tcW w:w="414" w:type="pct"/>
                  <w:noWrap w:val="0"/>
                  <w:vAlign w:val="center"/>
                </w:tcPr>
                <w:p w14:paraId="445E4C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10" w:type="pct"/>
                  <w:noWrap w:val="0"/>
                  <w:vAlign w:val="center"/>
                </w:tcPr>
                <w:p w14:paraId="389756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r>
          </w:tbl>
          <w:p w14:paraId="4A6D3BD5">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eastAsia="宋体"/>
                <w:color w:val="auto"/>
                <w:kern w:val="0"/>
                <w:highlight w:val="none"/>
              </w:rPr>
            </w:pPr>
            <w:r>
              <w:rPr>
                <w:rFonts w:hint="default" w:eastAsia="宋体"/>
                <w:color w:val="auto"/>
                <w:kern w:val="0"/>
                <w:highlight w:val="none"/>
              </w:rPr>
              <w:t>（</w:t>
            </w:r>
            <w:r>
              <w:rPr>
                <w:rFonts w:hint="eastAsia" w:eastAsia="宋体"/>
                <w:color w:val="auto"/>
                <w:kern w:val="0"/>
                <w:highlight w:val="none"/>
              </w:rPr>
              <w:t>3</w:t>
            </w:r>
            <w:r>
              <w:rPr>
                <w:rFonts w:hint="default" w:eastAsia="宋体"/>
                <w:color w:val="auto"/>
                <w:kern w:val="0"/>
                <w:highlight w:val="none"/>
              </w:rPr>
              <w:t>）声环境</w:t>
            </w:r>
          </w:p>
          <w:p w14:paraId="0D8665C7">
            <w:pPr>
              <w:pStyle w:val="74"/>
              <w:keepNext w:val="0"/>
              <w:keepLines w:val="0"/>
              <w:suppressLineNumbers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sz w:val="24"/>
                <w:highlight w:val="none"/>
              </w:rPr>
              <w:t>项目地处山区，</w:t>
            </w:r>
            <w:r>
              <w:rPr>
                <w:rFonts w:hint="default" w:ascii="Times New Roman" w:hAnsi="Times New Roman" w:eastAsia="宋体" w:cs="Times New Roman"/>
                <w:color w:val="auto"/>
                <w:sz w:val="24"/>
                <w:szCs w:val="24"/>
                <w:highlight w:val="none"/>
                <w:lang w:val="en-US" w:eastAsia="zh-CN"/>
              </w:rPr>
              <w:t>区域声环境主要为声环境1类区，</w:t>
            </w:r>
            <w:r>
              <w:rPr>
                <w:rFonts w:hint="default" w:ascii="Times New Roman" w:hAnsi="Times New Roman" w:eastAsia="宋体" w:cs="Times New Roman"/>
                <w:color w:val="auto"/>
                <w:sz w:val="24"/>
                <w:highlight w:val="none"/>
                <w:lang w:val="en-US" w:eastAsia="zh-CN"/>
              </w:rPr>
              <w:t>执行</w:t>
            </w:r>
            <w:r>
              <w:rPr>
                <w:rFonts w:hint="default" w:ascii="Times New Roman" w:hAnsi="Times New Roman" w:eastAsia="宋体" w:cs="Times New Roman"/>
                <w:color w:val="auto"/>
                <w:sz w:val="24"/>
                <w:highlight w:val="none"/>
              </w:rPr>
              <w:t>《声环境质量标准》（GB3096-2008）1类</w:t>
            </w:r>
            <w:r>
              <w:rPr>
                <w:rFonts w:hint="default" w:ascii="Times New Roman" w:hAnsi="Times New Roman" w:eastAsia="宋体" w:cs="Times New Roman"/>
                <w:color w:val="auto"/>
                <w:sz w:val="24"/>
                <w:highlight w:val="none"/>
                <w:lang w:val="en-US" w:eastAsia="zh-CN"/>
              </w:rPr>
              <w:t>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标准限值见下表。</w:t>
            </w:r>
          </w:p>
          <w:p w14:paraId="73EB1208">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表3</w:t>
            </w:r>
            <w:r>
              <w:rPr>
                <w:rFonts w:hint="default" w:ascii="Times New Roman" w:hAnsi="Times New Roman"/>
                <w:b/>
                <w:color w:val="auto"/>
                <w:kern w:val="2"/>
                <w:sz w:val="21"/>
                <w:szCs w:val="21"/>
                <w:highlight w:val="none"/>
              </w:rPr>
              <w:t>-</w:t>
            </w:r>
            <w:r>
              <w:rPr>
                <w:rFonts w:hint="eastAsia" w:ascii="Times New Roman" w:hAnsi="Times New Roman"/>
                <w:b/>
                <w:color w:val="auto"/>
                <w:kern w:val="2"/>
                <w:sz w:val="21"/>
                <w:szCs w:val="21"/>
                <w:highlight w:val="none"/>
                <w:lang w:val="en-US" w:eastAsia="zh-CN"/>
              </w:rPr>
              <w:t>14</w:t>
            </w:r>
            <w:r>
              <w:rPr>
                <w:rFonts w:hint="eastAsia" w:ascii="Times New Roman" w:hAnsi="Times New Roman"/>
                <w:b/>
                <w:color w:val="auto"/>
                <w:kern w:val="2"/>
                <w:sz w:val="21"/>
                <w:szCs w:val="21"/>
                <w:highlight w:val="none"/>
              </w:rPr>
              <w:t xml:space="preserve"> </w:t>
            </w:r>
            <w:r>
              <w:rPr>
                <w:rFonts w:hint="default" w:ascii="Times New Roman" w:hAnsi="Times New Roman"/>
                <w:b/>
                <w:color w:val="auto"/>
                <w:kern w:val="2"/>
                <w:sz w:val="21"/>
                <w:szCs w:val="21"/>
                <w:highlight w:val="none"/>
              </w:rPr>
              <w:t xml:space="preserve"> 声环境质量标准</w:t>
            </w:r>
            <w:r>
              <w:rPr>
                <w:rFonts w:hint="eastAsia" w:ascii="Times New Roman" w:hAnsi="Times New Roman"/>
                <w:b/>
                <w:color w:val="auto"/>
                <w:kern w:val="2"/>
                <w:sz w:val="21"/>
                <w:szCs w:val="21"/>
                <w:highlight w:val="none"/>
              </w:rPr>
              <w:t xml:space="preserve"> </w:t>
            </w:r>
            <w:r>
              <w:rPr>
                <w:rFonts w:hint="default" w:ascii="Times New Roman" w:hAnsi="Times New Roman"/>
                <w:b/>
                <w:color w:val="auto"/>
                <w:kern w:val="2"/>
                <w:sz w:val="21"/>
                <w:szCs w:val="21"/>
                <w:highlight w:val="none"/>
              </w:rPr>
              <w:t xml:space="preserve">    单位：dB(A)</w:t>
            </w:r>
          </w:p>
          <w:tbl>
            <w:tblPr>
              <w:tblStyle w:val="4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04"/>
              <w:gridCol w:w="2260"/>
              <w:gridCol w:w="2376"/>
            </w:tblGrid>
            <w:tr w14:paraId="1EF1D8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1BCCAD34">
                  <w:pPr>
                    <w:pStyle w:val="73"/>
                    <w:keepNext w:val="0"/>
                    <w:keepLines w:val="0"/>
                    <w:suppressLineNumbers w:val="0"/>
                    <w:spacing w:before="0" w:beforeAutospacing="0" w:after="0" w:afterAutospacing="0"/>
                    <w:ind w:left="0" w:right="0"/>
                    <w:jc w:val="center"/>
                    <w:rPr>
                      <w:rFonts w:hint="default" w:eastAsia="宋体"/>
                      <w:b/>
                      <w:bCs/>
                      <w:color w:val="auto"/>
                      <w:highlight w:val="none"/>
                    </w:rPr>
                  </w:pPr>
                  <w:r>
                    <w:rPr>
                      <w:rFonts w:hint="default" w:eastAsia="宋体"/>
                      <w:b/>
                      <w:bCs/>
                      <w:color w:val="auto"/>
                      <w:highlight w:val="none"/>
                    </w:rPr>
                    <w:t>类别</w:t>
                  </w:r>
                </w:p>
              </w:tc>
              <w:tc>
                <w:tcPr>
                  <w:tcW w:w="1441" w:type="pct"/>
                  <w:vAlign w:val="center"/>
                </w:tcPr>
                <w:p w14:paraId="5573800D">
                  <w:pPr>
                    <w:pStyle w:val="73"/>
                    <w:keepNext w:val="0"/>
                    <w:keepLines w:val="0"/>
                    <w:suppressLineNumbers w:val="0"/>
                    <w:spacing w:before="0" w:beforeAutospacing="0" w:after="0" w:afterAutospacing="0"/>
                    <w:ind w:left="0" w:right="0"/>
                    <w:jc w:val="center"/>
                    <w:rPr>
                      <w:rFonts w:hint="default" w:eastAsia="宋体"/>
                      <w:b/>
                      <w:bCs/>
                      <w:color w:val="auto"/>
                      <w:highlight w:val="none"/>
                    </w:rPr>
                  </w:pPr>
                  <w:r>
                    <w:rPr>
                      <w:rFonts w:hint="default" w:eastAsia="宋体"/>
                      <w:b/>
                      <w:bCs/>
                      <w:color w:val="auto"/>
                      <w:highlight w:val="none"/>
                    </w:rPr>
                    <w:t>昼间</w:t>
                  </w:r>
                </w:p>
              </w:tc>
              <w:tc>
                <w:tcPr>
                  <w:tcW w:w="1515" w:type="pct"/>
                  <w:vAlign w:val="center"/>
                </w:tcPr>
                <w:p w14:paraId="29086DEF">
                  <w:pPr>
                    <w:pStyle w:val="73"/>
                    <w:keepNext w:val="0"/>
                    <w:keepLines w:val="0"/>
                    <w:suppressLineNumbers w:val="0"/>
                    <w:spacing w:before="0" w:beforeAutospacing="0" w:after="0" w:afterAutospacing="0"/>
                    <w:ind w:left="0" w:right="0"/>
                    <w:jc w:val="center"/>
                    <w:rPr>
                      <w:rFonts w:hint="default" w:eastAsia="宋体"/>
                      <w:b/>
                      <w:bCs/>
                      <w:color w:val="auto"/>
                      <w:highlight w:val="none"/>
                    </w:rPr>
                  </w:pPr>
                  <w:r>
                    <w:rPr>
                      <w:rFonts w:hint="default" w:eastAsia="宋体"/>
                      <w:b/>
                      <w:bCs/>
                      <w:color w:val="auto"/>
                      <w:highlight w:val="none"/>
                    </w:rPr>
                    <w:t>夜间</w:t>
                  </w:r>
                </w:p>
              </w:tc>
            </w:tr>
            <w:tr w14:paraId="78E654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2043" w:type="pct"/>
                  <w:vAlign w:val="center"/>
                </w:tcPr>
                <w:p w14:paraId="0043FD65">
                  <w:pPr>
                    <w:pStyle w:val="73"/>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eastAsia="宋体"/>
                      <w:color w:val="auto"/>
                      <w:highlight w:val="none"/>
                      <w:lang w:val="en-US" w:eastAsia="zh-CN"/>
                    </w:rPr>
                    <w:t>1类</w:t>
                  </w:r>
                </w:p>
              </w:tc>
              <w:tc>
                <w:tcPr>
                  <w:tcW w:w="1441" w:type="pct"/>
                  <w:vAlign w:val="center"/>
                </w:tcPr>
                <w:p w14:paraId="1E0D842A">
                  <w:pPr>
                    <w:pStyle w:val="73"/>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eastAsia="宋体"/>
                      <w:color w:val="auto"/>
                      <w:highlight w:val="none"/>
                      <w:lang w:val="en-US" w:eastAsia="zh-CN"/>
                    </w:rPr>
                    <w:t>55</w:t>
                  </w:r>
                </w:p>
              </w:tc>
              <w:tc>
                <w:tcPr>
                  <w:tcW w:w="1515" w:type="pct"/>
                  <w:vAlign w:val="center"/>
                </w:tcPr>
                <w:p w14:paraId="02A70FDE">
                  <w:pPr>
                    <w:pStyle w:val="73"/>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eastAsia="宋体"/>
                      <w:color w:val="auto"/>
                      <w:highlight w:val="none"/>
                      <w:lang w:val="en-US" w:eastAsia="zh-CN"/>
                    </w:rPr>
                    <w:t>45</w:t>
                  </w:r>
                </w:p>
              </w:tc>
            </w:tr>
          </w:tbl>
          <w:p w14:paraId="2597C7A1">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kern w:val="0"/>
                <w:sz w:val="24"/>
                <w:szCs w:val="21"/>
                <w:highlight w:val="none"/>
              </w:rPr>
            </w:pPr>
            <w:r>
              <w:rPr>
                <w:rFonts w:hint="default"/>
                <w:b/>
                <w:bCs/>
                <w:color w:val="auto"/>
                <w:kern w:val="0"/>
                <w:sz w:val="24"/>
                <w:szCs w:val="21"/>
                <w:highlight w:val="none"/>
              </w:rPr>
              <w:t>2、污染物排放标准</w:t>
            </w:r>
          </w:p>
          <w:p w14:paraId="1997278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highlight w:val="none"/>
              </w:rPr>
            </w:pPr>
            <w:r>
              <w:rPr>
                <w:rFonts w:hint="default"/>
                <w:color w:val="auto"/>
                <w:sz w:val="24"/>
                <w:highlight w:val="none"/>
              </w:rPr>
              <w:t>（1）大气污染物排放标准</w:t>
            </w:r>
          </w:p>
          <w:p w14:paraId="5066BD8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施工期：</w:t>
            </w:r>
            <w:r>
              <w:rPr>
                <w:rFonts w:hint="default"/>
                <w:color w:val="auto"/>
                <w:sz w:val="24"/>
                <w:highlight w:val="none"/>
              </w:rPr>
              <w:t>产生的废气主要为施工期间的施工扬尘，</w:t>
            </w:r>
            <w:r>
              <w:rPr>
                <w:rFonts w:hint="eastAsia"/>
                <w:color w:val="auto"/>
                <w:sz w:val="24"/>
                <w:highlight w:val="none"/>
                <w:lang w:eastAsia="zh-CN"/>
              </w:rPr>
              <w:t>施工扬尘</w:t>
            </w:r>
            <w:r>
              <w:rPr>
                <w:rFonts w:hint="default"/>
                <w:color w:val="auto"/>
                <w:sz w:val="24"/>
                <w:highlight w:val="none"/>
              </w:rPr>
              <w:t>排放方式为无组织排放，执行《大气污染物综合排放标准》（GB12697-1996）表2中无组织排放浓度限值，即周界外浓度≤1.0mg/m</w:t>
            </w:r>
            <w:r>
              <w:rPr>
                <w:rFonts w:hint="default"/>
                <w:color w:val="auto"/>
                <w:sz w:val="24"/>
                <w:highlight w:val="none"/>
                <w:vertAlign w:val="superscript"/>
              </w:rPr>
              <w:t>3</w:t>
            </w:r>
            <w:r>
              <w:rPr>
                <w:rFonts w:hint="default"/>
                <w:color w:val="auto"/>
                <w:sz w:val="24"/>
                <w:highlight w:val="none"/>
              </w:rPr>
              <w:t>。</w:t>
            </w:r>
          </w:p>
          <w:p w14:paraId="30E4E16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highlight w:val="none"/>
              </w:rPr>
            </w:pPr>
            <w:r>
              <w:rPr>
                <w:rFonts w:hint="default"/>
                <w:color w:val="auto"/>
                <w:kern w:val="0"/>
                <w:sz w:val="24"/>
                <w:szCs w:val="21"/>
                <w:highlight w:val="none"/>
              </w:rPr>
              <w:t>（</w:t>
            </w:r>
            <w:r>
              <w:rPr>
                <w:rFonts w:hint="eastAsia"/>
                <w:color w:val="auto"/>
                <w:kern w:val="0"/>
                <w:sz w:val="24"/>
                <w:szCs w:val="21"/>
                <w:highlight w:val="none"/>
              </w:rPr>
              <w:t>2</w:t>
            </w:r>
            <w:r>
              <w:rPr>
                <w:rFonts w:hint="default"/>
                <w:color w:val="auto"/>
                <w:kern w:val="0"/>
                <w:sz w:val="24"/>
                <w:szCs w:val="21"/>
                <w:highlight w:val="none"/>
              </w:rPr>
              <w:t>）废水排放标准</w:t>
            </w:r>
          </w:p>
          <w:p w14:paraId="2361749B">
            <w:pPr>
              <w:keepNext w:val="0"/>
              <w:keepLines w:val="0"/>
              <w:suppressLineNumbers w:val="0"/>
              <w:spacing w:before="0" w:beforeAutospacing="0" w:after="0" w:afterAutospacing="0" w:line="360" w:lineRule="auto"/>
              <w:ind w:left="0" w:right="0" w:firstLine="480"/>
              <w:rPr>
                <w:rFonts w:hint="default"/>
                <w:color w:val="auto"/>
                <w:sz w:val="24"/>
                <w:highlight w:val="none"/>
                <w:lang w:bidi="ar"/>
              </w:rPr>
            </w:pPr>
            <w:r>
              <w:rPr>
                <w:rFonts w:hint="default"/>
                <w:color w:val="auto"/>
                <w:sz w:val="24"/>
                <w:highlight w:val="none"/>
              </w:rPr>
              <w:t>施工期</w:t>
            </w:r>
            <w:r>
              <w:rPr>
                <w:rFonts w:hint="default"/>
                <w:color w:val="auto"/>
                <w:sz w:val="24"/>
                <w:highlight w:val="none"/>
                <w:lang w:bidi="ar"/>
              </w:rPr>
              <w:t>：</w:t>
            </w:r>
            <w:r>
              <w:rPr>
                <w:rFonts w:hint="default"/>
                <w:color w:val="auto"/>
                <w:sz w:val="24"/>
                <w:highlight w:val="none"/>
                <w:lang w:val="en-US" w:eastAsia="zh-CN" w:bidi="ar"/>
              </w:rPr>
              <w:t>施工废水</w:t>
            </w:r>
            <w:r>
              <w:rPr>
                <w:rFonts w:hint="eastAsia"/>
                <w:color w:val="auto"/>
                <w:sz w:val="24"/>
                <w:highlight w:val="none"/>
                <w:lang w:val="en-US" w:eastAsia="zh-CN" w:bidi="ar"/>
              </w:rPr>
              <w:t>经沉淀池处理后</w:t>
            </w:r>
            <w:r>
              <w:rPr>
                <w:rFonts w:hint="default"/>
                <w:color w:val="auto"/>
                <w:sz w:val="24"/>
                <w:highlight w:val="none"/>
                <w:lang w:val="en-US" w:eastAsia="zh-CN" w:bidi="ar"/>
              </w:rPr>
              <w:t>回用于施工工序和洒水降尘，不外排</w:t>
            </w:r>
            <w:r>
              <w:rPr>
                <w:rFonts w:hint="eastAsia"/>
                <w:color w:val="auto"/>
                <w:sz w:val="24"/>
                <w:highlight w:val="none"/>
                <w:lang w:val="en-US" w:eastAsia="zh-CN" w:bidi="ar"/>
              </w:rPr>
              <w:t>。</w:t>
            </w:r>
          </w:p>
          <w:p w14:paraId="06C3E6D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lang w:val="en-US" w:eastAsia="zh-CN" w:bidi="ar"/>
              </w:rPr>
              <w:t>运营期废水主要为光伏板清洗废水</w:t>
            </w:r>
            <w:r>
              <w:rPr>
                <w:rFonts w:hint="eastAsia"/>
                <w:color w:val="auto"/>
                <w:sz w:val="24"/>
                <w:highlight w:val="none"/>
                <w:lang w:val="en-US" w:eastAsia="zh-CN" w:bidi="ar"/>
              </w:rPr>
              <w:t>，不新增生活污水</w:t>
            </w:r>
            <w:r>
              <w:rPr>
                <w:rFonts w:hint="default"/>
                <w:color w:val="auto"/>
                <w:sz w:val="24"/>
                <w:highlight w:val="none"/>
                <w:lang w:val="en-US" w:eastAsia="zh-CN" w:bidi="ar"/>
              </w:rPr>
              <w:t>。光伏电池板清洗废水</w:t>
            </w:r>
            <w:r>
              <w:rPr>
                <w:rFonts w:hint="eastAsia"/>
                <w:color w:val="auto"/>
                <w:sz w:val="24"/>
                <w:highlight w:val="none"/>
                <w:lang w:val="en-US" w:eastAsia="zh-CN" w:bidi="ar"/>
              </w:rPr>
              <w:t>顺电池组件倾斜角度直接淋洒于</w:t>
            </w:r>
            <w:r>
              <w:rPr>
                <w:rFonts w:hint="default"/>
                <w:color w:val="auto"/>
                <w:sz w:val="24"/>
                <w:highlight w:val="none"/>
                <w:lang w:val="en-US" w:eastAsia="zh-CN" w:bidi="ar"/>
              </w:rPr>
              <w:t>光伏板区底层</w:t>
            </w:r>
            <w:r>
              <w:rPr>
                <w:rFonts w:hint="eastAsia"/>
                <w:color w:val="auto"/>
                <w:sz w:val="24"/>
                <w:highlight w:val="none"/>
                <w:lang w:val="en-US" w:eastAsia="zh-CN" w:bidi="ar"/>
              </w:rPr>
              <w:t>植被</w:t>
            </w:r>
            <w:r>
              <w:rPr>
                <w:rFonts w:hint="default"/>
                <w:color w:val="auto"/>
                <w:sz w:val="24"/>
                <w:highlight w:val="none"/>
                <w:lang w:val="en-US" w:eastAsia="zh-CN" w:bidi="ar"/>
              </w:rPr>
              <w:t>浇灌用水，不外排，故不设</w:t>
            </w:r>
            <w:r>
              <w:rPr>
                <w:rFonts w:hint="eastAsia"/>
                <w:color w:val="auto"/>
                <w:sz w:val="24"/>
                <w:highlight w:val="none"/>
                <w:lang w:val="en-US" w:eastAsia="zh-CN" w:bidi="ar"/>
              </w:rPr>
              <w:t>废水</w:t>
            </w:r>
            <w:r>
              <w:rPr>
                <w:rFonts w:hint="default"/>
                <w:color w:val="auto"/>
                <w:sz w:val="24"/>
                <w:highlight w:val="none"/>
                <w:lang w:val="en-US" w:eastAsia="zh-CN" w:bidi="ar"/>
              </w:rPr>
              <w:t>排放标准。</w:t>
            </w:r>
          </w:p>
          <w:p w14:paraId="7CD8653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w:t>
            </w:r>
            <w:r>
              <w:rPr>
                <w:rFonts w:hint="eastAsia"/>
                <w:color w:val="auto"/>
                <w:sz w:val="24"/>
                <w:highlight w:val="none"/>
              </w:rPr>
              <w:t>3</w:t>
            </w:r>
            <w:r>
              <w:rPr>
                <w:rFonts w:hint="default"/>
                <w:color w:val="auto"/>
                <w:sz w:val="24"/>
                <w:highlight w:val="none"/>
              </w:rPr>
              <w:t>）噪声排放标准</w:t>
            </w:r>
          </w:p>
          <w:p w14:paraId="3533A62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施工期</w:t>
            </w:r>
            <w:r>
              <w:rPr>
                <w:rFonts w:hint="eastAsia"/>
                <w:color w:val="auto"/>
                <w:sz w:val="24"/>
                <w:highlight w:val="none"/>
              </w:rPr>
              <w:t>：施工厂界噪声</w:t>
            </w:r>
            <w:r>
              <w:rPr>
                <w:rFonts w:hint="default"/>
                <w:color w:val="auto"/>
                <w:sz w:val="24"/>
                <w:highlight w:val="none"/>
              </w:rPr>
              <w:t>执行《建筑施工场界环境噪声排放标准》（GB12523-2011）</w:t>
            </w:r>
            <w:r>
              <w:rPr>
                <w:rFonts w:hint="eastAsia"/>
                <w:color w:val="auto"/>
                <w:sz w:val="24"/>
                <w:highlight w:val="none"/>
              </w:rPr>
              <w:t>，标准限值见表3</w:t>
            </w:r>
            <w:r>
              <w:rPr>
                <w:rFonts w:hint="default"/>
                <w:color w:val="auto"/>
                <w:sz w:val="24"/>
                <w:highlight w:val="none"/>
              </w:rPr>
              <w:t>-</w:t>
            </w:r>
            <w:r>
              <w:rPr>
                <w:rFonts w:hint="eastAsia"/>
                <w:color w:val="auto"/>
                <w:sz w:val="24"/>
                <w:highlight w:val="none"/>
                <w:lang w:val="en-US" w:eastAsia="zh-CN"/>
              </w:rPr>
              <w:t>15</w:t>
            </w:r>
            <w:r>
              <w:rPr>
                <w:rFonts w:hint="default"/>
                <w:color w:val="auto"/>
                <w:sz w:val="24"/>
                <w:highlight w:val="none"/>
              </w:rPr>
              <w:t>。</w:t>
            </w:r>
          </w:p>
          <w:p w14:paraId="351C72BE">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表3</w:t>
            </w:r>
            <w:r>
              <w:rPr>
                <w:rFonts w:hint="default" w:ascii="Times New Roman" w:hAnsi="Times New Roman"/>
                <w:b/>
                <w:color w:val="auto"/>
                <w:kern w:val="2"/>
                <w:sz w:val="21"/>
                <w:szCs w:val="21"/>
                <w:highlight w:val="none"/>
              </w:rPr>
              <w:t>-</w:t>
            </w:r>
            <w:r>
              <w:rPr>
                <w:rFonts w:hint="eastAsia" w:ascii="Times New Roman" w:hAnsi="Times New Roman"/>
                <w:b/>
                <w:color w:val="auto"/>
                <w:kern w:val="2"/>
                <w:sz w:val="21"/>
                <w:szCs w:val="21"/>
                <w:highlight w:val="none"/>
                <w:lang w:val="en-US" w:eastAsia="zh-CN"/>
              </w:rPr>
              <w:t>15</w:t>
            </w:r>
            <w:r>
              <w:rPr>
                <w:rFonts w:hint="eastAsia" w:ascii="Times New Roman" w:hAnsi="Times New Roman"/>
                <w:b/>
                <w:color w:val="auto"/>
                <w:kern w:val="2"/>
                <w:sz w:val="21"/>
                <w:szCs w:val="21"/>
                <w:highlight w:val="none"/>
              </w:rPr>
              <w:t xml:space="preserve"> </w:t>
            </w:r>
            <w:r>
              <w:rPr>
                <w:rFonts w:hint="eastAsia" w:ascii="Times New Roman" w:hAnsi="Times New Roman"/>
                <w:b/>
                <w:color w:val="auto"/>
                <w:kern w:val="2"/>
                <w:sz w:val="21"/>
                <w:szCs w:val="21"/>
                <w:highlight w:val="none"/>
                <w:lang w:val="en-US" w:eastAsia="zh-CN"/>
              </w:rPr>
              <w:t xml:space="preserve"> </w:t>
            </w:r>
            <w:r>
              <w:rPr>
                <w:rFonts w:hint="default" w:ascii="Times New Roman" w:hAnsi="Times New Roman"/>
                <w:b/>
                <w:color w:val="auto"/>
                <w:kern w:val="2"/>
                <w:sz w:val="21"/>
                <w:szCs w:val="21"/>
                <w:highlight w:val="none"/>
              </w:rPr>
              <w:t>建筑施工场界噪声</w:t>
            </w:r>
            <w:r>
              <w:rPr>
                <w:rFonts w:hint="eastAsia" w:ascii="Times New Roman" w:hAnsi="Times New Roman"/>
                <w:b/>
                <w:color w:val="auto"/>
                <w:kern w:val="2"/>
                <w:sz w:val="21"/>
                <w:szCs w:val="21"/>
                <w:highlight w:val="none"/>
              </w:rPr>
              <w:t>排放标准</w:t>
            </w:r>
            <w:r>
              <w:rPr>
                <w:rFonts w:hint="default" w:ascii="Times New Roman" w:hAnsi="Times New Roman"/>
                <w:b/>
                <w:color w:val="auto"/>
                <w:kern w:val="2"/>
                <w:sz w:val="21"/>
                <w:szCs w:val="21"/>
                <w:highlight w:val="none"/>
              </w:rPr>
              <w:t xml:space="preserve">  单位：dB(A)</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613"/>
              <w:gridCol w:w="2611"/>
            </w:tblGrid>
            <w:tr w14:paraId="489E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468DE5F">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时段</w:t>
                  </w:r>
                </w:p>
              </w:tc>
              <w:tc>
                <w:tcPr>
                  <w:tcW w:w="1667" w:type="pct"/>
                  <w:vAlign w:val="center"/>
                </w:tcPr>
                <w:p w14:paraId="433965C0">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昼间</w:t>
                  </w:r>
                </w:p>
              </w:tc>
              <w:tc>
                <w:tcPr>
                  <w:tcW w:w="1666" w:type="pct"/>
                  <w:vAlign w:val="center"/>
                </w:tcPr>
                <w:p w14:paraId="7740ABBC">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夜间</w:t>
                  </w:r>
                </w:p>
              </w:tc>
            </w:tr>
            <w:tr w14:paraId="1FA3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77A3593E">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标准值</w:t>
                  </w:r>
                </w:p>
              </w:tc>
              <w:tc>
                <w:tcPr>
                  <w:tcW w:w="1667" w:type="pct"/>
                  <w:vAlign w:val="center"/>
                </w:tcPr>
                <w:p w14:paraId="0699A2A9">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70</w:t>
                  </w:r>
                </w:p>
              </w:tc>
              <w:tc>
                <w:tcPr>
                  <w:tcW w:w="1666" w:type="pct"/>
                  <w:vAlign w:val="center"/>
                </w:tcPr>
                <w:p w14:paraId="46C245EB">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55</w:t>
                  </w:r>
                </w:p>
              </w:tc>
            </w:tr>
          </w:tbl>
          <w:p w14:paraId="0ADC81D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运营期</w:t>
            </w:r>
            <w:r>
              <w:rPr>
                <w:rFonts w:hint="eastAsia"/>
                <w:color w:val="auto"/>
                <w:sz w:val="24"/>
                <w:highlight w:val="none"/>
              </w:rPr>
              <w:t>：</w:t>
            </w:r>
            <w:r>
              <w:rPr>
                <w:rFonts w:hint="eastAsia"/>
                <w:color w:val="auto"/>
                <w:sz w:val="24"/>
                <w:highlight w:val="none"/>
                <w:lang w:val="en-US" w:eastAsia="zh-CN"/>
              </w:rPr>
              <w:t>光伏场区</w:t>
            </w:r>
            <w:r>
              <w:rPr>
                <w:rFonts w:hint="default"/>
                <w:color w:val="auto"/>
                <w:sz w:val="24"/>
                <w:highlight w:val="none"/>
              </w:rPr>
              <w:t>执行《工业企业厂界环境噪声排放标准》（GB12348-2008）</w:t>
            </w:r>
            <w:r>
              <w:rPr>
                <w:rFonts w:hint="eastAsia"/>
                <w:color w:val="auto"/>
                <w:sz w:val="24"/>
                <w:highlight w:val="none"/>
                <w:lang w:val="en-US" w:eastAsia="zh-CN"/>
              </w:rPr>
              <w:t>1</w:t>
            </w:r>
            <w:r>
              <w:rPr>
                <w:rFonts w:hint="default"/>
                <w:color w:val="auto"/>
                <w:sz w:val="24"/>
                <w:highlight w:val="none"/>
              </w:rPr>
              <w:t>类标准</w:t>
            </w:r>
            <w:r>
              <w:rPr>
                <w:rFonts w:hint="eastAsia"/>
                <w:color w:val="auto"/>
                <w:sz w:val="24"/>
                <w:highlight w:val="none"/>
              </w:rPr>
              <w:t>，标准限值见表3</w:t>
            </w:r>
            <w:r>
              <w:rPr>
                <w:rFonts w:hint="default"/>
                <w:color w:val="auto"/>
                <w:sz w:val="24"/>
                <w:highlight w:val="none"/>
              </w:rPr>
              <w:t>-</w:t>
            </w:r>
            <w:r>
              <w:rPr>
                <w:rFonts w:hint="eastAsia"/>
                <w:color w:val="auto"/>
                <w:sz w:val="24"/>
                <w:highlight w:val="none"/>
                <w:lang w:val="en-US" w:eastAsia="zh-CN"/>
              </w:rPr>
              <w:t>16</w:t>
            </w:r>
            <w:r>
              <w:rPr>
                <w:rFonts w:hint="eastAsia"/>
                <w:color w:val="auto"/>
                <w:sz w:val="24"/>
                <w:highlight w:val="none"/>
              </w:rPr>
              <w:t>。</w:t>
            </w:r>
          </w:p>
          <w:p w14:paraId="2F9089DA">
            <w:pPr>
              <w:pStyle w:val="38"/>
              <w:keepNext w:val="0"/>
              <w:keepLines w:val="0"/>
              <w:widowControl w:val="0"/>
              <w:suppressLineNumbers w:val="0"/>
              <w:spacing w:before="0" w:beforeAutospacing="0" w:after="0" w:afterAutospacing="0"/>
              <w:ind w:left="0" w:right="0"/>
              <w:jc w:val="center"/>
              <w:rPr>
                <w:rFonts w:hint="default"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表3</w:t>
            </w:r>
            <w:r>
              <w:rPr>
                <w:rFonts w:hint="default" w:ascii="Times New Roman" w:hAnsi="Times New Roman"/>
                <w:b/>
                <w:color w:val="auto"/>
                <w:kern w:val="2"/>
                <w:sz w:val="21"/>
                <w:szCs w:val="21"/>
                <w:highlight w:val="none"/>
              </w:rPr>
              <w:t>-</w:t>
            </w:r>
            <w:r>
              <w:rPr>
                <w:rFonts w:hint="eastAsia" w:ascii="Times New Roman" w:hAnsi="Times New Roman"/>
                <w:b/>
                <w:color w:val="auto"/>
                <w:kern w:val="2"/>
                <w:sz w:val="21"/>
                <w:szCs w:val="21"/>
                <w:highlight w:val="none"/>
                <w:lang w:val="en-US" w:eastAsia="zh-CN"/>
              </w:rPr>
              <w:t>16</w:t>
            </w:r>
            <w:r>
              <w:rPr>
                <w:rFonts w:hint="default" w:ascii="Times New Roman" w:hAnsi="Times New Roman"/>
                <w:b/>
                <w:color w:val="auto"/>
                <w:kern w:val="2"/>
                <w:sz w:val="21"/>
                <w:szCs w:val="21"/>
                <w:highlight w:val="none"/>
              </w:rPr>
              <w:t xml:space="preserve"> </w:t>
            </w:r>
            <w:r>
              <w:rPr>
                <w:rFonts w:hint="eastAsia" w:ascii="Times New Roman" w:hAnsi="Times New Roman"/>
                <w:b/>
                <w:color w:val="auto"/>
                <w:kern w:val="2"/>
                <w:sz w:val="21"/>
                <w:szCs w:val="21"/>
                <w:highlight w:val="none"/>
              </w:rPr>
              <w:t xml:space="preserve"> </w:t>
            </w:r>
            <w:r>
              <w:rPr>
                <w:rFonts w:hint="default" w:ascii="Times New Roman" w:hAnsi="Times New Roman"/>
                <w:b/>
                <w:color w:val="auto"/>
                <w:kern w:val="2"/>
                <w:sz w:val="21"/>
                <w:szCs w:val="21"/>
                <w:highlight w:val="none"/>
              </w:rPr>
              <w:t>工业企业厂界环境噪声排放标准</w:t>
            </w:r>
            <w:r>
              <w:rPr>
                <w:rFonts w:hint="eastAsia" w:ascii="Times New Roman" w:hAnsi="Times New Roman"/>
                <w:b/>
                <w:color w:val="auto"/>
                <w:kern w:val="2"/>
                <w:sz w:val="21"/>
                <w:szCs w:val="21"/>
                <w:highlight w:val="none"/>
              </w:rPr>
              <w:t xml:space="preserve"> </w:t>
            </w:r>
            <w:r>
              <w:rPr>
                <w:rFonts w:hint="default" w:ascii="Times New Roman" w:hAnsi="Times New Roman"/>
                <w:b/>
                <w:color w:val="auto"/>
                <w:kern w:val="2"/>
                <w:sz w:val="21"/>
                <w:szCs w:val="21"/>
                <w:highlight w:val="none"/>
              </w:rPr>
              <w:t xml:space="preserve"> 单位：dB(A)</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613"/>
              <w:gridCol w:w="2611"/>
            </w:tblGrid>
            <w:tr w14:paraId="72EE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4A6A174">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eastAsia="宋体"/>
                      <w:b/>
                      <w:bCs/>
                      <w:color w:val="auto"/>
                      <w:highlight w:val="none"/>
                    </w:rPr>
                    <w:t>类别</w:t>
                  </w:r>
                </w:p>
              </w:tc>
              <w:tc>
                <w:tcPr>
                  <w:tcW w:w="1667" w:type="pct"/>
                  <w:vAlign w:val="center"/>
                </w:tcPr>
                <w:p w14:paraId="1DC44803">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昼间</w:t>
                  </w:r>
                </w:p>
              </w:tc>
              <w:tc>
                <w:tcPr>
                  <w:tcW w:w="1666" w:type="pct"/>
                  <w:vAlign w:val="center"/>
                </w:tcPr>
                <w:p w14:paraId="2C7F39AD">
                  <w:pPr>
                    <w:keepNext w:val="0"/>
                    <w:keepLines w:val="0"/>
                    <w:suppressLineNumbers w:val="0"/>
                    <w:adjustRightInd w:val="0"/>
                    <w:snapToGrid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夜间</w:t>
                  </w:r>
                </w:p>
              </w:tc>
            </w:tr>
            <w:tr w14:paraId="6325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358633DB">
                  <w:pPr>
                    <w:keepNext w:val="0"/>
                    <w:keepLines w:val="0"/>
                    <w:suppressLineNumbers w:val="0"/>
                    <w:adjustRightInd w:val="0"/>
                    <w:snapToGrid w:val="0"/>
                    <w:spacing w:before="0" w:beforeAutospacing="0" w:after="0" w:afterAutospacing="0"/>
                    <w:ind w:left="0" w:right="0"/>
                    <w:jc w:val="center"/>
                    <w:rPr>
                      <w:rFonts w:hint="default"/>
                      <w:color w:val="auto"/>
                      <w:kern w:val="0"/>
                      <w:szCs w:val="21"/>
                      <w:highlight w:val="none"/>
                    </w:rPr>
                  </w:pPr>
                  <w:r>
                    <w:rPr>
                      <w:rFonts w:hint="eastAsia" w:eastAsia="宋体"/>
                      <w:color w:val="auto"/>
                      <w:highlight w:val="none"/>
                      <w:lang w:val="en-US" w:eastAsia="zh-CN"/>
                    </w:rPr>
                    <w:t>1类</w:t>
                  </w:r>
                </w:p>
              </w:tc>
              <w:tc>
                <w:tcPr>
                  <w:tcW w:w="1667" w:type="pct"/>
                  <w:vAlign w:val="center"/>
                </w:tcPr>
                <w:p w14:paraId="58BDEE94">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c>
                <w:tcPr>
                  <w:tcW w:w="1666" w:type="pct"/>
                  <w:vAlign w:val="center"/>
                </w:tcPr>
                <w:p w14:paraId="41EDB65E">
                  <w:pPr>
                    <w:keepNext w:val="0"/>
                    <w:keepLines w:val="0"/>
                    <w:suppressLineNumbers w:val="0"/>
                    <w:adjustRightInd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45</w:t>
                  </w:r>
                </w:p>
              </w:tc>
            </w:tr>
          </w:tbl>
          <w:p w14:paraId="5AB8451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（4）固废标准</w:t>
            </w:r>
          </w:p>
          <w:p w14:paraId="6B05B116">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szCs w:val="21"/>
                <w:highlight w:val="none"/>
              </w:rPr>
            </w:pPr>
            <w:r>
              <w:rPr>
                <w:rFonts w:hint="eastAsia"/>
                <w:color w:val="auto"/>
                <w:sz w:val="24"/>
                <w:highlight w:val="none"/>
                <w:lang w:eastAsia="zh-CN"/>
              </w:rPr>
              <w:t>本项目产生的</w:t>
            </w:r>
            <w:r>
              <w:rPr>
                <w:rFonts w:hint="default"/>
                <w:color w:val="auto"/>
                <w:sz w:val="24"/>
                <w:highlight w:val="none"/>
              </w:rPr>
              <w:t>一般工业固</w:t>
            </w:r>
            <w:r>
              <w:rPr>
                <w:rFonts w:hint="eastAsia"/>
                <w:color w:val="auto"/>
                <w:sz w:val="24"/>
                <w:highlight w:val="none"/>
              </w:rPr>
              <w:t>体</w:t>
            </w:r>
            <w:r>
              <w:rPr>
                <w:rFonts w:hint="default"/>
                <w:color w:val="auto"/>
                <w:sz w:val="24"/>
                <w:highlight w:val="none"/>
              </w:rPr>
              <w:t>废</w:t>
            </w:r>
            <w:r>
              <w:rPr>
                <w:rFonts w:hint="eastAsia"/>
                <w:color w:val="auto"/>
                <w:sz w:val="24"/>
                <w:highlight w:val="none"/>
              </w:rPr>
              <w:t>物</w:t>
            </w:r>
            <w:r>
              <w:rPr>
                <w:rFonts w:hint="default"/>
                <w:color w:val="auto"/>
                <w:sz w:val="24"/>
                <w:highlight w:val="none"/>
              </w:rPr>
              <w:t>执行</w:t>
            </w:r>
            <w:r>
              <w:rPr>
                <w:rFonts w:hint="eastAsia"/>
                <w:color w:val="auto"/>
                <w:sz w:val="24"/>
                <w:highlight w:val="none"/>
              </w:rPr>
              <w:t>《一般工业固体废物贮存和填埋污染控制标准》（GB 18599-2020）</w:t>
            </w:r>
            <w:r>
              <w:rPr>
                <w:rFonts w:hint="default"/>
                <w:color w:val="auto"/>
                <w:kern w:val="0"/>
                <w:sz w:val="24"/>
                <w:szCs w:val="21"/>
                <w:highlight w:val="none"/>
              </w:rPr>
              <w:t>。</w:t>
            </w:r>
          </w:p>
          <w:p w14:paraId="08F6868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rPr>
            </w:pPr>
            <w:r>
              <w:rPr>
                <w:rFonts w:hint="eastAsia"/>
                <w:color w:val="auto"/>
                <w:kern w:val="0"/>
                <w:sz w:val="24"/>
                <w:szCs w:val="21"/>
                <w:highlight w:val="none"/>
                <w:lang w:eastAsia="zh-CN"/>
              </w:rPr>
              <w:t>本项目产生的</w:t>
            </w:r>
            <w:r>
              <w:rPr>
                <w:rFonts w:hint="eastAsia"/>
                <w:color w:val="auto"/>
                <w:kern w:val="0"/>
                <w:sz w:val="24"/>
                <w:szCs w:val="21"/>
                <w:highlight w:val="none"/>
              </w:rPr>
              <w:t>危险废物</w:t>
            </w:r>
            <w:r>
              <w:rPr>
                <w:rFonts w:hint="default"/>
                <w:color w:val="auto"/>
                <w:kern w:val="0"/>
                <w:sz w:val="24"/>
                <w:szCs w:val="21"/>
                <w:highlight w:val="none"/>
              </w:rPr>
              <w:t>贮存</w:t>
            </w:r>
            <w:r>
              <w:rPr>
                <w:rFonts w:hint="eastAsia"/>
                <w:color w:val="auto"/>
                <w:kern w:val="0"/>
                <w:sz w:val="24"/>
                <w:szCs w:val="21"/>
                <w:highlight w:val="none"/>
                <w:lang w:eastAsia="zh-CN"/>
              </w:rPr>
              <w:t>、处置</w:t>
            </w:r>
            <w:r>
              <w:rPr>
                <w:rFonts w:hint="default"/>
                <w:color w:val="auto"/>
                <w:kern w:val="0"/>
                <w:sz w:val="24"/>
                <w:szCs w:val="21"/>
                <w:highlight w:val="none"/>
              </w:rPr>
              <w:t>执行《危险废物贮存污染控制标准》（GB18597-20</w:t>
            </w:r>
            <w:r>
              <w:rPr>
                <w:rFonts w:hint="eastAsia"/>
                <w:color w:val="auto"/>
                <w:kern w:val="0"/>
                <w:sz w:val="24"/>
                <w:szCs w:val="21"/>
                <w:highlight w:val="none"/>
                <w:lang w:val="en-US" w:eastAsia="zh-CN"/>
              </w:rPr>
              <w:t>23</w:t>
            </w:r>
            <w:r>
              <w:rPr>
                <w:rFonts w:hint="default"/>
                <w:color w:val="auto"/>
                <w:kern w:val="0"/>
                <w:sz w:val="24"/>
                <w:szCs w:val="21"/>
                <w:highlight w:val="none"/>
              </w:rPr>
              <w:t>）。</w:t>
            </w:r>
          </w:p>
        </w:tc>
      </w:tr>
      <w:tr w14:paraId="5EB3E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44" w:type="pct"/>
            <w:vAlign w:val="center"/>
          </w:tcPr>
          <w:p w14:paraId="742066E4">
            <w:pPr>
              <w:keepNext w:val="0"/>
              <w:keepLines w:val="0"/>
              <w:suppressLineNumbers w:val="0"/>
              <w:adjustRightInd w:val="0"/>
              <w:snapToGrid w:val="0"/>
              <w:spacing w:before="0" w:beforeAutospacing="0" w:after="0" w:afterAutospacing="0"/>
              <w:ind w:left="0" w:right="0"/>
              <w:jc w:val="center"/>
              <w:rPr>
                <w:rFonts w:hint="default"/>
                <w:color w:val="auto"/>
                <w:kern w:val="0"/>
                <w:sz w:val="24"/>
                <w:highlight w:val="none"/>
              </w:rPr>
            </w:pPr>
            <w:r>
              <w:rPr>
                <w:rFonts w:hint="default"/>
                <w:color w:val="auto"/>
                <w:kern w:val="0"/>
                <w:sz w:val="24"/>
                <w:highlight w:val="none"/>
              </w:rPr>
              <w:t>其他</w:t>
            </w:r>
          </w:p>
        </w:tc>
        <w:tc>
          <w:tcPr>
            <w:tcW w:w="4755" w:type="pct"/>
            <w:vAlign w:val="center"/>
          </w:tcPr>
          <w:p w14:paraId="2534DEF1">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根据</w:t>
            </w:r>
            <w:r>
              <w:rPr>
                <w:rFonts w:hint="eastAsia" w:ascii="宋体" w:hAnsi="宋体" w:eastAsia="宋体" w:cs="宋体"/>
                <w:color w:val="auto"/>
                <w:sz w:val="24"/>
                <w:highlight w:val="none"/>
              </w:rPr>
              <w:t>“十</w:t>
            </w:r>
            <w:r>
              <w:rPr>
                <w:rFonts w:hint="eastAsia" w:ascii="宋体" w:hAnsi="宋体" w:eastAsia="宋体" w:cs="宋体"/>
                <w:color w:val="auto"/>
                <w:sz w:val="24"/>
                <w:highlight w:val="none"/>
                <w:lang w:eastAsia="zh-CN"/>
              </w:rPr>
              <w:t>四</w:t>
            </w:r>
            <w:r>
              <w:rPr>
                <w:rFonts w:hint="eastAsia" w:ascii="宋体" w:hAnsi="宋体" w:eastAsia="宋体" w:cs="宋体"/>
                <w:color w:val="auto"/>
                <w:sz w:val="24"/>
                <w:highlight w:val="none"/>
              </w:rPr>
              <w:t>五”主要</w:t>
            </w:r>
            <w:r>
              <w:rPr>
                <w:rFonts w:hint="default"/>
                <w:color w:val="auto"/>
                <w:sz w:val="24"/>
                <w:highlight w:val="none"/>
              </w:rPr>
              <w:t>污染物总量控制规划，</w:t>
            </w:r>
            <w:r>
              <w:rPr>
                <w:rFonts w:hint="eastAsia"/>
                <w:color w:val="auto"/>
                <w:sz w:val="24"/>
                <w:highlight w:val="none"/>
                <w:lang w:val="en-US" w:eastAsia="zh-CN"/>
              </w:rPr>
              <w:t>国家将继续实施主要污染物总量控制制度，将化学需氧量、</w:t>
            </w:r>
            <w:r>
              <w:rPr>
                <w:rFonts w:hint="default"/>
                <w:color w:val="auto"/>
                <w:sz w:val="24"/>
                <w:highlight w:val="none"/>
              </w:rPr>
              <w:t>氨氮（NH</w:t>
            </w:r>
            <w:r>
              <w:rPr>
                <w:rFonts w:hint="default"/>
                <w:color w:val="auto"/>
                <w:sz w:val="24"/>
                <w:highlight w:val="none"/>
                <w:vertAlign w:val="subscript"/>
              </w:rPr>
              <w:t>3</w:t>
            </w:r>
            <w:r>
              <w:rPr>
                <w:rFonts w:hint="default"/>
                <w:color w:val="auto"/>
                <w:sz w:val="24"/>
                <w:highlight w:val="none"/>
              </w:rPr>
              <w:t>-N）</w:t>
            </w:r>
            <w:r>
              <w:rPr>
                <w:rFonts w:hint="eastAsia"/>
                <w:color w:val="auto"/>
                <w:sz w:val="24"/>
                <w:highlight w:val="none"/>
                <w:lang w:eastAsia="zh-CN"/>
              </w:rPr>
              <w:t>、</w:t>
            </w:r>
            <w:r>
              <w:rPr>
                <w:rFonts w:hint="default"/>
                <w:color w:val="auto"/>
                <w:sz w:val="24"/>
                <w:highlight w:val="none"/>
              </w:rPr>
              <w:t>氮氧化物（NO</w:t>
            </w:r>
            <w:r>
              <w:rPr>
                <w:rFonts w:hint="default"/>
                <w:color w:val="auto"/>
                <w:sz w:val="24"/>
                <w:highlight w:val="none"/>
                <w:vertAlign w:val="subscript"/>
              </w:rPr>
              <w:t>X</w:t>
            </w:r>
            <w:r>
              <w:rPr>
                <w:rFonts w:hint="default"/>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挥发性有机物</w:t>
            </w:r>
            <w:r>
              <w:rPr>
                <w:rFonts w:hint="default"/>
                <w:color w:val="auto"/>
                <w:sz w:val="24"/>
                <w:highlight w:val="none"/>
              </w:rPr>
              <w:t>（VOCs）</w:t>
            </w:r>
            <w:r>
              <w:rPr>
                <w:rFonts w:hint="eastAsia"/>
                <w:color w:val="auto"/>
                <w:sz w:val="24"/>
                <w:highlight w:val="none"/>
                <w:lang w:val="en-US" w:eastAsia="zh-CN"/>
              </w:rPr>
              <w:t>等4项污染物作为约束性指标进行考核，</w:t>
            </w:r>
            <w:r>
              <w:rPr>
                <w:rFonts w:hint="eastAsia" w:ascii="宋体" w:hAnsi="宋体" w:eastAsia="宋体" w:cs="宋体"/>
                <w:color w:val="auto"/>
                <w:sz w:val="24"/>
                <w:highlight w:val="none"/>
              </w:rPr>
              <w:t>“十</w:t>
            </w:r>
            <w:r>
              <w:rPr>
                <w:rFonts w:hint="eastAsia" w:ascii="宋体" w:hAnsi="宋体" w:eastAsia="宋体" w:cs="宋体"/>
                <w:color w:val="auto"/>
                <w:sz w:val="24"/>
                <w:highlight w:val="none"/>
                <w:lang w:eastAsia="zh-CN"/>
              </w:rPr>
              <w:t>四</w:t>
            </w:r>
            <w:r>
              <w:rPr>
                <w:rFonts w:hint="eastAsia" w:ascii="宋体" w:hAnsi="宋体" w:eastAsia="宋体" w:cs="宋体"/>
                <w:color w:val="auto"/>
                <w:sz w:val="24"/>
                <w:highlight w:val="none"/>
              </w:rPr>
              <w:t>五”期</w:t>
            </w:r>
            <w:r>
              <w:rPr>
                <w:rFonts w:hint="default"/>
                <w:color w:val="auto"/>
                <w:sz w:val="24"/>
                <w:highlight w:val="none"/>
              </w:rPr>
              <w:t>间国家对化学需氧量、二氧化硫、氨氮和氮氧化物四种主要污染物实行排放总量控制计划管理。全面推进二氧化硫（SO</w:t>
            </w:r>
            <w:r>
              <w:rPr>
                <w:rFonts w:hint="default"/>
                <w:color w:val="auto"/>
                <w:sz w:val="24"/>
                <w:highlight w:val="none"/>
                <w:vertAlign w:val="subscript"/>
              </w:rPr>
              <w:t>2</w:t>
            </w:r>
            <w:r>
              <w:rPr>
                <w:rFonts w:hint="default"/>
                <w:color w:val="auto"/>
                <w:sz w:val="24"/>
                <w:highlight w:val="none"/>
              </w:rPr>
              <w:t>）、氮氧化物（NO</w:t>
            </w:r>
            <w:r>
              <w:rPr>
                <w:rFonts w:hint="default"/>
                <w:color w:val="auto"/>
                <w:sz w:val="24"/>
                <w:highlight w:val="none"/>
                <w:vertAlign w:val="subscript"/>
              </w:rPr>
              <w:t>X</w:t>
            </w:r>
            <w:r>
              <w:rPr>
                <w:rFonts w:hint="default"/>
                <w:color w:val="auto"/>
                <w:sz w:val="24"/>
                <w:highlight w:val="none"/>
              </w:rPr>
              <w:t>）、挥发性有机物（VOCs）等多种污染物的协同控制。</w:t>
            </w:r>
          </w:p>
          <w:p w14:paraId="76A79823">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highlight w:val="none"/>
              </w:rPr>
            </w:pPr>
            <w:r>
              <w:rPr>
                <w:rFonts w:hint="eastAsia"/>
                <w:color w:val="auto"/>
                <w:sz w:val="24"/>
                <w:highlight w:val="none"/>
              </w:rPr>
              <w:t>本项目为光伏发电项目，结合拟建项目污染物排放特征，项目无废水外排，不设置废水总量控制指标</w:t>
            </w:r>
            <w:r>
              <w:rPr>
                <w:rFonts w:hint="eastAsia"/>
                <w:color w:val="auto"/>
                <w:sz w:val="24"/>
                <w:highlight w:val="none"/>
                <w:lang w:eastAsia="zh-CN"/>
              </w:rPr>
              <w:t>；</w:t>
            </w:r>
            <w:r>
              <w:rPr>
                <w:rFonts w:hint="eastAsia"/>
                <w:color w:val="auto"/>
                <w:sz w:val="24"/>
                <w:highlight w:val="none"/>
              </w:rPr>
              <w:t>项目运营期无生产废气排放，不设废气总量控制指标</w:t>
            </w:r>
            <w:r>
              <w:rPr>
                <w:rFonts w:hint="eastAsia"/>
                <w:color w:val="auto"/>
                <w:sz w:val="24"/>
                <w:highlight w:val="none"/>
                <w:lang w:eastAsia="zh-CN"/>
              </w:rPr>
              <w:t>；</w:t>
            </w:r>
            <w:r>
              <w:rPr>
                <w:rFonts w:hint="eastAsia"/>
                <w:color w:val="auto"/>
                <w:sz w:val="24"/>
                <w:highlight w:val="none"/>
              </w:rPr>
              <w:t>本项目固体废物处置率：</w:t>
            </w:r>
            <w:r>
              <w:rPr>
                <w:rFonts w:hint="default"/>
                <w:color w:val="auto"/>
                <w:sz w:val="24"/>
                <w:highlight w:val="none"/>
              </w:rPr>
              <w:t>100%</w:t>
            </w:r>
            <w:r>
              <w:rPr>
                <w:rFonts w:hint="eastAsia"/>
                <w:color w:val="auto"/>
                <w:sz w:val="24"/>
                <w:highlight w:val="none"/>
              </w:rPr>
              <w:t>。固体废物不纳入总量控制，故本次环评不需设总量指标。</w:t>
            </w:r>
          </w:p>
        </w:tc>
      </w:tr>
    </w:tbl>
    <w:p w14:paraId="6E2871BA">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r>
        <w:rPr>
          <w:rFonts w:ascii="Times New Roman" w:hAnsi="Times New Roman"/>
          <w:snapToGrid w:val="0"/>
          <w:color w:val="auto"/>
          <w:kern w:val="2"/>
          <w:sz w:val="36"/>
          <w:szCs w:val="36"/>
          <w:highlight w:val="none"/>
          <w:shd w:val="clear" w:color="auto" w:fill="auto"/>
        </w:rPr>
        <w:br w:type="page"/>
      </w:r>
      <w:bookmarkStart w:id="21" w:name="_Toc227"/>
      <w:r>
        <w:rPr>
          <w:b/>
          <w:bCs/>
          <w:snapToGrid w:val="0"/>
          <w:color w:val="auto"/>
          <w:sz w:val="30"/>
          <w:szCs w:val="30"/>
          <w:highlight w:val="none"/>
          <w:shd w:val="clear" w:color="auto" w:fill="auto"/>
        </w:rPr>
        <w:t>四、生态环境影响分析</w:t>
      </w:r>
      <w:bookmarkEnd w:id="21"/>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0"/>
        <w:gridCol w:w="8160"/>
      </w:tblGrid>
      <w:tr w14:paraId="2AD9B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166" w:type="pct"/>
            <w:tcMar>
              <w:left w:w="28" w:type="dxa"/>
              <w:right w:w="28" w:type="dxa"/>
            </w:tcMar>
            <w:vAlign w:val="center"/>
          </w:tcPr>
          <w:p w14:paraId="38547AB2">
            <w:pPr>
              <w:pStyle w:val="38"/>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bookmarkStart w:id="22" w:name="_Hlk49796138"/>
            <w:r>
              <w:rPr>
                <w:rFonts w:hint="default" w:ascii="Times New Roman" w:hAnsi="Times New Roman"/>
                <w:bCs/>
                <w:color w:val="auto"/>
                <w:spacing w:val="10"/>
                <w:kern w:val="2"/>
                <w:highlight w:val="none"/>
                <w:shd w:val="clear" w:color="auto" w:fill="auto"/>
              </w:rPr>
              <w:t>施工期生态环境影响分析</w:t>
            </w:r>
            <w:bookmarkEnd w:id="22"/>
          </w:p>
        </w:tc>
        <w:tc>
          <w:tcPr>
            <w:tcW w:w="4833" w:type="pct"/>
          </w:tcPr>
          <w:p w14:paraId="661A6333">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4.1</w:t>
            </w:r>
            <w:r>
              <w:rPr>
                <w:rFonts w:hint="eastAsia"/>
                <w:b/>
                <w:color w:val="auto"/>
                <w:sz w:val="24"/>
                <w:highlight w:val="none"/>
                <w:shd w:val="clear" w:color="auto" w:fill="auto"/>
              </w:rPr>
              <w:t>施工期污染影响因素</w:t>
            </w:r>
          </w:p>
          <w:p w14:paraId="6BBEFCE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（1）施工工艺流程及产污节点</w:t>
            </w:r>
          </w:p>
          <w:p w14:paraId="47E715A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highlight w:val="none"/>
              </w:rPr>
            </w:pPr>
            <w:r>
              <w:rPr>
                <w:rFonts w:hint="default"/>
                <w:color w:val="auto"/>
                <w:sz w:val="24"/>
                <w:highlight w:val="none"/>
              </w:rPr>
              <w:t>本项目施工期间施工内容包括光伏发电区施工、道路施工，施工工艺流程及产污环节分别如下图4-1、图4-2所示，具体施工方案</w:t>
            </w:r>
            <w:r>
              <w:rPr>
                <w:rFonts w:hint="eastAsia" w:ascii="宋体" w:hAnsi="宋体" w:eastAsia="宋体" w:cs="宋体"/>
                <w:color w:val="auto"/>
                <w:sz w:val="24"/>
                <w:highlight w:val="none"/>
              </w:rPr>
              <w:t>见前面表二中“施工方案”相应的内容，此处不再赘述。</w:t>
            </w:r>
          </w:p>
          <w:p w14:paraId="217AE623">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4"/>
                <w:highlight w:val="none"/>
              </w:rPr>
            </w:pPr>
            <w:r>
              <w:rPr>
                <w:rFonts w:hint="default"/>
                <w:color w:val="auto"/>
                <w:sz w:val="24"/>
                <w:highlight w:val="none"/>
              </w:rPr>
              <w:object>
                <v:shape id="_x0000_i1025" o:spt="75" type="#_x0000_t75" style="height:119.75pt;width:327.7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2BF2EDCB">
            <w:pPr>
              <w:keepNext w:val="0"/>
              <w:keepLines w:val="0"/>
              <w:suppressLineNumbers w:val="0"/>
              <w:adjustRightInd w:val="0"/>
              <w:snapToGrid w:val="0"/>
              <w:spacing w:before="0" w:beforeAutospacing="0" w:after="0" w:afterAutospacing="0" w:line="360" w:lineRule="auto"/>
              <w:ind w:left="0" w:right="0"/>
              <w:jc w:val="center"/>
              <w:rPr>
                <w:rFonts w:hint="default"/>
                <w:color w:val="auto"/>
                <w:sz w:val="21"/>
                <w:szCs w:val="21"/>
                <w:highlight w:val="none"/>
              </w:rPr>
            </w:pPr>
            <w:r>
              <w:rPr>
                <w:rFonts w:hint="default"/>
                <w:b/>
                <w:bCs/>
                <w:color w:val="auto"/>
                <w:sz w:val="21"/>
                <w:szCs w:val="21"/>
                <w:highlight w:val="none"/>
              </w:rPr>
              <w:t>图4-1 光伏发电区施工工艺流程及产污节点图</w:t>
            </w:r>
          </w:p>
          <w:p w14:paraId="592BFAE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（2）污染影响因素</w:t>
            </w:r>
          </w:p>
          <w:p w14:paraId="4C72FA0B">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b w:val="0"/>
                <w:bCs w:val="0"/>
                <w:color w:val="auto"/>
                <w:sz w:val="24"/>
                <w:szCs w:val="24"/>
                <w:highlight w:val="none"/>
                <w:shd w:val="clear" w:color="auto" w:fill="auto"/>
              </w:rPr>
              <w:t>项目施工期的污染影响因素如下表所示</w:t>
            </w:r>
            <w:r>
              <w:rPr>
                <w:rFonts w:hint="eastAsia"/>
                <w:color w:val="auto"/>
                <w:sz w:val="24"/>
                <w:highlight w:val="none"/>
                <w:shd w:val="clear" w:color="auto" w:fill="auto"/>
              </w:rPr>
              <w:t>：</w:t>
            </w:r>
          </w:p>
          <w:p w14:paraId="5F75ED99">
            <w:pPr>
              <w:keepNext w:val="0"/>
              <w:keepLines w:val="0"/>
              <w:suppressLineNumbers w:val="0"/>
              <w:shd w:val="clear"/>
              <w:adjustRightInd w:val="0"/>
              <w:spacing w:before="0" w:beforeAutospacing="0" w:after="0" w:afterAutospacing="0"/>
              <w:ind w:left="0" w:right="0" w:firstLine="422"/>
              <w:jc w:val="center"/>
              <w:rPr>
                <w:rFonts w:hint="default"/>
                <w:b/>
                <w:color w:val="auto"/>
                <w:szCs w:val="21"/>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w:t>
            </w:r>
            <w:r>
              <w:rPr>
                <w:rFonts w:hint="eastAsia"/>
                <w:b/>
                <w:color w:val="auto"/>
                <w:szCs w:val="21"/>
                <w:highlight w:val="none"/>
                <w:shd w:val="clear" w:color="auto" w:fill="auto"/>
              </w:rPr>
              <w:t>-1  施工期</w:t>
            </w:r>
            <w:r>
              <w:rPr>
                <w:rFonts w:hint="eastAsia"/>
                <w:b/>
                <w:bCs/>
                <w:color w:val="auto"/>
                <w:sz w:val="21"/>
                <w:szCs w:val="21"/>
                <w:highlight w:val="none"/>
                <w:shd w:val="clear" w:color="auto" w:fill="auto"/>
                <w:lang w:val="en-US" w:eastAsia="zh-CN"/>
              </w:rPr>
              <w:t>污染影响因素一览表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785"/>
              <w:gridCol w:w="2966"/>
              <w:gridCol w:w="1220"/>
            </w:tblGrid>
            <w:tr w14:paraId="0A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Align w:val="center"/>
                </w:tcPr>
                <w:p w14:paraId="4781BD86">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污染类别</w:t>
                  </w:r>
                </w:p>
              </w:tc>
              <w:tc>
                <w:tcPr>
                  <w:tcW w:w="1755" w:type="pct"/>
                  <w:vAlign w:val="center"/>
                </w:tcPr>
                <w:p w14:paraId="76F96B09">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污染源</w:t>
                  </w:r>
                </w:p>
              </w:tc>
              <w:tc>
                <w:tcPr>
                  <w:tcW w:w="1869" w:type="pct"/>
                  <w:vAlign w:val="center"/>
                </w:tcPr>
                <w:p w14:paraId="5FB8009A">
                  <w:pPr>
                    <w:keepNext w:val="0"/>
                    <w:keepLines w:val="0"/>
                    <w:suppressLineNumbers w:val="0"/>
                    <w:shd w:val="clear"/>
                    <w:adjustRightInd w:val="0"/>
                    <w:snapToGrid w:val="0"/>
                    <w:spacing w:before="0" w:beforeAutospacing="0" w:after="0" w:afterAutospacing="0"/>
                    <w:ind w:left="0" w:right="0"/>
                    <w:jc w:val="center"/>
                    <w:rPr>
                      <w:rFonts w:hint="default"/>
                      <w:b/>
                      <w:color w:val="auto"/>
                      <w:sz w:val="21"/>
                      <w:szCs w:val="21"/>
                      <w:highlight w:val="none"/>
                      <w:shd w:val="clear" w:color="auto" w:fill="auto"/>
                    </w:rPr>
                  </w:pPr>
                  <w:r>
                    <w:rPr>
                      <w:rFonts w:hint="eastAsia"/>
                      <w:b/>
                      <w:color w:val="auto"/>
                      <w:sz w:val="21"/>
                      <w:szCs w:val="21"/>
                      <w:highlight w:val="none"/>
                      <w:shd w:val="clear" w:color="auto" w:fill="auto"/>
                    </w:rPr>
                    <w:t>主要污染因子</w:t>
                  </w:r>
                </w:p>
              </w:tc>
              <w:tc>
                <w:tcPr>
                  <w:tcW w:w="769" w:type="pct"/>
                  <w:vAlign w:val="center"/>
                </w:tcPr>
                <w:p w14:paraId="170EB5F5">
                  <w:pPr>
                    <w:keepNext w:val="0"/>
                    <w:keepLines w:val="0"/>
                    <w:suppressLineNumbers w:val="0"/>
                    <w:shd w:val="clear"/>
                    <w:adjustRightInd w:val="0"/>
                    <w:snapToGrid w:val="0"/>
                    <w:spacing w:before="0" w:beforeAutospacing="0" w:after="0" w:afterAutospacing="0"/>
                    <w:ind w:left="0" w:right="0"/>
                    <w:jc w:val="center"/>
                    <w:rPr>
                      <w:rFonts w:hint="eastAsia"/>
                      <w:b/>
                      <w:color w:val="auto"/>
                      <w:sz w:val="21"/>
                      <w:szCs w:val="21"/>
                      <w:highlight w:val="none"/>
                      <w:shd w:val="clear" w:color="auto" w:fill="auto"/>
                    </w:rPr>
                  </w:pPr>
                  <w:r>
                    <w:rPr>
                      <w:rFonts w:hint="eastAsia"/>
                      <w:b/>
                      <w:bCs/>
                      <w:color w:val="auto"/>
                      <w:kern w:val="0"/>
                      <w:sz w:val="21"/>
                      <w:szCs w:val="21"/>
                      <w:highlight w:val="none"/>
                      <w:shd w:val="clear" w:color="auto" w:fill="auto"/>
                      <w:lang w:eastAsia="zh-CN"/>
                    </w:rPr>
                    <w:t>产生特征</w:t>
                  </w:r>
                </w:p>
              </w:tc>
            </w:tr>
            <w:tr w14:paraId="1D94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pct"/>
                  <w:vMerge w:val="restart"/>
                  <w:vAlign w:val="center"/>
                </w:tcPr>
                <w:p w14:paraId="14F245C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废气</w:t>
                  </w:r>
                </w:p>
              </w:tc>
              <w:tc>
                <w:tcPr>
                  <w:tcW w:w="1755" w:type="pct"/>
                  <w:vAlign w:val="center"/>
                </w:tcPr>
                <w:p w14:paraId="6569D048">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施工作业</w:t>
                  </w:r>
                  <w:r>
                    <w:rPr>
                      <w:rFonts w:hint="eastAsia"/>
                      <w:color w:val="auto"/>
                      <w:sz w:val="21"/>
                      <w:szCs w:val="21"/>
                      <w:highlight w:val="none"/>
                      <w:shd w:val="clear" w:color="auto" w:fill="auto"/>
                      <w:lang w:eastAsia="zh-CN"/>
                    </w:rPr>
                    <w:t>（</w:t>
                  </w:r>
                  <w:r>
                    <w:rPr>
                      <w:rFonts w:hint="eastAsia"/>
                      <w:color w:val="auto"/>
                      <w:kern w:val="0"/>
                      <w:sz w:val="21"/>
                      <w:szCs w:val="21"/>
                      <w:highlight w:val="none"/>
                      <w:shd w:val="clear" w:color="auto" w:fill="auto"/>
                    </w:rPr>
                    <w:t>地表清理、场地平整、基础开挖、配套设施建设、物料装卸及运输</w:t>
                  </w:r>
                  <w:r>
                    <w:rPr>
                      <w:rFonts w:hint="eastAsia"/>
                      <w:color w:val="auto"/>
                      <w:kern w:val="0"/>
                      <w:sz w:val="21"/>
                      <w:szCs w:val="21"/>
                      <w:highlight w:val="none"/>
                      <w:shd w:val="clear" w:color="auto" w:fill="auto"/>
                      <w:lang w:val="en-US" w:eastAsia="zh-CN"/>
                    </w:rPr>
                    <w:t>等</w:t>
                  </w:r>
                  <w:r>
                    <w:rPr>
                      <w:rFonts w:hint="eastAsia"/>
                      <w:color w:val="auto"/>
                      <w:sz w:val="21"/>
                      <w:szCs w:val="21"/>
                      <w:highlight w:val="none"/>
                      <w:shd w:val="clear" w:color="auto" w:fill="auto"/>
                      <w:lang w:eastAsia="zh-CN"/>
                    </w:rPr>
                    <w:t>）</w:t>
                  </w:r>
                </w:p>
              </w:tc>
              <w:tc>
                <w:tcPr>
                  <w:tcW w:w="1869" w:type="pct"/>
                  <w:vAlign w:val="center"/>
                </w:tcPr>
                <w:p w14:paraId="6FA55CFA">
                  <w:pPr>
                    <w:keepNext w:val="0"/>
                    <w:keepLines w:val="0"/>
                    <w:widowControl/>
                    <w:suppressLineNumbers w:val="0"/>
                    <w:shd w:val="clear"/>
                    <w:spacing w:before="0" w:beforeAutospacing="0" w:after="0" w:afterAutospacing="0"/>
                    <w:ind w:left="0" w:right="0"/>
                    <w:jc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扬尘</w:t>
                  </w:r>
                  <w:r>
                    <w:rPr>
                      <w:rFonts w:hint="eastAsia"/>
                      <w:color w:val="auto"/>
                      <w:sz w:val="21"/>
                      <w:szCs w:val="21"/>
                      <w:highlight w:val="none"/>
                      <w:shd w:val="clear" w:color="auto" w:fill="auto"/>
                      <w:lang w:eastAsia="zh-CN"/>
                    </w:rPr>
                    <w:t>（</w:t>
                  </w:r>
                  <w:r>
                    <w:rPr>
                      <w:rFonts w:hint="eastAsia"/>
                      <w:color w:val="auto"/>
                      <w:sz w:val="21"/>
                      <w:szCs w:val="21"/>
                      <w:highlight w:val="none"/>
                      <w:shd w:val="clear" w:color="auto" w:fill="auto"/>
                    </w:rPr>
                    <w:t>TSP</w:t>
                  </w:r>
                  <w:r>
                    <w:rPr>
                      <w:rFonts w:hint="eastAsia"/>
                      <w:color w:val="auto"/>
                      <w:sz w:val="21"/>
                      <w:szCs w:val="21"/>
                      <w:highlight w:val="none"/>
                      <w:shd w:val="clear" w:color="auto" w:fill="auto"/>
                      <w:lang w:eastAsia="zh-CN"/>
                    </w:rPr>
                    <w:t>）、</w:t>
                  </w:r>
                  <w:r>
                    <w:rPr>
                      <w:rFonts w:hint="eastAsia" w:ascii="宋体" w:hAnsi="宋体" w:eastAsia="宋体" w:cs="宋体"/>
                      <w:color w:val="auto"/>
                      <w:kern w:val="0"/>
                      <w:sz w:val="21"/>
                      <w:szCs w:val="21"/>
                      <w:highlight w:val="none"/>
                      <w:shd w:val="clear" w:color="auto" w:fill="auto"/>
                      <w:lang w:val="en-US" w:eastAsia="zh-CN" w:bidi="ar"/>
                    </w:rPr>
                    <w:t>焊接废气（烟尘、</w:t>
                  </w:r>
                  <w:r>
                    <w:rPr>
                      <w:rFonts w:hint="default" w:ascii="Times New Roman" w:hAnsi="Times New Roman" w:eastAsia="宋体" w:cs="Times New Roman"/>
                      <w:color w:val="auto"/>
                      <w:kern w:val="0"/>
                      <w:sz w:val="21"/>
                      <w:szCs w:val="21"/>
                      <w:highlight w:val="none"/>
                      <w:shd w:val="clear" w:color="auto" w:fill="auto"/>
                      <w:lang w:val="en-US" w:eastAsia="zh-CN" w:bidi="ar"/>
                    </w:rPr>
                    <w:t>NOx</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eastAsia" w:ascii="宋体" w:hAnsi="宋体" w:eastAsia="宋体" w:cs="宋体"/>
                      <w:color w:val="auto"/>
                      <w:kern w:val="0"/>
                      <w:sz w:val="21"/>
                      <w:szCs w:val="21"/>
                      <w:highlight w:val="none"/>
                      <w:shd w:val="clear" w:color="auto" w:fill="auto"/>
                      <w:lang w:val="en-US" w:eastAsia="zh-CN" w:bidi="ar"/>
                    </w:rPr>
                    <w:t>、</w:t>
                  </w:r>
                  <w:r>
                    <w:rPr>
                      <w:rFonts w:hint="default" w:ascii="Times New Roman" w:hAnsi="Times New Roman" w:eastAsia="宋体" w:cs="Times New Roman"/>
                      <w:color w:val="auto"/>
                      <w:kern w:val="0"/>
                      <w:sz w:val="21"/>
                      <w:szCs w:val="21"/>
                      <w:highlight w:val="none"/>
                      <w:shd w:val="clear" w:color="auto" w:fill="auto"/>
                      <w:lang w:val="en-US" w:eastAsia="zh-CN" w:bidi="ar"/>
                    </w:rPr>
                    <w:t>CO</w:t>
                  </w:r>
                  <w:r>
                    <w:rPr>
                      <w:rFonts w:hint="default" w:ascii="Times New Roman" w:hAnsi="Times New Roman" w:eastAsia="宋体" w:cs="Times New Roman"/>
                      <w:color w:val="auto"/>
                      <w:kern w:val="0"/>
                      <w:sz w:val="21"/>
                      <w:szCs w:val="21"/>
                      <w:highlight w:val="none"/>
                      <w:shd w:val="clear" w:color="auto" w:fill="auto"/>
                      <w:vertAlign w:val="subscript"/>
                      <w:lang w:val="en-US" w:eastAsia="zh-CN" w:bidi="ar"/>
                    </w:rPr>
                    <w:t>2</w:t>
                  </w:r>
                  <w:r>
                    <w:rPr>
                      <w:rFonts w:hint="eastAsia" w:ascii="宋体" w:hAnsi="宋体" w:eastAsia="宋体" w:cs="宋体"/>
                      <w:color w:val="auto"/>
                      <w:kern w:val="0"/>
                      <w:sz w:val="21"/>
                      <w:szCs w:val="21"/>
                      <w:highlight w:val="none"/>
                      <w:shd w:val="clear" w:color="auto" w:fill="auto"/>
                      <w:lang w:val="en-US" w:eastAsia="zh-CN" w:bidi="ar"/>
                    </w:rPr>
                    <w:t>及</w:t>
                  </w:r>
                  <w:r>
                    <w:rPr>
                      <w:rFonts w:hint="default" w:ascii="Times New Roman" w:hAnsi="Times New Roman" w:eastAsia="宋体" w:cs="Times New Roman"/>
                      <w:color w:val="auto"/>
                      <w:kern w:val="0"/>
                      <w:sz w:val="21"/>
                      <w:szCs w:val="21"/>
                      <w:highlight w:val="none"/>
                      <w:shd w:val="clear" w:color="auto" w:fill="auto"/>
                      <w:lang w:val="en-US" w:eastAsia="zh-CN" w:bidi="ar"/>
                    </w:rPr>
                    <w:t>CHx</w:t>
                  </w:r>
                  <w:r>
                    <w:rPr>
                      <w:rFonts w:hint="eastAsia" w:ascii="宋体" w:hAnsi="宋体" w:eastAsia="宋体" w:cs="宋体"/>
                      <w:color w:val="auto"/>
                      <w:kern w:val="0"/>
                      <w:sz w:val="21"/>
                      <w:szCs w:val="21"/>
                      <w:highlight w:val="none"/>
                      <w:shd w:val="clear" w:color="auto" w:fill="auto"/>
                      <w:lang w:val="en-US" w:eastAsia="zh-CN" w:bidi="ar"/>
                    </w:rPr>
                    <w:t>等）</w:t>
                  </w:r>
                </w:p>
              </w:tc>
              <w:tc>
                <w:tcPr>
                  <w:tcW w:w="769" w:type="pct"/>
                  <w:vAlign w:val="center"/>
                </w:tcPr>
                <w:p w14:paraId="047F393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5A5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076EDA29">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F08B1F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施工机械及运输车辆</w:t>
                  </w:r>
                </w:p>
              </w:tc>
              <w:tc>
                <w:tcPr>
                  <w:tcW w:w="1869" w:type="pct"/>
                  <w:vAlign w:val="center"/>
                </w:tcPr>
                <w:p w14:paraId="29639E5C">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机械废气</w:t>
                  </w:r>
                  <w:r>
                    <w:rPr>
                      <w:rFonts w:hint="eastAsia" w:ascii="宋体" w:hAnsi="宋体" w:eastAsia="宋体" w:cs="宋体"/>
                      <w:color w:val="auto"/>
                      <w:kern w:val="0"/>
                      <w:sz w:val="21"/>
                      <w:szCs w:val="21"/>
                      <w:highlight w:val="none"/>
                      <w:shd w:val="clear" w:color="auto" w:fill="auto"/>
                      <w:lang w:val="en-US" w:eastAsia="zh-CN" w:bidi="ar"/>
                    </w:rPr>
                    <w:t>（</w:t>
                  </w:r>
                  <w:r>
                    <w:rPr>
                      <w:rFonts w:hint="eastAsia"/>
                      <w:color w:val="auto"/>
                      <w:sz w:val="21"/>
                      <w:szCs w:val="21"/>
                      <w:highlight w:val="none"/>
                      <w:shd w:val="clear" w:color="auto" w:fill="auto"/>
                    </w:rPr>
                    <w:t>CO、NOx、烃类</w:t>
                  </w:r>
                  <w:r>
                    <w:rPr>
                      <w:rFonts w:hint="eastAsia" w:ascii="宋体" w:hAnsi="宋体" w:eastAsia="宋体" w:cs="宋体"/>
                      <w:color w:val="auto"/>
                      <w:kern w:val="0"/>
                      <w:sz w:val="21"/>
                      <w:szCs w:val="21"/>
                      <w:highlight w:val="none"/>
                      <w:shd w:val="clear" w:color="auto" w:fill="auto"/>
                      <w:lang w:val="en-US" w:eastAsia="zh-CN" w:bidi="ar"/>
                    </w:rPr>
                    <w:t>）</w:t>
                  </w:r>
                </w:p>
              </w:tc>
              <w:tc>
                <w:tcPr>
                  <w:tcW w:w="769" w:type="pct"/>
                  <w:vAlign w:val="center"/>
                </w:tcPr>
                <w:p w14:paraId="155D22F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间歇，无组织</w:t>
                  </w:r>
                </w:p>
              </w:tc>
            </w:tr>
            <w:tr w14:paraId="2090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vAlign w:val="center"/>
                </w:tcPr>
                <w:p w14:paraId="4EF76FF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废水</w:t>
                  </w:r>
                </w:p>
              </w:tc>
              <w:tc>
                <w:tcPr>
                  <w:tcW w:w="1755" w:type="pct"/>
                  <w:vAlign w:val="center"/>
                </w:tcPr>
                <w:p w14:paraId="4494BF45">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施工废水</w:t>
                  </w:r>
                </w:p>
              </w:tc>
              <w:tc>
                <w:tcPr>
                  <w:tcW w:w="1869" w:type="pct"/>
                  <w:vAlign w:val="center"/>
                </w:tcPr>
                <w:p w14:paraId="77968C1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lang w:val="en-US"/>
                    </w:rPr>
                  </w:pPr>
                  <w:r>
                    <w:rPr>
                      <w:rFonts w:hint="eastAsia"/>
                      <w:color w:val="auto"/>
                      <w:kern w:val="0"/>
                      <w:sz w:val="21"/>
                      <w:szCs w:val="21"/>
                      <w:highlight w:val="none"/>
                      <w:shd w:val="clear" w:color="auto" w:fill="auto"/>
                      <w:lang w:val="en-US" w:eastAsia="zh-CN"/>
                    </w:rPr>
                    <w:t>SS、石油类、pH</w:t>
                  </w:r>
                </w:p>
              </w:tc>
              <w:tc>
                <w:tcPr>
                  <w:tcW w:w="769" w:type="pct"/>
                  <w:vAlign w:val="center"/>
                </w:tcPr>
                <w:p w14:paraId="473DE65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794F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223743CB">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3374DAC0">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初期雨水</w:t>
                  </w:r>
                </w:p>
              </w:tc>
              <w:tc>
                <w:tcPr>
                  <w:tcW w:w="1869" w:type="pct"/>
                  <w:vAlign w:val="center"/>
                </w:tcPr>
                <w:p w14:paraId="7E9FA896">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rPr>
                    <w:t>SS</w:t>
                  </w:r>
                </w:p>
              </w:tc>
              <w:tc>
                <w:tcPr>
                  <w:tcW w:w="769" w:type="pct"/>
                  <w:vAlign w:val="center"/>
                </w:tcPr>
                <w:p w14:paraId="7C6AF4A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0A2B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vAlign w:val="center"/>
                </w:tcPr>
                <w:p w14:paraId="117DC5E3">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噪声</w:t>
                  </w:r>
                </w:p>
              </w:tc>
              <w:tc>
                <w:tcPr>
                  <w:tcW w:w="1755" w:type="pct"/>
                  <w:vAlign w:val="center"/>
                </w:tcPr>
                <w:p w14:paraId="71EA4E8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施工机械</w:t>
                  </w:r>
                </w:p>
              </w:tc>
              <w:tc>
                <w:tcPr>
                  <w:tcW w:w="1869" w:type="pct"/>
                  <w:vAlign w:val="center"/>
                </w:tcPr>
                <w:p w14:paraId="3C4DA7B7">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机械噪声</w:t>
                  </w:r>
                </w:p>
              </w:tc>
              <w:tc>
                <w:tcPr>
                  <w:tcW w:w="769" w:type="pct"/>
                  <w:vAlign w:val="center"/>
                </w:tcPr>
                <w:p w14:paraId="71C029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2481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52632424">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6B45FA70">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运输车辆</w:t>
                  </w:r>
                </w:p>
              </w:tc>
              <w:tc>
                <w:tcPr>
                  <w:tcW w:w="1869" w:type="pct"/>
                  <w:vAlign w:val="center"/>
                </w:tcPr>
                <w:p w14:paraId="115D4D3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交通噪声</w:t>
                  </w:r>
                </w:p>
              </w:tc>
              <w:tc>
                <w:tcPr>
                  <w:tcW w:w="769" w:type="pct"/>
                  <w:vAlign w:val="center"/>
                </w:tcPr>
                <w:p w14:paraId="2EEEA24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CCA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vAlign w:val="center"/>
                </w:tcPr>
                <w:p w14:paraId="2ABE9E96">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固废</w:t>
                  </w:r>
                </w:p>
              </w:tc>
              <w:tc>
                <w:tcPr>
                  <w:tcW w:w="1755" w:type="pct"/>
                  <w:vAlign w:val="center"/>
                </w:tcPr>
                <w:p w14:paraId="463912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场地平整及开挖</w:t>
                  </w:r>
                </w:p>
              </w:tc>
              <w:tc>
                <w:tcPr>
                  <w:tcW w:w="1869" w:type="pct"/>
                  <w:vAlign w:val="center"/>
                </w:tcPr>
                <w:p w14:paraId="097F8BB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土石方</w:t>
                  </w:r>
                </w:p>
              </w:tc>
              <w:tc>
                <w:tcPr>
                  <w:tcW w:w="769" w:type="pct"/>
                  <w:vAlign w:val="center"/>
                </w:tcPr>
                <w:p w14:paraId="23072C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43BF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22E94863">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p>
              </w:tc>
              <w:tc>
                <w:tcPr>
                  <w:tcW w:w="1755" w:type="pct"/>
                  <w:vAlign w:val="center"/>
                </w:tcPr>
                <w:p w14:paraId="5C049D5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土建</w:t>
                  </w:r>
                </w:p>
              </w:tc>
              <w:tc>
                <w:tcPr>
                  <w:tcW w:w="1869" w:type="pct"/>
                  <w:vAlign w:val="center"/>
                </w:tcPr>
                <w:p w14:paraId="07EA3AF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建筑垃圾</w:t>
                  </w:r>
                </w:p>
              </w:tc>
              <w:tc>
                <w:tcPr>
                  <w:tcW w:w="769" w:type="pct"/>
                  <w:vAlign w:val="center"/>
                </w:tcPr>
                <w:p w14:paraId="028DB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间歇</w:t>
                  </w:r>
                </w:p>
              </w:tc>
            </w:tr>
            <w:tr w14:paraId="636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18F5A12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5980F3BE">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设备安装</w:t>
                  </w:r>
                </w:p>
              </w:tc>
              <w:tc>
                <w:tcPr>
                  <w:tcW w:w="1869" w:type="pct"/>
                  <w:vAlign w:val="center"/>
                </w:tcPr>
                <w:p w14:paraId="37C3FBB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kern w:val="0"/>
                      <w:sz w:val="21"/>
                      <w:szCs w:val="21"/>
                      <w:highlight w:val="none"/>
                      <w:shd w:val="clear" w:color="auto" w:fill="auto"/>
                      <w:lang w:eastAsia="zh-CN"/>
                    </w:rPr>
                    <w:t>废弃设备零件</w:t>
                  </w:r>
                </w:p>
              </w:tc>
              <w:tc>
                <w:tcPr>
                  <w:tcW w:w="769" w:type="pct"/>
                  <w:vAlign w:val="center"/>
                </w:tcPr>
                <w:p w14:paraId="05F976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kern w:val="0"/>
                      <w:sz w:val="21"/>
                      <w:szCs w:val="21"/>
                      <w:highlight w:val="none"/>
                      <w:shd w:val="clear" w:color="auto" w:fill="auto"/>
                      <w:lang w:eastAsia="zh-CN"/>
                    </w:rPr>
                    <w:t>间歇</w:t>
                  </w:r>
                </w:p>
              </w:tc>
            </w:tr>
            <w:tr w14:paraId="10BF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679A672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p>
              </w:tc>
              <w:tc>
                <w:tcPr>
                  <w:tcW w:w="1755" w:type="pct"/>
                  <w:vAlign w:val="center"/>
                </w:tcPr>
                <w:p w14:paraId="74C078A1">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施工人员</w:t>
                  </w:r>
                </w:p>
              </w:tc>
              <w:tc>
                <w:tcPr>
                  <w:tcW w:w="1869" w:type="pct"/>
                  <w:vAlign w:val="center"/>
                </w:tcPr>
                <w:p w14:paraId="583C497A">
                  <w:pPr>
                    <w:keepNext w:val="0"/>
                    <w:keepLines w:val="0"/>
                    <w:suppressLineNumbers w:val="0"/>
                    <w:shd w:val="clear"/>
                    <w:adjustRightInd w:val="0"/>
                    <w:snapToGrid w:val="0"/>
                    <w:spacing w:before="0" w:beforeAutospacing="0" w:after="0" w:afterAutospacing="0"/>
                    <w:ind w:left="0" w:right="0"/>
                    <w:jc w:val="center"/>
                    <w:rPr>
                      <w:rFonts w:hint="default"/>
                      <w:color w:val="auto"/>
                      <w:sz w:val="21"/>
                      <w:szCs w:val="21"/>
                      <w:highlight w:val="none"/>
                      <w:shd w:val="clear" w:color="auto" w:fill="auto"/>
                    </w:rPr>
                  </w:pPr>
                  <w:r>
                    <w:rPr>
                      <w:rFonts w:hint="eastAsia"/>
                      <w:color w:val="auto"/>
                      <w:sz w:val="21"/>
                      <w:szCs w:val="21"/>
                      <w:highlight w:val="none"/>
                      <w:shd w:val="clear" w:color="auto" w:fill="auto"/>
                    </w:rPr>
                    <w:t>生活垃圾、粪便</w:t>
                  </w:r>
                </w:p>
              </w:tc>
              <w:tc>
                <w:tcPr>
                  <w:tcW w:w="769" w:type="pct"/>
                  <w:vAlign w:val="center"/>
                </w:tcPr>
                <w:p w14:paraId="2786D574">
                  <w:pPr>
                    <w:keepNext w:val="0"/>
                    <w:keepLines w:val="0"/>
                    <w:suppressLineNumbers w:val="0"/>
                    <w:shd w:val="clear"/>
                    <w:adjustRightInd w:val="0"/>
                    <w:snapToGrid w:val="0"/>
                    <w:spacing w:before="0" w:beforeAutospacing="0" w:after="0" w:afterAutospacing="0"/>
                    <w:ind w:left="0" w:right="0"/>
                    <w:jc w:val="center"/>
                    <w:rPr>
                      <w:rFonts w:hint="eastAsia"/>
                      <w:color w:val="auto"/>
                      <w:sz w:val="21"/>
                      <w:szCs w:val="21"/>
                      <w:highlight w:val="none"/>
                      <w:shd w:val="clear" w:color="auto" w:fill="auto"/>
                    </w:rPr>
                  </w:pPr>
                  <w:r>
                    <w:rPr>
                      <w:rFonts w:hint="eastAsia"/>
                      <w:color w:val="auto"/>
                      <w:kern w:val="0"/>
                      <w:sz w:val="21"/>
                      <w:szCs w:val="21"/>
                      <w:highlight w:val="none"/>
                      <w:shd w:val="clear" w:color="auto" w:fill="auto"/>
                      <w:lang w:eastAsia="zh-CN"/>
                    </w:rPr>
                    <w:t>间歇</w:t>
                  </w:r>
                </w:p>
              </w:tc>
            </w:tr>
          </w:tbl>
          <w:p w14:paraId="0CC46BF5">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eastAsia"/>
                <w:b/>
                <w:bCs/>
                <w:color w:val="auto"/>
                <w:sz w:val="24"/>
                <w:szCs w:val="24"/>
                <w:highlight w:val="none"/>
                <w:shd w:val="clear" w:color="auto" w:fill="auto"/>
              </w:rPr>
            </w:pPr>
            <w:r>
              <w:rPr>
                <w:rFonts w:hint="eastAsia"/>
                <w:b w:val="0"/>
                <w:bCs w:val="0"/>
                <w:color w:val="auto"/>
                <w:sz w:val="24"/>
                <w:szCs w:val="24"/>
                <w:highlight w:val="none"/>
                <w:shd w:val="clear" w:color="auto" w:fill="auto"/>
              </w:rPr>
              <w:t>项目施工期的</w:t>
            </w:r>
            <w:r>
              <w:rPr>
                <w:rFonts w:hint="eastAsia"/>
                <w:b w:val="0"/>
                <w:bCs w:val="0"/>
                <w:color w:val="auto"/>
                <w:sz w:val="24"/>
                <w:szCs w:val="24"/>
                <w:highlight w:val="none"/>
                <w:shd w:val="clear" w:color="auto" w:fill="auto"/>
                <w:lang w:eastAsia="zh-CN"/>
              </w:rPr>
              <w:t>生态</w:t>
            </w:r>
            <w:r>
              <w:rPr>
                <w:rFonts w:hint="eastAsia"/>
                <w:b w:val="0"/>
                <w:bCs w:val="0"/>
                <w:color w:val="auto"/>
                <w:sz w:val="24"/>
                <w:szCs w:val="24"/>
                <w:highlight w:val="none"/>
                <w:shd w:val="clear" w:color="auto" w:fill="auto"/>
              </w:rPr>
              <w:t>影响因素如下表所示。</w:t>
            </w:r>
          </w:p>
          <w:p w14:paraId="6755B2D1">
            <w:pPr>
              <w:keepNext w:val="0"/>
              <w:keepLines w:val="0"/>
              <w:suppressLineNumbers w:val="0"/>
              <w:shd w:val="clear"/>
              <w:adjustRightInd w:val="0"/>
              <w:snapToGrid w:val="0"/>
              <w:spacing w:before="0" w:beforeAutospacing="0" w:after="0" w:afterAutospacing="0" w:line="240" w:lineRule="auto"/>
              <w:ind w:left="0" w:right="0" w:firstLine="422" w:firstLineChars="200"/>
              <w:jc w:val="center"/>
              <w:rPr>
                <w:rFonts w:hint="eastAsia" w:eastAsia="宋体"/>
                <w:b/>
                <w:bCs/>
                <w:color w:val="auto"/>
                <w:sz w:val="21"/>
                <w:szCs w:val="21"/>
                <w:highlight w:val="none"/>
                <w:shd w:val="clear" w:color="auto" w:fill="auto"/>
                <w:lang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4-2  施工期生态影响因素一览表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4650"/>
              <w:gridCol w:w="1061"/>
            </w:tblGrid>
            <w:tr w14:paraId="2E24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pct"/>
                  <w:vAlign w:val="center"/>
                </w:tcPr>
                <w:p w14:paraId="3CD7EDB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项目建设活动</w:t>
                  </w:r>
                </w:p>
              </w:tc>
              <w:tc>
                <w:tcPr>
                  <w:tcW w:w="2931" w:type="pct"/>
                  <w:vAlign w:val="center"/>
                </w:tcPr>
                <w:p w14:paraId="79F3D23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生态影响因素</w:t>
                  </w:r>
                </w:p>
              </w:tc>
              <w:tc>
                <w:tcPr>
                  <w:tcW w:w="669" w:type="pct"/>
                  <w:vAlign w:val="center"/>
                </w:tcPr>
                <w:p w14:paraId="275B0F3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b/>
                      <w:bCs/>
                      <w:color w:val="auto"/>
                      <w:kern w:val="0"/>
                      <w:sz w:val="21"/>
                      <w:szCs w:val="21"/>
                      <w:highlight w:val="none"/>
                      <w:shd w:val="clear" w:color="auto" w:fill="auto"/>
                      <w:lang w:eastAsia="zh-CN"/>
                    </w:rPr>
                  </w:pPr>
                  <w:r>
                    <w:rPr>
                      <w:rFonts w:hint="eastAsia" w:eastAsia="宋体"/>
                      <w:b/>
                      <w:bCs/>
                      <w:color w:val="auto"/>
                      <w:kern w:val="0"/>
                      <w:sz w:val="21"/>
                      <w:szCs w:val="21"/>
                      <w:highlight w:val="none"/>
                      <w:shd w:val="clear" w:color="auto" w:fill="auto"/>
                      <w:lang w:eastAsia="zh-CN"/>
                    </w:rPr>
                    <w:t>影响因子</w:t>
                  </w:r>
                </w:p>
              </w:tc>
            </w:tr>
            <w:tr w14:paraId="37B1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pct"/>
                  <w:vAlign w:val="center"/>
                </w:tcPr>
                <w:p w14:paraId="6CE1C3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color w:val="auto"/>
                      <w:kern w:val="0"/>
                      <w:sz w:val="21"/>
                      <w:szCs w:val="21"/>
                      <w:highlight w:val="none"/>
                      <w:shd w:val="clear" w:color="auto" w:fill="auto"/>
                      <w:lang w:eastAsia="zh-CN"/>
                    </w:rPr>
                    <w:t>土建及土石方工程</w:t>
                  </w:r>
                </w:p>
              </w:tc>
              <w:tc>
                <w:tcPr>
                  <w:tcW w:w="2931" w:type="pct"/>
                  <w:vAlign w:val="center"/>
                </w:tcPr>
                <w:p w14:paraId="7D767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永久占用土地、改变土地利用现状功能；破坏地表植被</w:t>
                  </w:r>
                </w:p>
              </w:tc>
              <w:tc>
                <w:tcPr>
                  <w:tcW w:w="669" w:type="pct"/>
                  <w:vMerge w:val="restart"/>
                  <w:vAlign w:val="center"/>
                </w:tcPr>
                <w:p w14:paraId="37BB298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植被、植物、土地利用、动物、水土流失</w:t>
                  </w:r>
                </w:p>
              </w:tc>
            </w:tr>
            <w:tr w14:paraId="082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9" w:type="pct"/>
                  <w:vAlign w:val="center"/>
                </w:tcPr>
                <w:p w14:paraId="447DCE9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施工机械及施工车辆运输</w:t>
                  </w:r>
                </w:p>
              </w:tc>
              <w:tc>
                <w:tcPr>
                  <w:tcW w:w="2931" w:type="pct"/>
                  <w:vAlign w:val="center"/>
                </w:tcPr>
                <w:p w14:paraId="6E6D855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r>
                    <w:rPr>
                      <w:rFonts w:hint="eastAsia"/>
                      <w:color w:val="auto"/>
                      <w:kern w:val="0"/>
                      <w:sz w:val="21"/>
                      <w:szCs w:val="21"/>
                      <w:highlight w:val="none"/>
                      <w:shd w:val="clear" w:color="auto" w:fill="auto"/>
                    </w:rPr>
                    <w:t>对周围动物活动及栖息造成影响</w:t>
                  </w:r>
                </w:p>
              </w:tc>
              <w:tc>
                <w:tcPr>
                  <w:tcW w:w="669" w:type="pct"/>
                  <w:vMerge w:val="continue"/>
                  <w:vAlign w:val="center"/>
                </w:tcPr>
                <w:p w14:paraId="238C9A8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r w14:paraId="6347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99" w:type="pct"/>
                  <w:vAlign w:val="center"/>
                </w:tcPr>
                <w:p w14:paraId="008D47E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eastAsia" w:eastAsia="宋体"/>
                      <w:color w:val="auto"/>
                      <w:kern w:val="0"/>
                      <w:sz w:val="21"/>
                      <w:szCs w:val="21"/>
                      <w:highlight w:val="none"/>
                      <w:shd w:val="clear" w:color="auto" w:fill="auto"/>
                      <w:lang w:eastAsia="zh-CN"/>
                    </w:rPr>
                  </w:pPr>
                  <w:r>
                    <w:rPr>
                      <w:rFonts w:hint="eastAsia" w:eastAsia="宋体"/>
                      <w:color w:val="auto"/>
                      <w:kern w:val="0"/>
                      <w:sz w:val="21"/>
                      <w:szCs w:val="21"/>
                      <w:highlight w:val="none"/>
                      <w:shd w:val="clear" w:color="auto" w:fill="auto"/>
                      <w:lang w:eastAsia="zh-CN"/>
                    </w:rPr>
                    <w:t>施工临时占地</w:t>
                  </w:r>
                </w:p>
              </w:tc>
              <w:tc>
                <w:tcPr>
                  <w:tcW w:w="2931" w:type="pct"/>
                  <w:vAlign w:val="center"/>
                </w:tcPr>
                <w:p w14:paraId="6F8AE30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eastAsia="宋体"/>
                      <w:color w:val="auto"/>
                      <w:kern w:val="0"/>
                      <w:sz w:val="21"/>
                      <w:szCs w:val="21"/>
                      <w:highlight w:val="none"/>
                      <w:shd w:val="clear" w:color="auto" w:fill="auto"/>
                      <w:lang w:val="en-US" w:eastAsia="zh-CN"/>
                    </w:rPr>
                  </w:pPr>
                  <w:r>
                    <w:rPr>
                      <w:rFonts w:hint="default" w:eastAsia="宋体"/>
                      <w:color w:val="auto"/>
                      <w:kern w:val="0"/>
                      <w:sz w:val="21"/>
                      <w:szCs w:val="21"/>
                      <w:highlight w:val="none"/>
                      <w:shd w:val="clear" w:color="auto" w:fill="auto"/>
                      <w:lang w:val="en-US" w:eastAsia="zh-CN"/>
                    </w:rPr>
                    <w:t>临时占用土地，改变土地利用功能；破坏地表植被</w:t>
                  </w:r>
                </w:p>
              </w:tc>
              <w:tc>
                <w:tcPr>
                  <w:tcW w:w="669" w:type="pct"/>
                  <w:vMerge w:val="continue"/>
                  <w:vAlign w:val="center"/>
                </w:tcPr>
                <w:p w14:paraId="615C453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auto"/>
                      <w:kern w:val="0"/>
                      <w:sz w:val="21"/>
                      <w:szCs w:val="21"/>
                      <w:highlight w:val="none"/>
                      <w:shd w:val="clear" w:color="auto" w:fill="auto"/>
                    </w:rPr>
                  </w:pPr>
                </w:p>
              </w:tc>
            </w:tr>
          </w:tbl>
          <w:p w14:paraId="0CAF6E7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4.2施工期环境影响</w:t>
            </w:r>
          </w:p>
          <w:p w14:paraId="08CAA79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）施工期生态环境影响</w:t>
            </w:r>
          </w:p>
          <w:p w14:paraId="508387C0">
            <w:pPr>
              <w:keepNext w:val="0"/>
              <w:keepLines w:val="0"/>
              <w:suppressLineNumbers w:val="0"/>
              <w:shd w:val="clear"/>
              <w:spacing w:before="0" w:beforeAutospacing="0" w:after="0" w:afterAutospacing="0" w:line="360" w:lineRule="auto"/>
              <w:ind w:left="0" w:right="0" w:firstLine="480" w:firstLineChars="200"/>
              <w:rPr>
                <w:rFonts w:hint="default"/>
                <w:b w:val="0"/>
                <w:bCs w:val="0"/>
                <w:color w:val="auto"/>
                <w:sz w:val="24"/>
                <w:szCs w:val="24"/>
                <w:highlight w:val="none"/>
                <w:shd w:val="clear" w:color="auto" w:fill="auto"/>
              </w:rPr>
            </w:pPr>
            <w:r>
              <w:rPr>
                <w:rFonts w:hint="eastAsia"/>
                <w:b w:val="0"/>
                <w:bCs w:val="0"/>
                <w:color w:val="auto"/>
                <w:sz w:val="24"/>
                <w:szCs w:val="24"/>
                <w:highlight w:val="none"/>
                <w:shd w:val="clear" w:color="auto" w:fill="auto"/>
                <w:lang w:val="en-US" w:eastAsia="zh-CN"/>
              </w:rPr>
              <w:t>1）</w:t>
            </w:r>
            <w:r>
              <w:rPr>
                <w:rFonts w:hint="eastAsia"/>
                <w:b w:val="0"/>
                <w:bCs w:val="0"/>
                <w:color w:val="auto"/>
                <w:sz w:val="24"/>
                <w:szCs w:val="24"/>
                <w:highlight w:val="none"/>
                <w:shd w:val="clear" w:color="auto" w:fill="auto"/>
              </w:rPr>
              <w:t>对土地利用的影响</w:t>
            </w:r>
          </w:p>
          <w:p w14:paraId="5F52229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szCs w:val="24"/>
                <w:highlight w:val="none"/>
              </w:rPr>
            </w:pPr>
            <w:r>
              <w:rPr>
                <w:rFonts w:hint="eastAsia"/>
                <w:color w:val="auto"/>
                <w:sz w:val="24"/>
                <w:szCs w:val="24"/>
                <w:highlight w:val="none"/>
              </w:rPr>
              <w:t>根据项目总体布局，项目</w:t>
            </w:r>
            <w:r>
              <w:rPr>
                <w:rFonts w:hint="eastAsia"/>
                <w:color w:val="auto"/>
                <w:sz w:val="24"/>
                <w:szCs w:val="24"/>
                <w:highlight w:val="none"/>
                <w:lang w:val="en-US" w:eastAsia="zh-CN"/>
              </w:rPr>
              <w:t>总</w:t>
            </w:r>
            <w:r>
              <w:rPr>
                <w:rFonts w:hint="default"/>
                <w:color w:val="auto"/>
                <w:sz w:val="24"/>
                <w:szCs w:val="24"/>
                <w:highlight w:val="none"/>
              </w:rPr>
              <w:t>占地面积</w:t>
            </w:r>
            <w:r>
              <w:rPr>
                <w:rFonts w:hint="eastAsia"/>
                <w:color w:val="auto"/>
                <w:sz w:val="24"/>
                <w:szCs w:val="24"/>
                <w:highlight w:val="none"/>
                <w:lang w:val="en-US" w:eastAsia="zh-CN"/>
              </w:rPr>
              <w:t>69.76</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，按占地性质，永久占地</w:t>
            </w:r>
            <w:r>
              <w:rPr>
                <w:rFonts w:hint="eastAsia"/>
                <w:color w:val="auto"/>
                <w:sz w:val="24"/>
                <w:szCs w:val="24"/>
                <w:highlight w:val="none"/>
              </w:rPr>
              <w:t>0.0</w:t>
            </w:r>
            <w:r>
              <w:rPr>
                <w:rFonts w:hint="eastAsia"/>
                <w:color w:val="auto"/>
                <w:sz w:val="24"/>
                <w:szCs w:val="24"/>
                <w:highlight w:val="none"/>
                <w:lang w:val="en-US" w:eastAsia="zh-CN"/>
              </w:rPr>
              <w:t>5</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，临时占地</w:t>
            </w:r>
            <w:r>
              <w:rPr>
                <w:rFonts w:hint="eastAsia"/>
                <w:color w:val="auto"/>
                <w:sz w:val="24"/>
                <w:szCs w:val="24"/>
                <w:highlight w:val="none"/>
                <w:lang w:val="en-US" w:eastAsia="zh-CN"/>
              </w:rPr>
              <w:t>69.71</w:t>
            </w:r>
            <w:r>
              <w:rPr>
                <w:rFonts w:hint="default"/>
                <w:color w:val="auto"/>
                <w:sz w:val="24"/>
                <w:szCs w:val="24"/>
                <w:highlight w:val="none"/>
              </w:rPr>
              <w:t>hm</w:t>
            </w:r>
            <w:r>
              <w:rPr>
                <w:rFonts w:hint="default"/>
                <w:color w:val="auto"/>
                <w:sz w:val="24"/>
                <w:szCs w:val="24"/>
                <w:highlight w:val="none"/>
                <w:vertAlign w:val="superscript"/>
              </w:rPr>
              <w:t>2</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项目不占用基本农田及生态保护红线，</w:t>
            </w:r>
            <w:r>
              <w:rPr>
                <w:rFonts w:hint="eastAsia" w:ascii="Times New Roman" w:hAnsi="Times New Roman" w:eastAsia="宋体" w:cs="Times New Roman"/>
                <w:color w:val="auto"/>
                <w:kern w:val="0"/>
                <w:sz w:val="24"/>
                <w:szCs w:val="24"/>
                <w:highlight w:val="none"/>
                <w:lang w:val="en-US" w:eastAsia="zh-CN"/>
              </w:rPr>
              <w:t>涉及</w:t>
            </w:r>
            <w:r>
              <w:rPr>
                <w:rFonts w:hint="eastAsia" w:cs="Times New Roman"/>
                <w:color w:val="auto"/>
                <w:spacing w:val="0"/>
                <w:kern w:val="0"/>
                <w:sz w:val="24"/>
                <w:szCs w:val="24"/>
                <w:highlight w:val="none"/>
                <w:lang w:val="en-US" w:eastAsia="zh-CN"/>
              </w:rPr>
              <w:t>256032m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公益林，</w:t>
            </w:r>
            <w:r>
              <w:rPr>
                <w:rFonts w:hint="eastAsia" w:cs="Times New Roman"/>
                <w:color w:val="auto"/>
                <w:kern w:val="0"/>
                <w:sz w:val="24"/>
                <w:szCs w:val="24"/>
                <w:highlight w:val="none"/>
                <w:lang w:val="en-US" w:eastAsia="zh-CN"/>
              </w:rPr>
              <w:t>其中150</w:t>
            </w:r>
            <w:r>
              <w:rPr>
                <w:rFonts w:hint="eastAsia" w:ascii="Times New Roman" w:hAnsi="Times New Roman" w:eastAsia="宋体" w:cs="Times New Roman"/>
                <w:color w:val="auto"/>
                <w:kern w:val="0"/>
                <w:sz w:val="24"/>
                <w:szCs w:val="24"/>
                <w:highlight w:val="none"/>
                <w:lang w:eastAsia="zh-CN"/>
              </w:rPr>
              <w:t>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永久用地，为箱变占用；</w:t>
            </w:r>
            <w:r>
              <w:rPr>
                <w:rFonts w:hint="eastAsia"/>
                <w:color w:val="auto"/>
                <w:sz w:val="24"/>
                <w:szCs w:val="24"/>
                <w:highlight w:val="none"/>
                <w:lang w:val="en-US" w:eastAsia="zh-CN"/>
              </w:rPr>
              <w:t>国家级二级公益林123033</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cs="Times New Roman"/>
                <w:color w:val="auto"/>
                <w:spacing w:val="0"/>
                <w:kern w:val="0"/>
                <w:sz w:val="24"/>
                <w:szCs w:val="24"/>
                <w:highlight w:val="none"/>
                <w:vertAlign w:val="baseline"/>
                <w:lang w:val="en-US" w:eastAsia="zh-CN"/>
              </w:rPr>
              <w:t>、省级公益林85071</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cs="Times New Roman"/>
                <w:color w:val="auto"/>
                <w:spacing w:val="0"/>
                <w:kern w:val="0"/>
                <w:sz w:val="24"/>
                <w:szCs w:val="24"/>
                <w:highlight w:val="none"/>
                <w:vertAlign w:val="baseline"/>
                <w:lang w:val="en-US" w:eastAsia="zh-CN"/>
              </w:rPr>
              <w:t>、市级公益林64831</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ascii="Times New Roman" w:hAnsi="Times New Roman" w:eastAsia="宋体" w:cs="Times New Roman"/>
                <w:color w:val="auto"/>
                <w:kern w:val="0"/>
                <w:sz w:val="24"/>
                <w:szCs w:val="24"/>
                <w:highlight w:val="none"/>
                <w:lang w:val="en-US" w:eastAsia="zh-CN"/>
              </w:rPr>
              <w:t>为</w:t>
            </w:r>
            <w:r>
              <w:rPr>
                <w:rFonts w:hint="eastAsia" w:cs="Times New Roman"/>
                <w:color w:val="auto"/>
                <w:kern w:val="0"/>
                <w:sz w:val="24"/>
                <w:szCs w:val="24"/>
                <w:highlight w:val="none"/>
                <w:lang w:val="en-US" w:eastAsia="zh-CN"/>
              </w:rPr>
              <w:t>临时用地，为</w:t>
            </w:r>
            <w:r>
              <w:rPr>
                <w:rFonts w:hint="eastAsia" w:ascii="Times New Roman" w:hAnsi="Times New Roman" w:eastAsia="宋体" w:cs="Times New Roman"/>
                <w:color w:val="auto"/>
                <w:kern w:val="0"/>
                <w:sz w:val="24"/>
                <w:szCs w:val="24"/>
                <w:highlight w:val="none"/>
                <w:lang w:val="en-US" w:eastAsia="zh-CN"/>
              </w:rPr>
              <w:t>光伏组件占用。目前《</w:t>
            </w:r>
            <w:r>
              <w:rPr>
                <w:rFonts w:hint="eastAsia" w:cs="Times New Roman"/>
                <w:color w:val="auto"/>
                <w:sz w:val="24"/>
                <w:szCs w:val="24"/>
                <w:highlight w:val="none"/>
                <w:shd w:val="clear" w:color="auto" w:fill="auto"/>
                <w:lang w:val="en-US" w:eastAsia="zh-CN"/>
              </w:rPr>
              <w:t>梳山</w:t>
            </w:r>
            <w:r>
              <w:rPr>
                <w:rFonts w:hint="eastAsia" w:ascii="Times New Roman" w:hAnsi="Times New Roman" w:cs="Times New Roman"/>
                <w:color w:val="auto"/>
                <w:sz w:val="24"/>
                <w:szCs w:val="24"/>
                <w:highlight w:val="none"/>
                <w:shd w:val="clear" w:color="auto" w:fill="auto"/>
                <w:lang w:val="en-US" w:eastAsia="zh-CN"/>
              </w:rPr>
              <w:t>光伏发电项目</w:t>
            </w:r>
            <w:r>
              <w:rPr>
                <w:rFonts w:hint="eastAsia" w:ascii="Times New Roman" w:hAnsi="Times New Roman" w:eastAsia="宋体" w:cs="Times New Roman"/>
                <w:color w:val="auto"/>
                <w:kern w:val="0"/>
                <w:sz w:val="24"/>
                <w:szCs w:val="24"/>
                <w:highlight w:val="none"/>
                <w:lang w:val="en-US" w:eastAsia="zh-CN"/>
              </w:rPr>
              <w:t>使用林地可行性报告》正在</w:t>
            </w:r>
            <w:r>
              <w:rPr>
                <w:rFonts w:hint="eastAsia" w:cs="Times New Roman"/>
                <w:color w:val="auto"/>
                <w:kern w:val="0"/>
                <w:sz w:val="24"/>
                <w:szCs w:val="24"/>
                <w:highlight w:val="none"/>
                <w:lang w:val="en-US" w:eastAsia="zh-CN"/>
              </w:rPr>
              <w:t>送审</w:t>
            </w:r>
            <w:r>
              <w:rPr>
                <w:rFonts w:hint="eastAsia" w:ascii="Times New Roman" w:hAnsi="Times New Roman" w:eastAsia="宋体" w:cs="Times New Roman"/>
                <w:color w:val="auto"/>
                <w:kern w:val="0"/>
                <w:sz w:val="24"/>
                <w:szCs w:val="24"/>
                <w:highlight w:val="none"/>
                <w:lang w:val="en-US" w:eastAsia="zh-CN"/>
              </w:rPr>
              <w:t>中，建设单位承诺在取得准许使用林地手续后再进行涉及占用林地范围的工程内容施工。</w:t>
            </w:r>
          </w:p>
          <w:p w14:paraId="2C5ED91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lang w:eastAsia="zh-CN"/>
              </w:rPr>
              <w:t>项目用地范围主要</w:t>
            </w:r>
            <w:r>
              <w:rPr>
                <w:rFonts w:hint="eastAsia" w:ascii="Times New Roman" w:hAnsi="Times New Roman" w:cs="Times New Roman"/>
                <w:bCs/>
                <w:color w:val="auto"/>
                <w:sz w:val="24"/>
                <w:highlight w:val="none"/>
                <w:lang w:val="en-US" w:eastAsia="zh-CN"/>
              </w:rPr>
              <w:t>占评价区</w:t>
            </w:r>
            <w:r>
              <w:rPr>
                <w:rFonts w:hint="default" w:ascii="Times New Roman" w:hAnsi="Times New Roman" w:cs="Times New Roman"/>
                <w:bCs/>
                <w:color w:val="auto"/>
                <w:sz w:val="24"/>
                <w:highlight w:val="none"/>
                <w:lang w:eastAsia="zh-CN"/>
              </w:rPr>
              <w:t>的土地类型</w:t>
            </w:r>
            <w:r>
              <w:rPr>
                <w:rFonts w:hint="eastAsia" w:cs="Times New Roman"/>
                <w:bCs/>
                <w:color w:val="auto"/>
                <w:sz w:val="24"/>
                <w:highlight w:val="none"/>
                <w:lang w:val="en-US" w:eastAsia="zh-CN"/>
              </w:rPr>
              <w:t>情况见下表。</w:t>
            </w:r>
          </w:p>
          <w:p w14:paraId="52EA27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sz w:val="24"/>
                <w:highlight w:val="none"/>
                <w:lang w:val="en-US" w:eastAsia="zh-CN"/>
              </w:rPr>
            </w:pPr>
            <w:r>
              <w:rPr>
                <w:rFonts w:hint="eastAsia"/>
                <w:b/>
                <w:bCs/>
                <w:color w:val="auto"/>
                <w:sz w:val="21"/>
                <w:szCs w:val="21"/>
                <w:highlight w:val="none"/>
                <w:shd w:val="clear" w:color="auto" w:fill="auto"/>
                <w:lang w:eastAsia="zh-CN"/>
              </w:rPr>
              <w:t>表</w:t>
            </w:r>
            <w:r>
              <w:rPr>
                <w:rFonts w:hint="eastAsia"/>
                <w:b/>
                <w:bCs/>
                <w:color w:val="auto"/>
                <w:sz w:val="21"/>
                <w:szCs w:val="21"/>
                <w:highlight w:val="none"/>
                <w:shd w:val="clear" w:color="auto" w:fill="auto"/>
                <w:lang w:val="en-US" w:eastAsia="zh-CN"/>
              </w:rPr>
              <w:t>4-3  用地范围主要占评价区的土地类型情况</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390"/>
              <w:gridCol w:w="1241"/>
              <w:gridCol w:w="1828"/>
              <w:gridCol w:w="1491"/>
            </w:tblGrid>
            <w:tr w14:paraId="1EB8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8" w:type="pct"/>
                  <w:vMerge w:val="restart"/>
                  <w:vAlign w:val="center"/>
                </w:tcPr>
                <w:p w14:paraId="3738BE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占地类型</w:t>
                  </w:r>
                </w:p>
              </w:tc>
              <w:tc>
                <w:tcPr>
                  <w:tcW w:w="1658" w:type="pct"/>
                  <w:gridSpan w:val="2"/>
                  <w:vAlign w:val="center"/>
                </w:tcPr>
                <w:p w14:paraId="140866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项目区所占面积（hm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1152" w:type="pct"/>
                  <w:vMerge w:val="restart"/>
                  <w:vAlign w:val="center"/>
                </w:tcPr>
                <w:p w14:paraId="241A4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评价区范围面积（hm</w:t>
                  </w:r>
                  <w:r>
                    <w:rPr>
                      <w:rFonts w:hint="eastAsia" w:cs="Times New Roman"/>
                      <w:b/>
                      <w:bCs w:val="0"/>
                      <w:color w:val="auto"/>
                      <w:sz w:val="21"/>
                      <w:szCs w:val="21"/>
                      <w:highlight w:val="none"/>
                      <w:vertAlign w:val="superscript"/>
                      <w:lang w:val="en-US" w:eastAsia="zh-CN"/>
                    </w:rPr>
                    <w:t>2</w:t>
                  </w:r>
                  <w:r>
                    <w:rPr>
                      <w:rFonts w:hint="eastAsia" w:cs="Times New Roman"/>
                      <w:b/>
                      <w:bCs w:val="0"/>
                      <w:color w:val="auto"/>
                      <w:sz w:val="21"/>
                      <w:szCs w:val="21"/>
                      <w:highlight w:val="none"/>
                      <w:vertAlign w:val="baseline"/>
                      <w:lang w:val="en-US" w:eastAsia="zh-CN"/>
                    </w:rPr>
                    <w:t>）</w:t>
                  </w:r>
                </w:p>
              </w:tc>
              <w:tc>
                <w:tcPr>
                  <w:tcW w:w="939" w:type="pct"/>
                  <w:vMerge w:val="restart"/>
                  <w:vAlign w:val="center"/>
                </w:tcPr>
                <w:p w14:paraId="079DDE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比例（%）</w:t>
                  </w:r>
                </w:p>
              </w:tc>
            </w:tr>
            <w:tr w14:paraId="585B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8" w:type="pct"/>
                  <w:vMerge w:val="continue"/>
                  <w:vAlign w:val="center"/>
                </w:tcPr>
                <w:p w14:paraId="3AC89D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c>
                <w:tcPr>
                  <w:tcW w:w="876" w:type="pct"/>
                  <w:vAlign w:val="center"/>
                </w:tcPr>
                <w:p w14:paraId="23130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永久占地</w:t>
                  </w:r>
                </w:p>
              </w:tc>
              <w:tc>
                <w:tcPr>
                  <w:tcW w:w="782" w:type="pct"/>
                  <w:vAlign w:val="center"/>
                </w:tcPr>
                <w:p w14:paraId="653A2C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临时占地</w:t>
                  </w:r>
                </w:p>
              </w:tc>
              <w:tc>
                <w:tcPr>
                  <w:tcW w:w="1152" w:type="pct"/>
                  <w:vMerge w:val="continue"/>
                  <w:vAlign w:val="center"/>
                </w:tcPr>
                <w:p w14:paraId="0D04C7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c>
                <w:tcPr>
                  <w:tcW w:w="939" w:type="pct"/>
                  <w:vMerge w:val="continue"/>
                  <w:vAlign w:val="center"/>
                </w:tcPr>
                <w:p w14:paraId="4CA524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bCs w:val="0"/>
                      <w:color w:val="auto"/>
                      <w:sz w:val="21"/>
                      <w:szCs w:val="21"/>
                      <w:highlight w:val="none"/>
                      <w:vertAlign w:val="baseline"/>
                      <w:lang w:val="en-US" w:eastAsia="zh-CN"/>
                    </w:rPr>
                  </w:pPr>
                </w:p>
              </w:tc>
            </w:tr>
            <w:tr w14:paraId="7B8D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0750B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林地</w:t>
                  </w:r>
                </w:p>
              </w:tc>
              <w:tc>
                <w:tcPr>
                  <w:tcW w:w="876" w:type="pct"/>
                  <w:vAlign w:val="center"/>
                </w:tcPr>
                <w:p w14:paraId="1A3838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0.01</w:t>
                  </w:r>
                </w:p>
              </w:tc>
              <w:tc>
                <w:tcPr>
                  <w:tcW w:w="782" w:type="pct"/>
                  <w:vAlign w:val="center"/>
                </w:tcPr>
                <w:p w14:paraId="34456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28.02</w:t>
                  </w:r>
                </w:p>
              </w:tc>
              <w:tc>
                <w:tcPr>
                  <w:tcW w:w="1152" w:type="pct"/>
                  <w:vAlign w:val="center"/>
                </w:tcPr>
                <w:p w14:paraId="45A4D3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403.47</w:t>
                  </w:r>
                </w:p>
              </w:tc>
              <w:tc>
                <w:tcPr>
                  <w:tcW w:w="939" w:type="pct"/>
                  <w:vAlign w:val="center"/>
                </w:tcPr>
                <w:p w14:paraId="05DC3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6.95</w:t>
                  </w:r>
                </w:p>
              </w:tc>
            </w:tr>
            <w:tr w14:paraId="3F40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3401A6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其他草地</w:t>
                  </w:r>
                </w:p>
              </w:tc>
              <w:tc>
                <w:tcPr>
                  <w:tcW w:w="876" w:type="pct"/>
                  <w:vAlign w:val="center"/>
                </w:tcPr>
                <w:p w14:paraId="53F92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0.02</w:t>
                  </w:r>
                </w:p>
              </w:tc>
              <w:tc>
                <w:tcPr>
                  <w:tcW w:w="782" w:type="pct"/>
                  <w:vAlign w:val="center"/>
                </w:tcPr>
                <w:p w14:paraId="75B95B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41.41</w:t>
                  </w:r>
                </w:p>
              </w:tc>
              <w:tc>
                <w:tcPr>
                  <w:tcW w:w="1152" w:type="pct"/>
                  <w:vAlign w:val="center"/>
                </w:tcPr>
                <w:p w14:paraId="3B8799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97.58</w:t>
                  </w:r>
                </w:p>
              </w:tc>
              <w:tc>
                <w:tcPr>
                  <w:tcW w:w="939" w:type="pct"/>
                  <w:vAlign w:val="center"/>
                </w:tcPr>
                <w:p w14:paraId="399238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42.46</w:t>
                  </w:r>
                </w:p>
              </w:tc>
            </w:tr>
            <w:tr w14:paraId="0475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068843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交通运输用地</w:t>
                  </w:r>
                </w:p>
              </w:tc>
              <w:tc>
                <w:tcPr>
                  <w:tcW w:w="876" w:type="pct"/>
                  <w:vAlign w:val="center"/>
                </w:tcPr>
                <w:p w14:paraId="1693F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p>
              </w:tc>
              <w:tc>
                <w:tcPr>
                  <w:tcW w:w="782" w:type="pct"/>
                  <w:vAlign w:val="center"/>
                </w:tcPr>
                <w:p w14:paraId="1D776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0.28</w:t>
                  </w:r>
                </w:p>
              </w:tc>
              <w:tc>
                <w:tcPr>
                  <w:tcW w:w="1152" w:type="pct"/>
                  <w:vAlign w:val="center"/>
                </w:tcPr>
                <w:p w14:paraId="1F6C3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6.88</w:t>
                  </w:r>
                </w:p>
              </w:tc>
              <w:tc>
                <w:tcPr>
                  <w:tcW w:w="939" w:type="pct"/>
                  <w:vAlign w:val="center"/>
                </w:tcPr>
                <w:p w14:paraId="7A2754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4.00</w:t>
                  </w:r>
                </w:p>
              </w:tc>
            </w:tr>
            <w:tr w14:paraId="0809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56161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裸土地</w:t>
                  </w:r>
                </w:p>
              </w:tc>
              <w:tc>
                <w:tcPr>
                  <w:tcW w:w="876" w:type="pct"/>
                  <w:vAlign w:val="center"/>
                </w:tcPr>
                <w:p w14:paraId="2AE646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0.02</w:t>
                  </w:r>
                </w:p>
              </w:tc>
              <w:tc>
                <w:tcPr>
                  <w:tcW w:w="782" w:type="pct"/>
                  <w:vAlign w:val="center"/>
                </w:tcPr>
                <w:p w14:paraId="10401E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sz w:val="21"/>
                      <w:szCs w:val="21"/>
                      <w:highlight w:val="none"/>
                      <w:vertAlign w:val="baseline"/>
                      <w:lang w:val="en-US" w:eastAsia="zh-CN"/>
                    </w:rPr>
                  </w:pPr>
                </w:p>
              </w:tc>
              <w:tc>
                <w:tcPr>
                  <w:tcW w:w="1152" w:type="pct"/>
                  <w:vAlign w:val="center"/>
                </w:tcPr>
                <w:p w14:paraId="25821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0.08</w:t>
                  </w:r>
                </w:p>
              </w:tc>
              <w:tc>
                <w:tcPr>
                  <w:tcW w:w="939" w:type="pct"/>
                  <w:vAlign w:val="center"/>
                </w:tcPr>
                <w:p w14:paraId="3A25D9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25.00</w:t>
                  </w:r>
                </w:p>
              </w:tc>
            </w:tr>
          </w:tbl>
          <w:p w14:paraId="79DA267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color w:val="auto"/>
                <w:sz w:val="24"/>
                <w:highlight w:val="none"/>
                <w:shd w:val="clear" w:color="auto" w:fill="auto"/>
              </w:rPr>
            </w:pPr>
            <w:r>
              <w:rPr>
                <w:rFonts w:hint="eastAsia" w:cs="Times New Roman"/>
                <w:bCs/>
                <w:color w:val="auto"/>
                <w:sz w:val="24"/>
                <w:highlight w:val="none"/>
                <w:lang w:val="en-US" w:eastAsia="zh-CN"/>
              </w:rPr>
              <w:t>由上表可知，项目占地</w:t>
            </w:r>
            <w:r>
              <w:rPr>
                <w:rFonts w:hint="default" w:ascii="Times New Roman" w:hAnsi="Times New Roman" w:cs="Times New Roman"/>
                <w:bCs/>
                <w:color w:val="auto"/>
                <w:sz w:val="24"/>
                <w:highlight w:val="none"/>
                <w:lang w:eastAsia="zh-CN"/>
              </w:rPr>
              <w:t>以</w:t>
            </w:r>
            <w:r>
              <w:rPr>
                <w:rFonts w:hint="eastAsia"/>
                <w:color w:val="auto"/>
                <w:sz w:val="24"/>
                <w:szCs w:val="24"/>
                <w:highlight w:val="none"/>
                <w:lang w:val="en-US" w:eastAsia="zh-CN"/>
              </w:rPr>
              <w:t>其他草地</w:t>
            </w:r>
            <w:r>
              <w:rPr>
                <w:rFonts w:hint="default" w:ascii="Times New Roman" w:hAnsi="Times New Roman" w:cs="Times New Roman"/>
                <w:bCs/>
                <w:color w:val="auto"/>
                <w:sz w:val="24"/>
                <w:highlight w:val="none"/>
                <w:lang w:eastAsia="zh-CN"/>
              </w:rPr>
              <w:t>占绝对优势，</w:t>
            </w:r>
            <w:r>
              <w:rPr>
                <w:rFonts w:hint="eastAsia" w:cs="Times New Roman"/>
                <w:bCs/>
                <w:color w:val="auto"/>
                <w:sz w:val="24"/>
                <w:highlight w:val="none"/>
                <w:lang w:val="en-US" w:eastAsia="zh-CN"/>
              </w:rPr>
              <w:t>占项目区总用地面积的59.39%，占评价区内</w:t>
            </w:r>
            <w:r>
              <w:rPr>
                <w:rFonts w:hint="eastAsia"/>
                <w:color w:val="auto"/>
                <w:sz w:val="24"/>
                <w:szCs w:val="24"/>
                <w:highlight w:val="none"/>
                <w:lang w:val="en-US" w:eastAsia="zh-CN"/>
              </w:rPr>
              <w:t>其他草地</w:t>
            </w:r>
            <w:r>
              <w:rPr>
                <w:rFonts w:hint="eastAsia" w:cs="Times New Roman"/>
                <w:bCs/>
                <w:color w:val="auto"/>
                <w:sz w:val="24"/>
                <w:highlight w:val="none"/>
                <w:lang w:val="en-US" w:eastAsia="zh-CN"/>
              </w:rPr>
              <w:t>比例42.46</w:t>
            </w:r>
            <w:r>
              <w:rPr>
                <w:rFonts w:hint="default" w:ascii="Times New Roman" w:hAnsi="Times New Roman" w:cs="Times New Roman"/>
                <w:bCs/>
                <w:color w:val="auto"/>
                <w:sz w:val="24"/>
                <w:highlight w:val="none"/>
                <w:lang w:val="en-US" w:eastAsia="zh-CN"/>
              </w:rPr>
              <w:t>%</w:t>
            </w:r>
            <w:r>
              <w:rPr>
                <w:rFonts w:hint="eastAsia" w:ascii="Times New Roman" w:hAnsi="Times New Roman" w:cs="Times New Roman"/>
                <w:bCs/>
                <w:color w:val="auto"/>
                <w:sz w:val="24"/>
                <w:highlight w:val="none"/>
                <w:lang w:eastAsia="zh-CN"/>
              </w:rPr>
              <w:t>，</w:t>
            </w:r>
            <w:r>
              <w:rPr>
                <w:rFonts w:hint="eastAsia" w:cs="Times New Roman"/>
                <w:bCs/>
                <w:color w:val="auto"/>
                <w:sz w:val="24"/>
                <w:highlight w:val="none"/>
                <w:lang w:val="en-US" w:eastAsia="zh-CN"/>
              </w:rPr>
              <w:t>其余占用地类面积都很小</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根据现场调查，本项目规划用地中部分</w:t>
            </w:r>
            <w:r>
              <w:rPr>
                <w:rFonts w:hint="eastAsia" w:ascii="Times New Roman" w:hAnsi="Times New Roman" w:cs="Times New Roman"/>
                <w:bCs/>
                <w:color w:val="auto"/>
                <w:sz w:val="24"/>
                <w:highlight w:val="none"/>
                <w:lang w:val="en-US" w:eastAsia="zh-CN"/>
              </w:rPr>
              <w:t>坡</w:t>
            </w:r>
            <w:r>
              <w:rPr>
                <w:rFonts w:hint="default" w:ascii="Times New Roman" w:hAnsi="Times New Roman" w:cs="Times New Roman"/>
                <w:bCs/>
                <w:color w:val="auto"/>
                <w:sz w:val="24"/>
                <w:highlight w:val="none"/>
              </w:rPr>
              <w:t>地</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较分散和朝向不佳</w:t>
            </w:r>
            <w:r>
              <w:rPr>
                <w:rFonts w:hint="default" w:ascii="Times New Roman" w:hAnsi="Times New Roman" w:cs="Times New Roman"/>
                <w:bCs/>
                <w:color w:val="auto"/>
                <w:sz w:val="24"/>
                <w:highlight w:val="none"/>
              </w:rPr>
              <w:t>等区域不适合布设光伏发电板，可研设计光伏方阵时已避开此类区域，减轻对其生态影响。项目</w:t>
            </w:r>
            <w:r>
              <w:rPr>
                <w:rFonts w:hint="eastAsia" w:cs="Times New Roman"/>
                <w:bCs/>
                <w:color w:val="auto"/>
                <w:sz w:val="24"/>
                <w:highlight w:val="none"/>
                <w:lang w:eastAsia="zh-CN"/>
              </w:rPr>
              <w:t>占地类型为林地、其他草地、交通运输用地、裸土地，</w:t>
            </w:r>
            <w:r>
              <w:rPr>
                <w:rFonts w:hint="eastAsia"/>
                <w:color w:val="auto"/>
                <w:sz w:val="24"/>
                <w:szCs w:val="24"/>
                <w:highlight w:val="none"/>
              </w:rPr>
              <w:t>永久占地</w:t>
            </w:r>
            <w:r>
              <w:rPr>
                <w:rFonts w:hint="eastAsia"/>
                <w:color w:val="auto"/>
                <w:sz w:val="24"/>
                <w:szCs w:val="24"/>
                <w:highlight w:val="none"/>
                <w:lang w:val="en-US" w:eastAsia="zh-CN"/>
              </w:rPr>
              <w:t>0.05</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rPr>
              <w:t>，临时占地</w:t>
            </w:r>
            <w:r>
              <w:rPr>
                <w:rFonts w:hint="eastAsia"/>
                <w:color w:val="auto"/>
                <w:sz w:val="24"/>
                <w:szCs w:val="24"/>
                <w:highlight w:val="none"/>
                <w:lang w:val="en-US" w:eastAsia="zh-CN"/>
              </w:rPr>
              <w:t>69.71</w:t>
            </w:r>
            <w:r>
              <w:rPr>
                <w:rFonts w:hint="default"/>
                <w:color w:val="auto"/>
                <w:sz w:val="24"/>
                <w:szCs w:val="24"/>
                <w:highlight w:val="none"/>
              </w:rPr>
              <w:t>hm</w:t>
            </w:r>
            <w:r>
              <w:rPr>
                <w:rFonts w:hint="default"/>
                <w:color w:val="auto"/>
                <w:sz w:val="24"/>
                <w:szCs w:val="24"/>
                <w:highlight w:val="none"/>
                <w:vertAlign w:val="superscript"/>
              </w:rPr>
              <w:t>2</w:t>
            </w:r>
            <w:r>
              <w:rPr>
                <w:rFonts w:hint="eastAsia"/>
                <w:color w:val="auto"/>
                <w:sz w:val="24"/>
                <w:szCs w:val="24"/>
                <w:highlight w:val="none"/>
                <w:lang w:eastAsia="zh-CN"/>
              </w:rPr>
              <w:t>。</w:t>
            </w:r>
            <w:r>
              <w:rPr>
                <w:rFonts w:hint="default" w:ascii="Times New Roman" w:hAnsi="Times New Roman" w:cs="Times New Roman"/>
                <w:bCs/>
                <w:color w:val="auto"/>
                <w:sz w:val="24"/>
                <w:highlight w:val="none"/>
              </w:rPr>
              <w:t>永久用地将改变占地的原有土地性质，变为</w:t>
            </w:r>
            <w:r>
              <w:rPr>
                <w:rFonts w:hint="eastAsia" w:cs="Times New Roman"/>
                <w:bCs/>
                <w:color w:val="auto"/>
                <w:sz w:val="24"/>
                <w:highlight w:val="none"/>
                <w:lang w:eastAsia="zh-CN"/>
              </w:rPr>
              <w:t>建设用地</w:t>
            </w:r>
            <w:r>
              <w:rPr>
                <w:rFonts w:hint="default" w:ascii="Times New Roman" w:hAnsi="Times New Roman" w:cs="Times New Roman"/>
                <w:bCs/>
                <w:color w:val="auto"/>
                <w:sz w:val="24"/>
                <w:highlight w:val="none"/>
              </w:rPr>
              <w:t>，</w:t>
            </w:r>
            <w:r>
              <w:rPr>
                <w:rFonts w:hint="default"/>
                <w:color w:val="auto"/>
                <w:sz w:val="24"/>
                <w:szCs w:val="24"/>
                <w:highlight w:val="none"/>
              </w:rPr>
              <w:t>项目光伏区施工过程中，需要开挖桩基，将对占用范围内的</w:t>
            </w:r>
            <w:r>
              <w:rPr>
                <w:rFonts w:hint="eastAsia"/>
                <w:color w:val="auto"/>
                <w:sz w:val="24"/>
                <w:szCs w:val="24"/>
                <w:highlight w:val="none"/>
                <w:lang w:eastAsia="zh-CN"/>
              </w:rPr>
              <w:t>其他草地</w:t>
            </w:r>
            <w:r>
              <w:rPr>
                <w:rFonts w:hint="eastAsia"/>
                <w:color w:val="auto"/>
                <w:sz w:val="24"/>
                <w:szCs w:val="24"/>
                <w:highlight w:val="none"/>
                <w:lang w:val="en-US" w:eastAsia="zh-CN"/>
              </w:rPr>
              <w:t>、</w:t>
            </w:r>
            <w:r>
              <w:rPr>
                <w:rFonts w:hint="eastAsia"/>
                <w:color w:val="auto"/>
                <w:kern w:val="0"/>
                <w:sz w:val="24"/>
                <w:szCs w:val="24"/>
                <w:highlight w:val="none"/>
                <w:lang w:val="en-US" w:eastAsia="zh-CN" w:bidi="ar"/>
              </w:rPr>
              <w:t>林地</w:t>
            </w:r>
            <w:r>
              <w:rPr>
                <w:rFonts w:hint="eastAsia"/>
                <w:color w:val="auto"/>
                <w:kern w:val="0"/>
                <w:sz w:val="24"/>
                <w:szCs w:val="24"/>
                <w:highlight w:val="none"/>
                <w:lang w:bidi="ar"/>
              </w:rPr>
              <w:t>、</w:t>
            </w:r>
            <w:r>
              <w:rPr>
                <w:rFonts w:hint="eastAsia"/>
                <w:color w:val="auto"/>
                <w:kern w:val="0"/>
                <w:sz w:val="24"/>
                <w:szCs w:val="24"/>
                <w:highlight w:val="none"/>
                <w:lang w:eastAsia="zh-CN" w:bidi="ar"/>
              </w:rPr>
              <w:t>交通设施用地</w:t>
            </w:r>
            <w:r>
              <w:rPr>
                <w:rFonts w:hint="default"/>
                <w:color w:val="auto"/>
                <w:sz w:val="24"/>
                <w:szCs w:val="24"/>
                <w:highlight w:val="none"/>
              </w:rPr>
              <w:t>等造成临时破坏影响，施工结束后除桩基等占地外，其他区域根据用地性质进行植被恢复</w:t>
            </w:r>
            <w:r>
              <w:rPr>
                <w:rFonts w:hint="default" w:ascii="Times New Roman" w:hAnsi="Times New Roman" w:cs="Times New Roman"/>
                <w:bCs/>
                <w:color w:val="auto"/>
                <w:sz w:val="24"/>
                <w:highlight w:val="none"/>
              </w:rPr>
              <w:t>。根据现场实地勘察及查阅资料，项目用地不占用永久基本农田，对当地的农业生产影响较小。项目建成后在光伏发电系统之间的空地上、光伏板下等区域</w:t>
            </w:r>
            <w:r>
              <w:rPr>
                <w:rFonts w:hint="eastAsia" w:ascii="Times New Roman" w:hAnsi="Times New Roman" w:cs="Times New Roman"/>
                <w:bCs/>
                <w:color w:val="auto"/>
                <w:sz w:val="24"/>
                <w:highlight w:val="none"/>
                <w:lang w:val="en-US" w:eastAsia="zh-CN"/>
              </w:rPr>
              <w:t>进行林草植被恢复</w:t>
            </w:r>
            <w:r>
              <w:rPr>
                <w:rFonts w:hint="default" w:ascii="Times New Roman" w:hAnsi="Times New Roman" w:cs="Times New Roman"/>
                <w:bCs/>
                <w:color w:val="auto"/>
                <w:sz w:val="24"/>
                <w:highlight w:val="none"/>
              </w:rPr>
              <w:t>，采取上述措施后对土地利用的影响较小。</w:t>
            </w:r>
          </w:p>
          <w:p w14:paraId="656224F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rPr>
            </w:pPr>
            <w:r>
              <w:rPr>
                <w:rFonts w:hint="eastAsia"/>
                <w:bCs/>
                <w:color w:val="auto"/>
                <w:sz w:val="24"/>
                <w:highlight w:val="none"/>
                <w:shd w:val="clear" w:color="auto" w:fill="auto"/>
                <w:lang w:val="en-US" w:eastAsia="zh-CN"/>
              </w:rPr>
              <w:t>2</w:t>
            </w:r>
            <w:r>
              <w:rPr>
                <w:rFonts w:hint="eastAsia"/>
                <w:bCs/>
                <w:color w:val="auto"/>
                <w:sz w:val="24"/>
                <w:highlight w:val="none"/>
                <w:shd w:val="clear" w:color="auto" w:fill="auto"/>
              </w:rPr>
              <w:t>）对植被和植物的影响分析</w:t>
            </w:r>
          </w:p>
          <w:p w14:paraId="1E0C0A82">
            <w:pPr>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rPr>
            </w:pPr>
            <w:r>
              <w:rPr>
                <w:rFonts w:hint="default"/>
                <w:color w:val="auto"/>
                <w:sz w:val="24"/>
                <w:szCs w:val="24"/>
                <w:highlight w:val="none"/>
              </w:rPr>
              <w:t>本</w:t>
            </w:r>
            <w:r>
              <w:rPr>
                <w:rFonts w:hint="eastAsia"/>
                <w:color w:val="auto"/>
                <w:sz w:val="24"/>
                <w:szCs w:val="24"/>
                <w:highlight w:val="none"/>
                <w:lang w:eastAsia="zh-CN"/>
              </w:rPr>
              <w:t>项目</w:t>
            </w:r>
            <w:r>
              <w:rPr>
                <w:rFonts w:hint="eastAsia"/>
                <w:color w:val="auto"/>
                <w:sz w:val="24"/>
                <w:szCs w:val="24"/>
                <w:highlight w:val="none"/>
              </w:rPr>
              <w:t>规划</w:t>
            </w:r>
            <w:r>
              <w:rPr>
                <w:rFonts w:hint="default"/>
                <w:color w:val="auto"/>
                <w:sz w:val="24"/>
                <w:szCs w:val="24"/>
                <w:highlight w:val="none"/>
              </w:rPr>
              <w:t>占地</w:t>
            </w:r>
            <w:r>
              <w:rPr>
                <w:rFonts w:hint="eastAsia"/>
                <w:color w:val="auto"/>
                <w:sz w:val="24"/>
                <w:szCs w:val="24"/>
                <w:highlight w:val="none"/>
                <w:lang w:val="en-US" w:eastAsia="zh-CN"/>
              </w:rPr>
              <w:t>69.76</w:t>
            </w:r>
            <w:r>
              <w:rPr>
                <w:rFonts w:hint="default"/>
                <w:color w:val="auto"/>
                <w:sz w:val="24"/>
                <w:szCs w:val="24"/>
                <w:highlight w:val="none"/>
              </w:rPr>
              <w:t>hm</w:t>
            </w:r>
            <w:r>
              <w:rPr>
                <w:rFonts w:hint="default"/>
                <w:color w:val="auto"/>
                <w:sz w:val="24"/>
                <w:szCs w:val="24"/>
                <w:highlight w:val="none"/>
                <w:vertAlign w:val="superscript"/>
              </w:rPr>
              <w:t>2</w:t>
            </w:r>
            <w:r>
              <w:rPr>
                <w:rFonts w:hint="default"/>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受本项目建设影响的植被主要为自然植被和人工植被两类，植被类型为自然植被主要为暖性石灰岩灌丛、</w:t>
            </w:r>
            <w:r>
              <w:rPr>
                <w:rFonts w:hint="eastAsia" w:cs="Times New Roman"/>
                <w:color w:val="auto"/>
                <w:sz w:val="24"/>
                <w:szCs w:val="24"/>
                <w:highlight w:val="none"/>
                <w:lang w:val="en-US" w:eastAsia="zh-CN"/>
              </w:rPr>
              <w:t>暖性针叶林、</w:t>
            </w:r>
            <w:r>
              <w:rPr>
                <w:rFonts w:hint="default" w:ascii="Times New Roman" w:hAnsi="Times New Roman" w:eastAsia="宋体" w:cs="Times New Roman"/>
                <w:color w:val="auto"/>
                <w:sz w:val="24"/>
                <w:szCs w:val="24"/>
                <w:highlight w:val="none"/>
                <w:lang w:val="en-US" w:eastAsia="zh-CN"/>
              </w:rPr>
              <w:t>暖温性稀树灌木草丛</w:t>
            </w:r>
            <w:r>
              <w:rPr>
                <w:rFonts w:hint="eastAsia" w:cs="Times New Roman"/>
                <w:color w:val="auto"/>
                <w:sz w:val="24"/>
                <w:szCs w:val="24"/>
                <w:highlight w:val="none"/>
                <w:lang w:val="en-US" w:eastAsia="zh-CN"/>
              </w:rPr>
              <w:t>、落叶阔叶林、</w:t>
            </w:r>
            <w:r>
              <w:rPr>
                <w:rFonts w:hint="default"/>
                <w:color w:val="auto"/>
                <w:sz w:val="24"/>
                <w:szCs w:val="24"/>
                <w:highlight w:val="none"/>
              </w:rPr>
              <w:t>（见表</w:t>
            </w:r>
            <w:bookmarkStart w:id="23" w:name="_Hlk94369808"/>
            <w:r>
              <w:rPr>
                <w:rFonts w:hint="eastAsia"/>
                <w:color w:val="auto"/>
                <w:sz w:val="24"/>
                <w:szCs w:val="24"/>
                <w:highlight w:val="none"/>
                <w:lang w:val="en-US" w:eastAsia="zh-CN"/>
              </w:rPr>
              <w:t>4</w:t>
            </w:r>
            <w:r>
              <w:rPr>
                <w:rFonts w:hint="default"/>
                <w:color w:val="auto"/>
                <w:sz w:val="24"/>
                <w:szCs w:val="24"/>
                <w:highlight w:val="none"/>
              </w:rPr>
              <w:t>-</w:t>
            </w:r>
            <w:bookmarkEnd w:id="23"/>
            <w:r>
              <w:rPr>
                <w:rFonts w:hint="eastAsia"/>
                <w:color w:val="auto"/>
                <w:sz w:val="24"/>
                <w:szCs w:val="24"/>
                <w:highlight w:val="none"/>
                <w:lang w:val="en-US" w:eastAsia="zh-CN"/>
              </w:rPr>
              <w:t>4</w:t>
            </w:r>
            <w:r>
              <w:rPr>
                <w:rFonts w:hint="default"/>
                <w:color w:val="auto"/>
                <w:sz w:val="24"/>
                <w:szCs w:val="24"/>
                <w:highlight w:val="none"/>
              </w:rPr>
              <w:t>）</w:t>
            </w:r>
            <w:r>
              <w:rPr>
                <w:rFonts w:hint="default" w:ascii="Times New Roman" w:hAnsi="Times New Roman" w:eastAsia="宋体" w:cs="Times New Roman"/>
                <w:color w:val="auto"/>
                <w:sz w:val="24"/>
                <w:szCs w:val="24"/>
                <w:highlight w:val="none"/>
                <w:lang w:val="en-US" w:eastAsia="zh-CN"/>
              </w:rPr>
              <w:t>。该植被类型为区域常见植被类型，受区域气候条件影响，该植被类型较为稳定，但较大程度</w:t>
            </w:r>
            <w:r>
              <w:rPr>
                <w:rFonts w:hint="eastAsia" w:cs="Times New Roman"/>
                <w:color w:val="auto"/>
                <w:sz w:val="24"/>
                <w:szCs w:val="24"/>
                <w:highlight w:val="none"/>
                <w:lang w:val="en-US" w:eastAsia="zh-CN"/>
              </w:rPr>
              <w:t>受</w:t>
            </w:r>
            <w:r>
              <w:rPr>
                <w:rFonts w:hint="default" w:ascii="Times New Roman" w:hAnsi="Times New Roman" w:eastAsia="宋体" w:cs="Times New Roman"/>
                <w:color w:val="auto"/>
                <w:sz w:val="24"/>
                <w:szCs w:val="24"/>
                <w:highlight w:val="none"/>
                <w:lang w:val="en-US" w:eastAsia="zh-CN"/>
              </w:rPr>
              <w:t>区域人为活动影响，也呈现明显的次生化。该植被类型在植物物种多样性等方面较森林植被低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受季节变化影响较大，项目建设对该植被类型的占用不会对当地植被总体造成很大影响。</w:t>
            </w:r>
          </w:p>
          <w:p w14:paraId="5D54C0D6">
            <w:pPr>
              <w:keepNext w:val="0"/>
              <w:keepLines w:val="0"/>
              <w:suppressLineNumbers w:val="0"/>
              <w:spacing w:before="0" w:beforeAutospacing="0" w:after="0" w:afterAutospacing="0"/>
              <w:ind w:left="0" w:right="0" w:firstLine="482"/>
              <w:jc w:val="center"/>
              <w:rPr>
                <w:rFonts w:hint="default"/>
                <w:b/>
                <w:bCs/>
                <w:color w:val="auto"/>
                <w:sz w:val="21"/>
                <w:szCs w:val="21"/>
                <w:highlight w:val="none"/>
              </w:rPr>
            </w:pPr>
            <w:r>
              <w:rPr>
                <w:rFonts w:hint="eastAsia"/>
                <w:b/>
                <w:bCs/>
                <w:color w:val="auto"/>
                <w:sz w:val="21"/>
                <w:szCs w:val="21"/>
                <w:highlight w:val="none"/>
              </w:rPr>
              <w:t>表</w:t>
            </w:r>
            <w:r>
              <w:rPr>
                <w:rFonts w:hint="eastAsia"/>
                <w:b/>
                <w:bCs/>
                <w:color w:val="auto"/>
                <w:sz w:val="21"/>
                <w:szCs w:val="21"/>
                <w:highlight w:val="none"/>
                <w:lang w:val="en-US" w:eastAsia="zh-CN"/>
              </w:rPr>
              <w:t>4</w:t>
            </w:r>
            <w:r>
              <w:rPr>
                <w:rFonts w:hint="default"/>
                <w:b/>
                <w:bCs/>
                <w:color w:val="auto"/>
                <w:sz w:val="21"/>
                <w:szCs w:val="21"/>
                <w:highlight w:val="none"/>
              </w:rPr>
              <w:t>-</w:t>
            </w:r>
            <w:r>
              <w:rPr>
                <w:rFonts w:hint="eastAsia"/>
                <w:b/>
                <w:bCs/>
                <w:color w:val="auto"/>
                <w:sz w:val="21"/>
                <w:szCs w:val="21"/>
                <w:highlight w:val="none"/>
                <w:lang w:val="en-US" w:eastAsia="zh-CN"/>
              </w:rPr>
              <w:t>4</w:t>
            </w:r>
            <w:r>
              <w:rPr>
                <w:rFonts w:hint="default"/>
                <w:b/>
                <w:bCs/>
                <w:color w:val="auto"/>
                <w:sz w:val="21"/>
                <w:szCs w:val="21"/>
                <w:highlight w:val="none"/>
              </w:rPr>
              <w:t xml:space="preserve">  </w:t>
            </w:r>
            <w:r>
              <w:rPr>
                <w:rFonts w:hint="eastAsia"/>
                <w:b/>
                <w:bCs/>
                <w:color w:val="auto"/>
                <w:sz w:val="21"/>
                <w:szCs w:val="21"/>
                <w:highlight w:val="none"/>
              </w:rPr>
              <w:t>工程占地影响植被类型统计表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54"/>
              <w:gridCol w:w="1905"/>
              <w:gridCol w:w="1472"/>
              <w:gridCol w:w="1422"/>
            </w:tblGrid>
            <w:tr w14:paraId="5572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5" w:type="pct"/>
                  <w:gridSpan w:val="2"/>
                  <w:noWrap/>
                  <w:vAlign w:val="center"/>
                </w:tcPr>
                <w:p w14:paraId="44A35346">
                  <w:pPr>
                    <w:keepNext w:val="0"/>
                    <w:keepLines w:val="0"/>
                    <w:widowControl/>
                    <w:suppressLineNumbers w:val="0"/>
                    <w:spacing w:before="0" w:beforeAutospacing="0" w:after="0" w:afterAutospacing="0"/>
                    <w:ind w:left="0" w:right="0" w:firstLine="442"/>
                    <w:jc w:val="center"/>
                    <w:rPr>
                      <w:rFonts w:hint="default"/>
                      <w:b/>
                      <w:bCs/>
                      <w:color w:val="auto"/>
                      <w:kern w:val="0"/>
                      <w:szCs w:val="21"/>
                      <w:highlight w:val="none"/>
                    </w:rPr>
                  </w:pPr>
                  <w:r>
                    <w:rPr>
                      <w:rFonts w:hint="default"/>
                      <w:b/>
                      <w:bCs/>
                      <w:color w:val="auto"/>
                      <w:kern w:val="0"/>
                      <w:szCs w:val="21"/>
                      <w:highlight w:val="none"/>
                    </w:rPr>
                    <w:t>评价区植被类型</w:t>
                  </w:r>
                </w:p>
              </w:tc>
              <w:tc>
                <w:tcPr>
                  <w:tcW w:w="1200" w:type="pct"/>
                  <w:noWrap/>
                  <w:vAlign w:val="center"/>
                </w:tcPr>
                <w:p w14:paraId="3EA28332">
                  <w:pPr>
                    <w:keepNext w:val="0"/>
                    <w:keepLines w:val="0"/>
                    <w:widowControl/>
                    <w:suppressLineNumbers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评价区面积（hm</w:t>
                  </w:r>
                  <w:r>
                    <w:rPr>
                      <w:rFonts w:hint="default"/>
                      <w:b/>
                      <w:bCs/>
                      <w:color w:val="auto"/>
                      <w:kern w:val="0"/>
                      <w:szCs w:val="21"/>
                      <w:highlight w:val="none"/>
                      <w:vertAlign w:val="superscript"/>
                    </w:rPr>
                    <w:t>2</w:t>
                  </w:r>
                  <w:r>
                    <w:rPr>
                      <w:rFonts w:hint="default"/>
                      <w:b/>
                      <w:bCs/>
                      <w:color w:val="auto"/>
                      <w:kern w:val="0"/>
                      <w:szCs w:val="21"/>
                      <w:highlight w:val="none"/>
                    </w:rPr>
                    <w:t>）</w:t>
                  </w:r>
                </w:p>
              </w:tc>
              <w:tc>
                <w:tcPr>
                  <w:tcW w:w="927" w:type="pct"/>
                  <w:noWrap w:val="0"/>
                  <w:vAlign w:val="center"/>
                </w:tcPr>
                <w:p w14:paraId="0ADF878A">
                  <w:pPr>
                    <w:keepNext w:val="0"/>
                    <w:keepLines w:val="0"/>
                    <w:widowControl/>
                    <w:suppressLineNumbers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highlight w:val="none"/>
                    </w:rPr>
                    <w:t>工程占地面积（hm</w:t>
                  </w:r>
                  <w:r>
                    <w:rPr>
                      <w:rFonts w:hint="default"/>
                      <w:b/>
                      <w:bCs/>
                      <w:color w:val="auto"/>
                      <w:kern w:val="0"/>
                      <w:szCs w:val="21"/>
                      <w:highlight w:val="none"/>
                      <w:vertAlign w:val="superscript"/>
                    </w:rPr>
                    <w:t>2</w:t>
                  </w:r>
                  <w:r>
                    <w:rPr>
                      <w:rFonts w:hint="default"/>
                      <w:b/>
                      <w:bCs/>
                      <w:color w:val="auto"/>
                      <w:kern w:val="0"/>
                      <w:szCs w:val="21"/>
                      <w:highlight w:val="none"/>
                    </w:rPr>
                    <w:t>）</w:t>
                  </w:r>
                </w:p>
              </w:tc>
              <w:tc>
                <w:tcPr>
                  <w:tcW w:w="896" w:type="pct"/>
                  <w:noWrap/>
                  <w:vAlign w:val="center"/>
                </w:tcPr>
                <w:p w14:paraId="05D95A69">
                  <w:pPr>
                    <w:keepNext w:val="0"/>
                    <w:keepLines w:val="0"/>
                    <w:widowControl/>
                    <w:suppressLineNumbers w:val="0"/>
                    <w:spacing w:before="0" w:beforeAutospacing="0" w:after="0" w:afterAutospacing="0"/>
                    <w:ind w:left="0" w:right="0"/>
                    <w:jc w:val="center"/>
                    <w:rPr>
                      <w:rFonts w:hint="default"/>
                      <w:b/>
                      <w:bCs/>
                      <w:color w:val="auto"/>
                      <w:kern w:val="0"/>
                      <w:szCs w:val="21"/>
                      <w:highlight w:val="none"/>
                    </w:rPr>
                  </w:pPr>
                  <w:r>
                    <w:rPr>
                      <w:rFonts w:hint="default"/>
                      <w:b/>
                      <w:bCs/>
                      <w:color w:val="auto"/>
                      <w:kern w:val="0"/>
                      <w:szCs w:val="21"/>
                    </w:rPr>
                    <w:t>工程占地比例（%）</w:t>
                  </w:r>
                </w:p>
              </w:tc>
            </w:tr>
            <w:tr w14:paraId="219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28A22D0E">
                  <w:pPr>
                    <w:keepNext w:val="0"/>
                    <w:keepLines w:val="0"/>
                    <w:widowControl/>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自然植被</w:t>
                  </w:r>
                </w:p>
              </w:tc>
              <w:tc>
                <w:tcPr>
                  <w:tcW w:w="1231" w:type="pct"/>
                  <w:noWrap/>
                  <w:vAlign w:val="center"/>
                </w:tcPr>
                <w:p w14:paraId="107325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桤木</w:t>
                  </w:r>
                  <w:r>
                    <w:rPr>
                      <w:rFonts w:hint="default" w:ascii="Times New Roman" w:hAnsi="Times New Roman" w:eastAsia="宋体" w:cs="Times New Roman"/>
                      <w:color w:val="auto"/>
                      <w:kern w:val="0"/>
                      <w:sz w:val="21"/>
                      <w:szCs w:val="21"/>
                      <w:highlight w:val="none"/>
                      <w:lang w:val="en-US" w:eastAsia="zh-CN" w:bidi="ar"/>
                    </w:rPr>
                    <w:t>林</w:t>
                  </w:r>
                </w:p>
              </w:tc>
              <w:tc>
                <w:tcPr>
                  <w:tcW w:w="1200" w:type="pct"/>
                  <w:noWrap/>
                  <w:vAlign w:val="center"/>
                </w:tcPr>
                <w:p w14:paraId="69510C5B">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1472" w:type="dxa"/>
                  <w:noWrap w:val="0"/>
                  <w:vAlign w:val="bottom"/>
                </w:tcPr>
                <w:p w14:paraId="2F29390F">
                  <w:pPr>
                    <w:keepNext w:val="0"/>
                    <w:keepLines w:val="0"/>
                    <w:widowControl/>
                    <w:suppressLineNumbers w:val="0"/>
                    <w:spacing w:before="0" w:beforeAutospacing="0" w:after="0" w:afterAutospacing="0"/>
                    <w:ind w:left="0" w:leftChars="0" w:right="0" w:rightChars="0"/>
                    <w:jc w:val="center"/>
                    <w:rPr>
                      <w:rFonts w:hint="default"/>
                      <w:color w:val="auto"/>
                      <w:szCs w:val="21"/>
                      <w:highlight w:val="none"/>
                    </w:rPr>
                  </w:pPr>
                  <w:r>
                    <w:rPr>
                      <w:rFonts w:hint="eastAsia" w:cs="Times New Roman"/>
                      <w:i w:val="0"/>
                      <w:iCs w:val="0"/>
                      <w:color w:val="auto"/>
                      <w:kern w:val="0"/>
                      <w:sz w:val="21"/>
                      <w:szCs w:val="21"/>
                      <w:highlight w:val="none"/>
                      <w:u w:val="none"/>
                      <w:lang w:val="en-US" w:eastAsia="zh-CN" w:bidi="ar"/>
                    </w:rPr>
                    <w:t>1.99</w:t>
                  </w:r>
                </w:p>
              </w:tc>
              <w:tc>
                <w:tcPr>
                  <w:tcW w:w="1422" w:type="dxa"/>
                  <w:noWrap/>
                  <w:vAlign w:val="center"/>
                </w:tcPr>
                <w:p w14:paraId="19FAE8FC">
                  <w:pPr>
                    <w:keepNext w:val="0"/>
                    <w:keepLines w:val="0"/>
                    <w:widowControl/>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0.8</w:t>
                  </w:r>
                </w:p>
              </w:tc>
            </w:tr>
            <w:tr w14:paraId="6A33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ign w:val="center"/>
                </w:tcPr>
                <w:p w14:paraId="4779BBDA">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1231" w:type="pct"/>
                  <w:noWrap/>
                  <w:vAlign w:val="center"/>
                </w:tcPr>
                <w:p w14:paraId="565957B0">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cs="宋体"/>
                      <w:color w:val="auto"/>
                      <w:sz w:val="21"/>
                      <w:szCs w:val="21"/>
                      <w:highlight w:val="none"/>
                      <w:lang w:bidi="ar"/>
                    </w:rPr>
                    <w:t>暖温性针叶林</w:t>
                  </w:r>
                </w:p>
              </w:tc>
              <w:tc>
                <w:tcPr>
                  <w:tcW w:w="1200" w:type="pct"/>
                  <w:noWrap/>
                  <w:vAlign w:val="center"/>
                </w:tcPr>
                <w:p w14:paraId="313A1550">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265.62</w:t>
                  </w:r>
                </w:p>
              </w:tc>
              <w:tc>
                <w:tcPr>
                  <w:tcW w:w="927" w:type="pct"/>
                  <w:noWrap w:val="0"/>
                  <w:vAlign w:val="bottom"/>
                </w:tcPr>
                <w:p w14:paraId="2FB8FD83">
                  <w:pPr>
                    <w:keepNext w:val="0"/>
                    <w:keepLines w:val="0"/>
                    <w:widowControl/>
                    <w:suppressLineNumbers w:val="0"/>
                    <w:spacing w:before="0" w:beforeAutospacing="0" w:after="0" w:afterAutospacing="0"/>
                    <w:ind w:left="0" w:right="0"/>
                    <w:jc w:val="center"/>
                    <w:rPr>
                      <w:rFonts w:hint="default" w:cs="Times New Roman"/>
                      <w:i w:val="0"/>
                      <w:iCs w:val="0"/>
                      <w:color w:val="auto"/>
                      <w:kern w:val="0"/>
                      <w:sz w:val="21"/>
                      <w:szCs w:val="21"/>
                      <w:highlight w:val="none"/>
                      <w:u w:val="none"/>
                      <w:lang w:val="en-US" w:eastAsia="zh-CN" w:bidi="ar"/>
                    </w:rPr>
                  </w:pPr>
                </w:p>
              </w:tc>
              <w:tc>
                <w:tcPr>
                  <w:tcW w:w="896" w:type="pct"/>
                  <w:noWrap/>
                  <w:vAlign w:val="center"/>
                </w:tcPr>
                <w:p w14:paraId="081E11B5">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p>
              </w:tc>
            </w:tr>
            <w:tr w14:paraId="09D4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44" w:type="pct"/>
                  <w:vMerge w:val="continue"/>
                  <w:noWrap w:val="0"/>
                  <w:vAlign w:val="center"/>
                </w:tcPr>
                <w:p w14:paraId="570AD8D7">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1" w:type="pct"/>
                  <w:noWrap/>
                  <w:vAlign w:val="center"/>
                </w:tcPr>
                <w:p w14:paraId="4D8407F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Times New Roman" w:hAnsi="Times New Roman" w:eastAsia="宋体" w:cs="Times New Roman"/>
                      <w:bCs/>
                      <w:color w:val="auto"/>
                      <w:sz w:val="21"/>
                      <w:szCs w:val="21"/>
                      <w:highlight w:val="none"/>
                      <w:vertAlign w:val="baseline"/>
                      <w:lang w:val="en-US" w:eastAsia="zh-CN"/>
                    </w:rPr>
                    <w:t>暖性石灰岩灌丛</w:t>
                  </w:r>
                </w:p>
              </w:tc>
              <w:tc>
                <w:tcPr>
                  <w:tcW w:w="1200" w:type="pct"/>
                  <w:noWrap/>
                  <w:vAlign w:val="center"/>
                </w:tcPr>
                <w:p w14:paraId="61E4066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136.49</w:t>
                  </w:r>
                </w:p>
              </w:tc>
              <w:tc>
                <w:tcPr>
                  <w:tcW w:w="927" w:type="pct"/>
                  <w:noWrap w:val="0"/>
                  <w:vAlign w:val="bottom"/>
                </w:tcPr>
                <w:p w14:paraId="6E02DF18">
                  <w:pPr>
                    <w:keepNext w:val="0"/>
                    <w:keepLines w:val="0"/>
                    <w:widowControl/>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26.04</w:t>
                  </w:r>
                </w:p>
              </w:tc>
              <w:tc>
                <w:tcPr>
                  <w:tcW w:w="896" w:type="pct"/>
                  <w:noWrap/>
                  <w:vAlign w:val="center"/>
                </w:tcPr>
                <w:p w14:paraId="324A8699">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26.68</w:t>
                  </w:r>
                </w:p>
              </w:tc>
            </w:tr>
            <w:tr w14:paraId="5712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3666AB66">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1" w:type="pct"/>
                  <w:noWrap/>
                  <w:vAlign w:val="center"/>
                </w:tcPr>
                <w:p w14:paraId="79B2984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暖温性稀树灌木草丛</w:t>
                  </w:r>
                </w:p>
              </w:tc>
              <w:tc>
                <w:tcPr>
                  <w:tcW w:w="1200" w:type="pct"/>
                  <w:noWrap/>
                  <w:vAlign w:val="center"/>
                </w:tcPr>
                <w:p w14:paraId="54021552">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97.58</w:t>
                  </w:r>
                </w:p>
              </w:tc>
              <w:tc>
                <w:tcPr>
                  <w:tcW w:w="1472" w:type="dxa"/>
                  <w:noWrap w:val="0"/>
                  <w:vAlign w:val="center"/>
                </w:tcPr>
                <w:p w14:paraId="2CD2F2E3">
                  <w:pPr>
                    <w:keepNext w:val="0"/>
                    <w:keepLines w:val="0"/>
                    <w:widowControl/>
                    <w:suppressLineNumbers w:val="0"/>
                    <w:spacing w:before="0" w:beforeAutospacing="0" w:after="0" w:afterAutospacing="0"/>
                    <w:ind w:left="0" w:leftChars="0" w:right="0" w:rightChars="0"/>
                    <w:jc w:val="center"/>
                    <w:rPr>
                      <w:rFonts w:hint="default" w:eastAsia="宋体"/>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41.43</w:t>
                  </w:r>
                </w:p>
              </w:tc>
              <w:tc>
                <w:tcPr>
                  <w:tcW w:w="1422" w:type="dxa"/>
                  <w:noWrap/>
                  <w:vAlign w:val="center"/>
                </w:tcPr>
                <w:p w14:paraId="3F224516">
                  <w:pPr>
                    <w:keepNext w:val="0"/>
                    <w:keepLines w:val="0"/>
                    <w:widowControl/>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30.35</w:t>
                  </w:r>
                </w:p>
              </w:tc>
            </w:tr>
            <w:tr w14:paraId="1865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44" w:type="pct"/>
                  <w:vMerge w:val="restart"/>
                  <w:noWrap/>
                  <w:vAlign w:val="center"/>
                </w:tcPr>
                <w:p w14:paraId="59883128">
                  <w:pPr>
                    <w:keepNext w:val="0"/>
                    <w:keepLines w:val="0"/>
                    <w:widowControl/>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人工植被</w:t>
                  </w:r>
                </w:p>
              </w:tc>
              <w:tc>
                <w:tcPr>
                  <w:tcW w:w="1231" w:type="pct"/>
                  <w:noWrap/>
                  <w:vAlign w:val="center"/>
                </w:tcPr>
                <w:p w14:paraId="2032B398">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旱地</w:t>
                  </w:r>
                </w:p>
              </w:tc>
              <w:tc>
                <w:tcPr>
                  <w:tcW w:w="1905" w:type="dxa"/>
                  <w:noWrap/>
                  <w:vAlign w:val="center"/>
                </w:tcPr>
                <w:p w14:paraId="7BD8E401">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95.39</w:t>
                  </w:r>
                </w:p>
              </w:tc>
              <w:tc>
                <w:tcPr>
                  <w:tcW w:w="927" w:type="pct"/>
                  <w:noWrap w:val="0"/>
                  <w:vAlign w:val="bottom"/>
                </w:tcPr>
                <w:p w14:paraId="40D56C75">
                  <w:pPr>
                    <w:keepNext w:val="0"/>
                    <w:keepLines w:val="0"/>
                    <w:widowControl/>
                    <w:suppressLineNumbers w:val="0"/>
                    <w:spacing w:before="0" w:beforeAutospacing="0" w:after="0" w:afterAutospacing="0"/>
                    <w:ind w:left="0" w:right="0"/>
                    <w:jc w:val="center"/>
                    <w:rPr>
                      <w:rFonts w:hint="default"/>
                      <w:color w:val="auto"/>
                      <w:szCs w:val="21"/>
                      <w:highlight w:val="none"/>
                    </w:rPr>
                  </w:pPr>
                </w:p>
              </w:tc>
              <w:tc>
                <w:tcPr>
                  <w:tcW w:w="896" w:type="pct"/>
                  <w:noWrap/>
                  <w:vAlign w:val="center"/>
                </w:tcPr>
                <w:p w14:paraId="508D84FA">
                  <w:pPr>
                    <w:keepNext w:val="0"/>
                    <w:keepLines w:val="0"/>
                    <w:widowControl/>
                    <w:suppressLineNumbers w:val="0"/>
                    <w:spacing w:before="0" w:beforeAutospacing="0" w:after="0" w:afterAutospacing="0"/>
                    <w:ind w:left="0" w:right="0"/>
                    <w:jc w:val="center"/>
                    <w:rPr>
                      <w:rFonts w:hint="eastAsia"/>
                      <w:color w:val="auto"/>
                      <w:szCs w:val="21"/>
                      <w:highlight w:val="none"/>
                      <w:lang w:val="en-US" w:eastAsia="zh-CN"/>
                    </w:rPr>
                  </w:pPr>
                </w:p>
              </w:tc>
            </w:tr>
            <w:tr w14:paraId="01E9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2F3DCEAC">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1" w:type="pct"/>
                  <w:noWrap/>
                  <w:vAlign w:val="center"/>
                </w:tcPr>
                <w:p w14:paraId="4B502495">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园地</w:t>
                  </w:r>
                </w:p>
              </w:tc>
              <w:tc>
                <w:tcPr>
                  <w:tcW w:w="1905" w:type="dxa"/>
                  <w:noWrap/>
                  <w:vAlign w:val="center"/>
                </w:tcPr>
                <w:p w14:paraId="5701B3C1">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2.88</w:t>
                  </w:r>
                </w:p>
              </w:tc>
              <w:tc>
                <w:tcPr>
                  <w:tcW w:w="927" w:type="pct"/>
                  <w:noWrap w:val="0"/>
                  <w:vAlign w:val="bottom"/>
                </w:tcPr>
                <w:p w14:paraId="0BF594B9">
                  <w:pPr>
                    <w:keepNext w:val="0"/>
                    <w:keepLines w:val="0"/>
                    <w:widowControl/>
                    <w:suppressLineNumbers w:val="0"/>
                    <w:spacing w:before="0" w:beforeAutospacing="0" w:after="0" w:afterAutospacing="0"/>
                    <w:ind w:left="0" w:right="0"/>
                    <w:jc w:val="center"/>
                    <w:rPr>
                      <w:rFonts w:hint="default"/>
                      <w:color w:val="auto"/>
                      <w:szCs w:val="21"/>
                      <w:highlight w:val="none"/>
                    </w:rPr>
                  </w:pPr>
                </w:p>
              </w:tc>
              <w:tc>
                <w:tcPr>
                  <w:tcW w:w="896" w:type="pct"/>
                  <w:noWrap/>
                  <w:vAlign w:val="center"/>
                </w:tcPr>
                <w:p w14:paraId="2113E432">
                  <w:pPr>
                    <w:keepNext w:val="0"/>
                    <w:keepLines w:val="0"/>
                    <w:widowControl/>
                    <w:suppressLineNumbers w:val="0"/>
                    <w:spacing w:before="0" w:beforeAutospacing="0" w:after="0" w:afterAutospacing="0"/>
                    <w:ind w:left="0" w:right="0"/>
                    <w:jc w:val="center"/>
                    <w:rPr>
                      <w:rFonts w:hint="eastAsia"/>
                      <w:color w:val="auto"/>
                      <w:szCs w:val="21"/>
                      <w:highlight w:val="none"/>
                      <w:lang w:val="en-US" w:eastAsia="zh-CN"/>
                    </w:rPr>
                  </w:pPr>
                </w:p>
              </w:tc>
            </w:tr>
            <w:tr w14:paraId="4A87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restart"/>
                  <w:noWrap/>
                  <w:vAlign w:val="center"/>
                </w:tcPr>
                <w:p w14:paraId="22F20CE2">
                  <w:pPr>
                    <w:keepNext w:val="0"/>
                    <w:keepLines w:val="0"/>
                    <w:widowControl/>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非植被类型</w:t>
                  </w:r>
                </w:p>
              </w:tc>
              <w:tc>
                <w:tcPr>
                  <w:tcW w:w="1231" w:type="pct"/>
                  <w:noWrap/>
                  <w:vAlign w:val="center"/>
                </w:tcPr>
                <w:p w14:paraId="5897F2E1">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裸土地</w:t>
                  </w:r>
                </w:p>
              </w:tc>
              <w:tc>
                <w:tcPr>
                  <w:tcW w:w="1200" w:type="pct"/>
                  <w:noWrap/>
                  <w:vAlign w:val="center"/>
                </w:tcPr>
                <w:p w14:paraId="3798BE55">
                  <w:pPr>
                    <w:keepNext w:val="0"/>
                    <w:keepLines w:val="0"/>
                    <w:widowControl/>
                    <w:suppressLineNumbers w:val="0"/>
                    <w:spacing w:before="0" w:beforeAutospacing="0" w:after="0" w:afterAutospacing="0"/>
                    <w:ind w:left="0" w:right="0"/>
                    <w:jc w:val="center"/>
                    <w:textAlignment w:val="bottom"/>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w:t>
                  </w:r>
                </w:p>
              </w:tc>
              <w:tc>
                <w:tcPr>
                  <w:tcW w:w="927" w:type="pct"/>
                  <w:noWrap w:val="0"/>
                  <w:vAlign w:val="bottom"/>
                </w:tcPr>
                <w:p w14:paraId="6221375E">
                  <w:pPr>
                    <w:keepNext w:val="0"/>
                    <w:keepLines w:val="0"/>
                    <w:widowControl/>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0.02</w:t>
                  </w:r>
                </w:p>
              </w:tc>
              <w:tc>
                <w:tcPr>
                  <w:tcW w:w="896" w:type="pct"/>
                  <w:noWrap/>
                  <w:vAlign w:val="center"/>
                </w:tcPr>
                <w:p w14:paraId="52EAFA3F">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25.00</w:t>
                  </w:r>
                </w:p>
              </w:tc>
            </w:tr>
            <w:tr w14:paraId="132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ign w:val="center"/>
                </w:tcPr>
                <w:p w14:paraId="6DF06424">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1231" w:type="pct"/>
                  <w:noWrap/>
                  <w:vAlign w:val="center"/>
                </w:tcPr>
                <w:p w14:paraId="6CFCAF8B">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建设用地</w:t>
                  </w:r>
                </w:p>
              </w:tc>
              <w:tc>
                <w:tcPr>
                  <w:tcW w:w="1200" w:type="pct"/>
                  <w:noWrap/>
                  <w:vAlign w:val="center"/>
                </w:tcPr>
                <w:p w14:paraId="02FBCD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2.41</w:t>
                  </w:r>
                </w:p>
              </w:tc>
              <w:tc>
                <w:tcPr>
                  <w:tcW w:w="927" w:type="pct"/>
                  <w:noWrap w:val="0"/>
                  <w:vAlign w:val="bottom"/>
                </w:tcPr>
                <w:p w14:paraId="69ABC75C">
                  <w:pPr>
                    <w:keepNext w:val="0"/>
                    <w:keepLines w:val="0"/>
                    <w:widowControl/>
                    <w:suppressLineNumbers w:val="0"/>
                    <w:spacing w:before="0" w:beforeAutospacing="0" w:after="0" w:afterAutospacing="0"/>
                    <w:ind w:left="0" w:right="0"/>
                    <w:jc w:val="center"/>
                    <w:rPr>
                      <w:rFonts w:hint="default"/>
                      <w:color w:val="auto"/>
                      <w:szCs w:val="21"/>
                      <w:highlight w:val="none"/>
                    </w:rPr>
                  </w:pPr>
                </w:p>
              </w:tc>
              <w:tc>
                <w:tcPr>
                  <w:tcW w:w="896" w:type="pct"/>
                  <w:noWrap/>
                  <w:vAlign w:val="center"/>
                </w:tcPr>
                <w:p w14:paraId="0ADE7C30">
                  <w:pPr>
                    <w:keepNext w:val="0"/>
                    <w:keepLines w:val="0"/>
                    <w:widowControl/>
                    <w:suppressLineNumbers w:val="0"/>
                    <w:spacing w:before="0" w:beforeAutospacing="0" w:after="0" w:afterAutospacing="0"/>
                    <w:ind w:left="0" w:right="0"/>
                    <w:jc w:val="center"/>
                    <w:rPr>
                      <w:rFonts w:hint="eastAsia"/>
                      <w:color w:val="auto"/>
                      <w:szCs w:val="21"/>
                      <w:highlight w:val="none"/>
                      <w:lang w:val="en-US" w:eastAsia="zh-CN"/>
                    </w:rPr>
                  </w:pPr>
                </w:p>
              </w:tc>
            </w:tr>
            <w:tr w14:paraId="432F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5DA27F08">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1" w:type="pct"/>
                  <w:noWrap/>
                  <w:vAlign w:val="center"/>
                </w:tcPr>
                <w:p w14:paraId="28D1766E">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bidi="ar"/>
                    </w:rPr>
                    <w:t>设施农用地</w:t>
                  </w:r>
                </w:p>
              </w:tc>
              <w:tc>
                <w:tcPr>
                  <w:tcW w:w="1200" w:type="pct"/>
                  <w:noWrap/>
                  <w:vAlign w:val="center"/>
                </w:tcPr>
                <w:p w14:paraId="70C42C0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0.27</w:t>
                  </w:r>
                </w:p>
              </w:tc>
              <w:tc>
                <w:tcPr>
                  <w:tcW w:w="927" w:type="pct"/>
                  <w:noWrap w:val="0"/>
                  <w:vAlign w:val="bottom"/>
                </w:tcPr>
                <w:p w14:paraId="41F78FA9">
                  <w:pPr>
                    <w:keepNext w:val="0"/>
                    <w:keepLines w:val="0"/>
                    <w:widowControl/>
                    <w:suppressLineNumbers w:val="0"/>
                    <w:spacing w:before="0" w:beforeAutospacing="0" w:after="0" w:afterAutospacing="0"/>
                    <w:ind w:left="0" w:right="0"/>
                    <w:jc w:val="center"/>
                    <w:rPr>
                      <w:rFonts w:hint="default"/>
                      <w:color w:val="auto"/>
                      <w:szCs w:val="21"/>
                      <w:highlight w:val="none"/>
                    </w:rPr>
                  </w:pPr>
                </w:p>
              </w:tc>
              <w:tc>
                <w:tcPr>
                  <w:tcW w:w="896" w:type="pct"/>
                  <w:noWrap/>
                  <w:vAlign w:val="center"/>
                </w:tcPr>
                <w:p w14:paraId="46A0CDAE">
                  <w:pPr>
                    <w:keepNext w:val="0"/>
                    <w:keepLines w:val="0"/>
                    <w:widowControl/>
                    <w:suppressLineNumbers w:val="0"/>
                    <w:spacing w:before="0" w:beforeAutospacing="0" w:after="0" w:afterAutospacing="0"/>
                    <w:ind w:left="0" w:right="0"/>
                    <w:jc w:val="center"/>
                    <w:rPr>
                      <w:rFonts w:hint="eastAsia"/>
                      <w:color w:val="auto"/>
                      <w:szCs w:val="21"/>
                      <w:highlight w:val="none"/>
                      <w:lang w:val="en-US" w:eastAsia="zh-CN"/>
                    </w:rPr>
                  </w:pPr>
                </w:p>
              </w:tc>
            </w:tr>
            <w:tr w14:paraId="57AC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0940AC69">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1" w:type="pct"/>
                  <w:noWrap/>
                  <w:vAlign w:val="center"/>
                </w:tcPr>
                <w:p w14:paraId="7078A67A">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交通运输用地</w:t>
                  </w:r>
                </w:p>
              </w:tc>
              <w:tc>
                <w:tcPr>
                  <w:tcW w:w="1200" w:type="pct"/>
                  <w:noWrap/>
                  <w:vAlign w:val="center"/>
                </w:tcPr>
                <w:p w14:paraId="7F01F60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6.88</w:t>
                  </w:r>
                </w:p>
              </w:tc>
              <w:tc>
                <w:tcPr>
                  <w:tcW w:w="927" w:type="pct"/>
                  <w:noWrap w:val="0"/>
                  <w:vAlign w:val="bottom"/>
                </w:tcPr>
                <w:p w14:paraId="1DE708EB">
                  <w:pPr>
                    <w:keepNext w:val="0"/>
                    <w:keepLines w:val="0"/>
                    <w:widowControl/>
                    <w:suppressLineNumbers w:val="0"/>
                    <w:spacing w:before="0" w:beforeAutospacing="0" w:after="0" w:afterAutospacing="0"/>
                    <w:ind w:left="0" w:right="0"/>
                    <w:jc w:val="center"/>
                    <w:rPr>
                      <w:rFonts w:hint="default"/>
                      <w:color w:val="auto"/>
                      <w:szCs w:val="21"/>
                      <w:highlight w:val="none"/>
                      <w:lang w:val="en-US"/>
                    </w:rPr>
                  </w:pPr>
                  <w:r>
                    <w:rPr>
                      <w:rFonts w:hint="eastAsia" w:cs="Times New Roman"/>
                      <w:color w:val="auto"/>
                      <w:sz w:val="21"/>
                      <w:szCs w:val="21"/>
                      <w:highlight w:val="none"/>
                      <w:lang w:val="en-US" w:eastAsia="zh-CN"/>
                    </w:rPr>
                    <w:t>0.28</w:t>
                  </w:r>
                </w:p>
              </w:tc>
              <w:tc>
                <w:tcPr>
                  <w:tcW w:w="896" w:type="pct"/>
                  <w:noWrap/>
                  <w:vAlign w:val="center"/>
                </w:tcPr>
                <w:p w14:paraId="2833720D">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4.07</w:t>
                  </w:r>
                </w:p>
              </w:tc>
            </w:tr>
            <w:tr w14:paraId="385F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4" w:type="pct"/>
                  <w:vMerge w:val="continue"/>
                  <w:noWrap w:val="0"/>
                  <w:vAlign w:val="center"/>
                </w:tcPr>
                <w:p w14:paraId="6D0BEB6C">
                  <w:pPr>
                    <w:keepNext w:val="0"/>
                    <w:keepLines w:val="0"/>
                    <w:widowControl/>
                    <w:suppressLineNumbers w:val="0"/>
                    <w:spacing w:before="0" w:beforeAutospacing="0" w:after="0" w:afterAutospacing="0"/>
                    <w:ind w:left="0" w:right="0"/>
                    <w:jc w:val="left"/>
                    <w:rPr>
                      <w:rFonts w:hint="default"/>
                      <w:color w:val="auto"/>
                      <w:kern w:val="0"/>
                      <w:szCs w:val="21"/>
                      <w:highlight w:val="none"/>
                    </w:rPr>
                  </w:pPr>
                </w:p>
              </w:tc>
              <w:tc>
                <w:tcPr>
                  <w:tcW w:w="1231" w:type="pct"/>
                  <w:noWrap/>
                  <w:vAlign w:val="center"/>
                </w:tcPr>
                <w:p w14:paraId="5BA71A92">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水域</w:t>
                  </w:r>
                </w:p>
              </w:tc>
              <w:tc>
                <w:tcPr>
                  <w:tcW w:w="1200" w:type="pct"/>
                  <w:noWrap/>
                  <w:vAlign w:val="center"/>
                </w:tcPr>
                <w:p w14:paraId="144EB1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w:t>
                  </w:r>
                </w:p>
              </w:tc>
              <w:tc>
                <w:tcPr>
                  <w:tcW w:w="927" w:type="pct"/>
                  <w:noWrap w:val="0"/>
                  <w:vAlign w:val="bottom"/>
                </w:tcPr>
                <w:p w14:paraId="44AE518B">
                  <w:pPr>
                    <w:keepNext w:val="0"/>
                    <w:keepLines w:val="0"/>
                    <w:widowControl/>
                    <w:suppressLineNumbers w:val="0"/>
                    <w:spacing w:before="0" w:beforeAutospacing="0" w:after="0" w:afterAutospacing="0"/>
                    <w:ind w:left="0" w:right="0"/>
                    <w:jc w:val="center"/>
                    <w:rPr>
                      <w:rFonts w:hint="default"/>
                      <w:color w:val="auto"/>
                      <w:szCs w:val="21"/>
                      <w:highlight w:val="none"/>
                    </w:rPr>
                  </w:pPr>
                </w:p>
              </w:tc>
              <w:tc>
                <w:tcPr>
                  <w:tcW w:w="896" w:type="pct"/>
                  <w:noWrap/>
                  <w:vAlign w:val="center"/>
                </w:tcPr>
                <w:p w14:paraId="35BF400D">
                  <w:pPr>
                    <w:keepNext w:val="0"/>
                    <w:keepLines w:val="0"/>
                    <w:widowControl/>
                    <w:suppressLineNumbers w:val="0"/>
                    <w:spacing w:before="0" w:beforeAutospacing="0" w:after="0" w:afterAutospacing="0"/>
                    <w:ind w:left="0" w:right="0"/>
                    <w:jc w:val="center"/>
                    <w:rPr>
                      <w:rFonts w:hint="eastAsia"/>
                      <w:color w:val="auto"/>
                      <w:szCs w:val="21"/>
                      <w:highlight w:val="none"/>
                      <w:lang w:val="en-US" w:eastAsia="zh-CN"/>
                    </w:rPr>
                  </w:pPr>
                </w:p>
              </w:tc>
            </w:tr>
            <w:tr w14:paraId="4CD5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75" w:type="pct"/>
                  <w:gridSpan w:val="2"/>
                  <w:noWrap/>
                  <w:vAlign w:val="center"/>
                </w:tcPr>
                <w:p w14:paraId="21264A67">
                  <w:pPr>
                    <w:keepNext w:val="0"/>
                    <w:keepLines w:val="0"/>
                    <w:widowControl/>
                    <w:suppressLineNumbers w:val="0"/>
                    <w:spacing w:before="0" w:beforeAutospacing="0" w:after="0" w:afterAutospacing="0"/>
                    <w:ind w:left="0" w:right="0"/>
                    <w:jc w:val="center"/>
                    <w:rPr>
                      <w:rFonts w:hint="default"/>
                      <w:color w:val="auto"/>
                      <w:kern w:val="0"/>
                      <w:szCs w:val="21"/>
                      <w:highlight w:val="none"/>
                    </w:rPr>
                  </w:pPr>
                  <w:r>
                    <w:rPr>
                      <w:rFonts w:hint="default"/>
                      <w:color w:val="auto"/>
                      <w:kern w:val="0"/>
                      <w:szCs w:val="21"/>
                      <w:highlight w:val="none"/>
                    </w:rPr>
                    <w:t>总计</w:t>
                  </w:r>
                </w:p>
              </w:tc>
              <w:tc>
                <w:tcPr>
                  <w:tcW w:w="1200" w:type="pct"/>
                  <w:noWrap/>
                  <w:vAlign w:val="bottom"/>
                </w:tcPr>
                <w:p w14:paraId="772E964B">
                  <w:pPr>
                    <w:keepNext w:val="0"/>
                    <w:keepLines w:val="0"/>
                    <w:widowControl/>
                    <w:suppressLineNumbers w:val="0"/>
                    <w:spacing w:before="0" w:beforeAutospacing="0" w:after="0" w:afterAutospacing="0"/>
                    <w:ind w:left="0" w:right="0"/>
                    <w:jc w:val="center"/>
                    <w:rPr>
                      <w:rFonts w:hint="default"/>
                      <w:color w:val="auto"/>
                      <w:szCs w:val="21"/>
                      <w:highlight w:val="none"/>
                      <w:lang w:val="en-US"/>
                    </w:rPr>
                  </w:pPr>
                  <w:r>
                    <w:rPr>
                      <w:rFonts w:hint="eastAsia" w:cs="Times New Roman"/>
                      <w:i w:val="0"/>
                      <w:iCs w:val="0"/>
                      <w:color w:val="auto"/>
                      <w:kern w:val="0"/>
                      <w:sz w:val="21"/>
                      <w:szCs w:val="21"/>
                      <w:highlight w:val="none"/>
                      <w:u w:val="none"/>
                      <w:lang w:val="en-US" w:eastAsia="zh-CN" w:bidi="ar"/>
                    </w:rPr>
                    <w:t>608.98</w:t>
                  </w:r>
                </w:p>
              </w:tc>
              <w:tc>
                <w:tcPr>
                  <w:tcW w:w="927" w:type="pct"/>
                  <w:noWrap w:val="0"/>
                  <w:vAlign w:val="bottom"/>
                </w:tcPr>
                <w:p w14:paraId="5DC038C4">
                  <w:pPr>
                    <w:keepNext w:val="0"/>
                    <w:keepLines w:val="0"/>
                    <w:widowControl/>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69.76</w:t>
                  </w:r>
                </w:p>
              </w:tc>
              <w:tc>
                <w:tcPr>
                  <w:tcW w:w="896" w:type="pct"/>
                  <w:noWrap/>
                  <w:vAlign w:val="center"/>
                </w:tcPr>
                <w:p w14:paraId="5E74DDC0">
                  <w:pPr>
                    <w:keepNext w:val="0"/>
                    <w:keepLines w:val="0"/>
                    <w:widowControl/>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11.45</w:t>
                  </w:r>
                </w:p>
              </w:tc>
            </w:tr>
          </w:tbl>
          <w:p w14:paraId="0B54A6AA">
            <w:pPr>
              <w:keepNext w:val="0"/>
              <w:keepLines w:val="0"/>
              <w:suppressLineNumbers w:val="0"/>
              <w:spacing w:before="0" w:beforeAutospacing="0" w:after="0" w:afterAutospacing="0" w:line="360" w:lineRule="auto"/>
              <w:ind w:left="0" w:right="0" w:firstLine="480" w:firstLineChars="200"/>
              <w:jc w:val="left"/>
              <w:rPr>
                <w:rFonts w:hint="default"/>
                <w:color w:val="auto"/>
                <w:sz w:val="24"/>
                <w:highlight w:val="none"/>
              </w:rPr>
            </w:pPr>
            <w:r>
              <w:rPr>
                <w:rFonts w:hint="eastAsia"/>
                <w:color w:val="auto"/>
                <w:sz w:val="24"/>
                <w:szCs w:val="24"/>
                <w:highlight w:val="none"/>
              </w:rPr>
              <w:t>由上表可知，</w:t>
            </w:r>
            <w:r>
              <w:rPr>
                <w:rFonts w:hint="default"/>
                <w:color w:val="auto"/>
                <w:sz w:val="24"/>
                <w:szCs w:val="24"/>
                <w:highlight w:val="none"/>
              </w:rPr>
              <w:t>本工</w:t>
            </w:r>
            <w:r>
              <w:rPr>
                <w:rFonts w:hint="default" w:eastAsia="宋体"/>
                <w:color w:val="auto"/>
                <w:sz w:val="24"/>
                <w:szCs w:val="24"/>
                <w:highlight w:val="none"/>
              </w:rPr>
              <w:t>程将占用</w:t>
            </w:r>
            <w:r>
              <w:rPr>
                <w:rFonts w:hint="eastAsia" w:ascii="Times New Roman" w:hAnsi="Times New Roman" w:eastAsia="宋体" w:cs="Times New Roman"/>
                <w:bCs/>
                <w:color w:val="auto"/>
                <w:sz w:val="21"/>
                <w:szCs w:val="21"/>
                <w:highlight w:val="none"/>
                <w:vertAlign w:val="baseline"/>
                <w:lang w:val="en-US" w:eastAsia="zh-CN"/>
              </w:rPr>
              <w:t>暖性石灰岩灌丛</w:t>
            </w:r>
            <w:r>
              <w:rPr>
                <w:rFonts w:hint="eastAsia" w:cs="Times New Roman"/>
                <w:i w:val="0"/>
                <w:iCs w:val="0"/>
                <w:color w:val="auto"/>
                <w:kern w:val="0"/>
                <w:sz w:val="24"/>
                <w:szCs w:val="24"/>
                <w:highlight w:val="none"/>
                <w:u w:val="none"/>
                <w:lang w:val="en-US" w:eastAsia="zh-CN" w:bidi="ar"/>
              </w:rPr>
              <w:t>26.04</w:t>
            </w:r>
            <w:r>
              <w:rPr>
                <w:rFonts w:hint="default" w:eastAsia="宋体"/>
                <w:color w:val="auto"/>
                <w:sz w:val="24"/>
                <w:szCs w:val="24"/>
                <w:highlight w:val="none"/>
              </w:rPr>
              <w:t>hm</w:t>
            </w:r>
            <w:r>
              <w:rPr>
                <w:rFonts w:hint="default" w:eastAsia="宋体"/>
                <w:color w:val="auto"/>
                <w:sz w:val="24"/>
                <w:szCs w:val="24"/>
                <w:highlight w:val="none"/>
                <w:vertAlign w:val="superscript"/>
              </w:rPr>
              <w:t>2</w:t>
            </w:r>
            <w:r>
              <w:rPr>
                <w:rFonts w:hint="default" w:eastAsia="宋体"/>
                <w:color w:val="auto"/>
                <w:sz w:val="24"/>
                <w:szCs w:val="24"/>
                <w:highlight w:val="none"/>
              </w:rPr>
              <w:t>，占评价区该</w:t>
            </w:r>
            <w:r>
              <w:rPr>
                <w:rFonts w:hint="default"/>
                <w:color w:val="auto"/>
                <w:sz w:val="24"/>
                <w:szCs w:val="24"/>
                <w:highlight w:val="none"/>
              </w:rPr>
              <w:t>类植被面积的</w:t>
            </w:r>
            <w:r>
              <w:rPr>
                <w:rFonts w:hint="eastAsia"/>
                <w:color w:val="auto"/>
                <w:sz w:val="24"/>
                <w:szCs w:val="24"/>
                <w:highlight w:val="none"/>
                <w:lang w:val="en-US" w:eastAsia="zh-CN"/>
              </w:rPr>
              <w:t>26.08</w:t>
            </w:r>
            <w:r>
              <w:rPr>
                <w:rFonts w:hint="default"/>
                <w:color w:val="auto"/>
                <w:sz w:val="24"/>
                <w:szCs w:val="24"/>
                <w:highlight w:val="none"/>
              </w:rPr>
              <w:t>%</w:t>
            </w:r>
            <w:r>
              <w:rPr>
                <w:rFonts w:hint="eastAsia"/>
                <w:color w:val="auto"/>
                <w:sz w:val="24"/>
                <w:szCs w:val="24"/>
                <w:highlight w:val="none"/>
              </w:rPr>
              <w:t>，区域内的</w:t>
            </w:r>
            <w:r>
              <w:rPr>
                <w:rFonts w:hint="eastAsia" w:ascii="宋体" w:hAnsi="宋体" w:eastAsia="宋体" w:cs="宋体"/>
                <w:i w:val="0"/>
                <w:iCs w:val="0"/>
                <w:color w:val="auto"/>
                <w:kern w:val="0"/>
                <w:sz w:val="24"/>
                <w:szCs w:val="24"/>
                <w:highlight w:val="none"/>
                <w:u w:val="none"/>
                <w:lang w:val="en-US" w:eastAsia="zh-CN" w:bidi="ar"/>
              </w:rPr>
              <w:t>灌丛</w:t>
            </w:r>
            <w:r>
              <w:rPr>
                <w:rFonts w:hint="default"/>
                <w:color w:val="auto"/>
                <w:sz w:val="24"/>
                <w:szCs w:val="24"/>
                <w:highlight w:val="none"/>
              </w:rPr>
              <w:t>是原生植被经人类反复干扰破坏后</w:t>
            </w:r>
            <w:r>
              <w:rPr>
                <w:rFonts w:hint="eastAsia"/>
                <w:color w:val="auto"/>
                <w:sz w:val="24"/>
                <w:szCs w:val="24"/>
                <w:highlight w:val="none"/>
              </w:rPr>
              <w:t>，或者是耕地撂荒后</w:t>
            </w:r>
            <w:r>
              <w:rPr>
                <w:rFonts w:hint="default"/>
                <w:color w:val="auto"/>
                <w:sz w:val="24"/>
                <w:szCs w:val="24"/>
                <w:highlight w:val="none"/>
              </w:rPr>
              <w:t>形成的一种次生植被类型，群落多以</w:t>
            </w:r>
            <w:r>
              <w:rPr>
                <w:rFonts w:hint="eastAsia" w:ascii="Times New Roman" w:hAnsi="Times New Roman" w:eastAsia="宋体" w:cs="Times New Roman"/>
                <w:bCs/>
                <w:color w:val="auto"/>
                <w:kern w:val="0"/>
                <w:sz w:val="24"/>
                <w:szCs w:val="24"/>
                <w:highlight w:val="none"/>
              </w:rPr>
              <w:t>马桑</w:t>
            </w:r>
            <w:r>
              <w:rPr>
                <w:rFonts w:hint="eastAsia"/>
                <w:iCs/>
                <w:color w:val="auto"/>
                <w:sz w:val="24"/>
                <w:szCs w:val="24"/>
                <w:highlight w:val="none"/>
              </w:rPr>
              <w:t>、</w:t>
            </w:r>
            <w:r>
              <w:rPr>
                <w:rFonts w:hint="eastAsia" w:ascii="Times New Roman" w:hAnsi="Times New Roman" w:eastAsia="宋体" w:cs="Times New Roman"/>
                <w:bCs/>
                <w:color w:val="auto"/>
                <w:kern w:val="0"/>
                <w:sz w:val="24"/>
                <w:szCs w:val="24"/>
                <w:highlight w:val="none"/>
              </w:rPr>
              <w:t>楹树</w:t>
            </w:r>
            <w:r>
              <w:rPr>
                <w:rFonts w:hint="eastAsia"/>
                <w:color w:val="auto"/>
                <w:kern w:val="0"/>
                <w:sz w:val="24"/>
                <w:szCs w:val="24"/>
                <w:highlight w:val="none"/>
              </w:rPr>
              <w:t>、华西小石积</w:t>
            </w:r>
            <w:r>
              <w:rPr>
                <w:rFonts w:hint="eastAsia"/>
                <w:color w:val="auto"/>
                <w:kern w:val="0"/>
                <w:sz w:val="24"/>
                <w:szCs w:val="24"/>
                <w:highlight w:val="none"/>
                <w:lang w:eastAsia="zh-CN"/>
              </w:rPr>
              <w:t>、</w:t>
            </w:r>
            <w:r>
              <w:rPr>
                <w:rFonts w:hint="eastAsia"/>
                <w:color w:val="auto"/>
                <w:kern w:val="0"/>
                <w:sz w:val="24"/>
                <w:szCs w:val="24"/>
                <w:highlight w:val="none"/>
              </w:rPr>
              <w:t>清香木、</w:t>
            </w:r>
            <w:r>
              <w:rPr>
                <w:rFonts w:hint="eastAsia" w:ascii="Times New Roman" w:hAnsi="Times New Roman" w:eastAsia="宋体" w:cs="Times New Roman"/>
                <w:bCs/>
                <w:color w:val="auto"/>
                <w:kern w:val="0"/>
                <w:sz w:val="24"/>
                <w:szCs w:val="24"/>
                <w:highlight w:val="none"/>
              </w:rPr>
              <w:t>车桑子</w:t>
            </w:r>
            <w:r>
              <w:rPr>
                <w:rFonts w:hint="default"/>
                <w:color w:val="auto"/>
                <w:sz w:val="24"/>
                <w:szCs w:val="24"/>
                <w:highlight w:val="none"/>
              </w:rPr>
              <w:t>等草本和灌木植物为主，其群落组成简单，群落结构不稳定，受破坏后容易恢复，且工程占地比例有限，对该植被类型的影响</w:t>
            </w:r>
            <w:r>
              <w:rPr>
                <w:rFonts w:hint="eastAsia"/>
                <w:color w:val="auto"/>
                <w:sz w:val="24"/>
                <w:szCs w:val="24"/>
                <w:highlight w:val="none"/>
              </w:rPr>
              <w:t>可以接受</w:t>
            </w:r>
            <w:r>
              <w:rPr>
                <w:rFonts w:hint="default"/>
                <w:color w:val="auto"/>
                <w:sz w:val="24"/>
                <w:szCs w:val="24"/>
                <w:highlight w:val="none"/>
              </w:rPr>
              <w:t>。工程将占</w:t>
            </w:r>
            <w:r>
              <w:rPr>
                <w:rFonts w:hint="eastAsia" w:ascii="Times New Roman" w:hAnsi="Times New Roman" w:eastAsia="宋体" w:cs="Times New Roman"/>
                <w:bCs/>
                <w:color w:val="auto"/>
                <w:kern w:val="0"/>
                <w:sz w:val="24"/>
                <w:szCs w:val="24"/>
                <w:highlight w:val="none"/>
              </w:rPr>
              <w:t>用</w:t>
            </w:r>
            <w:r>
              <w:rPr>
                <w:rFonts w:hint="eastAsia" w:ascii="Times New Roman" w:hAnsi="Times New Roman" w:eastAsia="宋体" w:cs="Times New Roman"/>
                <w:bCs/>
                <w:color w:val="auto"/>
                <w:kern w:val="0"/>
                <w:sz w:val="24"/>
                <w:szCs w:val="24"/>
                <w:highlight w:val="none"/>
                <w:lang w:val="en-US" w:eastAsia="zh-CN"/>
              </w:rPr>
              <w:t>稀树灌木草丛</w:t>
            </w:r>
            <w:r>
              <w:rPr>
                <w:rFonts w:hint="eastAsia"/>
                <w:color w:val="auto"/>
                <w:sz w:val="24"/>
                <w:szCs w:val="24"/>
                <w:highlight w:val="none"/>
                <w:lang w:val="en-US" w:eastAsia="zh-CN"/>
              </w:rPr>
              <w:t>41.43</w:t>
            </w:r>
            <w:r>
              <w:rPr>
                <w:rFonts w:hint="eastAsia" w:ascii="Times New Roman" w:hAnsi="Times New Roman" w:eastAsia="宋体" w:cs="Times New Roman"/>
                <w:bCs/>
                <w:color w:val="auto"/>
                <w:kern w:val="0"/>
                <w:sz w:val="24"/>
                <w:szCs w:val="24"/>
                <w:highlight w:val="none"/>
              </w:rPr>
              <w:t>hm</w:t>
            </w:r>
            <w:r>
              <w:rPr>
                <w:rFonts w:hint="eastAsia" w:ascii="Times New Roman" w:hAnsi="Times New Roman" w:eastAsia="宋体" w:cs="Times New Roman"/>
                <w:bCs/>
                <w:color w:val="auto"/>
                <w:kern w:val="0"/>
                <w:sz w:val="24"/>
                <w:szCs w:val="24"/>
                <w:highlight w:val="none"/>
                <w:vertAlign w:val="superscript"/>
              </w:rPr>
              <w:t>2</w:t>
            </w:r>
            <w:r>
              <w:rPr>
                <w:rFonts w:hint="eastAsia" w:ascii="Times New Roman" w:hAnsi="Times New Roman" w:eastAsia="宋体" w:cs="Times New Roman"/>
                <w:bCs/>
                <w:color w:val="auto"/>
                <w:kern w:val="0"/>
                <w:sz w:val="24"/>
                <w:szCs w:val="24"/>
                <w:highlight w:val="none"/>
              </w:rPr>
              <w:t>，占评价区该类植被面积的</w:t>
            </w:r>
            <w:r>
              <w:rPr>
                <w:rFonts w:hint="eastAsia" w:cs="Times New Roman"/>
                <w:bCs/>
                <w:color w:val="auto"/>
                <w:kern w:val="0"/>
                <w:sz w:val="24"/>
                <w:szCs w:val="24"/>
                <w:highlight w:val="none"/>
                <w:lang w:val="en-US" w:eastAsia="zh-CN"/>
              </w:rPr>
              <w:t>30.35</w:t>
            </w:r>
            <w:r>
              <w:rPr>
                <w:rFonts w:hint="eastAsia" w:ascii="Times New Roman" w:hAnsi="Times New Roman" w:eastAsia="宋体" w:cs="Times New Roman"/>
                <w:bCs/>
                <w:color w:val="auto"/>
                <w:kern w:val="0"/>
                <w:sz w:val="24"/>
                <w:szCs w:val="24"/>
                <w:highlight w:val="none"/>
              </w:rPr>
              <w:t>%，区域内的</w:t>
            </w:r>
            <w:r>
              <w:rPr>
                <w:rFonts w:hint="eastAsia" w:ascii="宋体" w:hAnsi="宋体" w:eastAsia="宋体" w:cs="宋体"/>
                <w:i w:val="0"/>
                <w:iCs w:val="0"/>
                <w:color w:val="auto"/>
                <w:kern w:val="0"/>
                <w:sz w:val="24"/>
                <w:szCs w:val="24"/>
                <w:highlight w:val="none"/>
                <w:u w:val="none"/>
                <w:lang w:val="en-US" w:eastAsia="zh-CN" w:bidi="ar"/>
              </w:rPr>
              <w:t>稀树灌木草丛</w:t>
            </w:r>
            <w:r>
              <w:rPr>
                <w:rFonts w:hint="default"/>
                <w:color w:val="auto"/>
                <w:sz w:val="24"/>
                <w:szCs w:val="24"/>
                <w:highlight w:val="none"/>
              </w:rPr>
              <w:t>是原生植被经人类反复干扰破坏后形成的一种次</w:t>
            </w:r>
            <w:r>
              <w:rPr>
                <w:rFonts w:hint="eastAsia"/>
                <w:color w:val="auto"/>
                <w:sz w:val="24"/>
                <w:szCs w:val="24"/>
                <w:highlight w:val="none"/>
                <w:lang w:val="en-US" w:eastAsia="zh-CN"/>
              </w:rPr>
              <w:t>生</w:t>
            </w:r>
            <w:r>
              <w:rPr>
                <w:rFonts w:hint="eastAsia"/>
                <w:color w:val="auto"/>
                <w:sz w:val="24"/>
                <w:szCs w:val="24"/>
                <w:highlight w:val="none"/>
              </w:rPr>
              <w:t>性灌丛，</w:t>
            </w:r>
            <w:r>
              <w:rPr>
                <w:rFonts w:hint="default"/>
                <w:color w:val="auto"/>
                <w:sz w:val="24"/>
                <w:szCs w:val="24"/>
                <w:highlight w:val="none"/>
              </w:rPr>
              <w:t>群落多以</w:t>
            </w:r>
            <w:r>
              <w:rPr>
                <w:rFonts w:hint="eastAsia"/>
                <w:color w:val="auto"/>
                <w:kern w:val="0"/>
                <w:sz w:val="24"/>
                <w:szCs w:val="24"/>
                <w:highlight w:val="none"/>
              </w:rPr>
              <w:t>华西小石积、</w:t>
            </w:r>
            <w:r>
              <w:rPr>
                <w:rFonts w:hint="eastAsia" w:ascii="Times New Roman" w:hAnsi="Times New Roman" w:eastAsia="宋体" w:cs="Times New Roman"/>
                <w:bCs/>
                <w:color w:val="auto"/>
                <w:kern w:val="0"/>
                <w:sz w:val="24"/>
                <w:szCs w:val="24"/>
                <w:highlight w:val="none"/>
              </w:rPr>
              <w:t>马桑</w:t>
            </w:r>
            <w:r>
              <w:rPr>
                <w:rFonts w:hint="eastAsia" w:ascii="Times New Roman" w:hAnsi="Times New Roman" w:eastAsia="宋体"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rPr>
              <w:t>车桑子</w:t>
            </w:r>
            <w:r>
              <w:rPr>
                <w:rFonts w:hint="eastAsia" w:ascii="Times New Roman" w:hAnsi="Times New Roman" w:eastAsia="宋体" w:cs="Times New Roman"/>
                <w:bCs/>
                <w:color w:val="auto"/>
                <w:kern w:val="0"/>
                <w:sz w:val="24"/>
                <w:szCs w:val="24"/>
                <w:highlight w:val="none"/>
                <w:lang w:eastAsia="zh-CN"/>
              </w:rPr>
              <w:t>、</w:t>
            </w:r>
            <w:r>
              <w:rPr>
                <w:rFonts w:hint="eastAsia" w:ascii="Times New Roman" w:hAnsi="Times New Roman" w:eastAsia="宋体" w:cs="Times New Roman"/>
                <w:bCs/>
                <w:color w:val="auto"/>
                <w:kern w:val="0"/>
                <w:sz w:val="24"/>
                <w:szCs w:val="24"/>
                <w:highlight w:val="none"/>
                <w:lang w:val="en-US" w:eastAsia="zh-CN"/>
              </w:rPr>
              <w:t>余甘子、</w:t>
            </w:r>
            <w:r>
              <w:rPr>
                <w:rFonts w:hint="eastAsia"/>
                <w:color w:val="auto"/>
                <w:kern w:val="0"/>
                <w:sz w:val="24"/>
                <w:szCs w:val="24"/>
                <w:highlight w:val="none"/>
              </w:rPr>
              <w:t>黄茅等</w:t>
            </w:r>
            <w:r>
              <w:rPr>
                <w:rFonts w:hint="default"/>
                <w:color w:val="auto"/>
                <w:sz w:val="24"/>
                <w:szCs w:val="24"/>
                <w:highlight w:val="none"/>
              </w:rPr>
              <w:t>为主</w:t>
            </w:r>
            <w:r>
              <w:rPr>
                <w:rFonts w:hint="eastAsia"/>
                <w:color w:val="auto"/>
                <w:sz w:val="24"/>
                <w:szCs w:val="24"/>
                <w:highlight w:val="none"/>
              </w:rPr>
              <w:t>，均为常见种和广布种，</w:t>
            </w:r>
            <w:r>
              <w:rPr>
                <w:rFonts w:hint="default"/>
                <w:color w:val="auto"/>
                <w:sz w:val="24"/>
                <w:szCs w:val="24"/>
                <w:highlight w:val="none"/>
              </w:rPr>
              <w:t>群落组成简单，</w:t>
            </w:r>
            <w:r>
              <w:rPr>
                <w:rFonts w:hint="eastAsia"/>
                <w:color w:val="auto"/>
                <w:sz w:val="24"/>
                <w:szCs w:val="24"/>
                <w:highlight w:val="none"/>
              </w:rPr>
              <w:t>生物多样性低，且工程占地比例有限，对该类植被的影响</w:t>
            </w:r>
            <w:r>
              <w:rPr>
                <w:rFonts w:hint="eastAsia"/>
                <w:color w:val="auto"/>
                <w:sz w:val="24"/>
                <w:szCs w:val="24"/>
                <w:highlight w:val="none"/>
                <w:lang w:val="en-US" w:eastAsia="zh-CN"/>
              </w:rPr>
              <w:t>小</w:t>
            </w:r>
            <w:r>
              <w:rPr>
                <w:rFonts w:hint="eastAsia"/>
                <w:color w:val="auto"/>
                <w:sz w:val="24"/>
                <w:szCs w:val="24"/>
                <w:highlight w:val="none"/>
              </w:rPr>
              <w:t>。另外，</w:t>
            </w:r>
            <w:r>
              <w:rPr>
                <w:rFonts w:hint="default"/>
                <w:color w:val="auto"/>
                <w:sz w:val="24"/>
                <w:szCs w:val="24"/>
                <w:highlight w:val="none"/>
              </w:rPr>
              <w:t>根据主体设计、建设单位介绍以及现场踏勘，光伏阵列</w:t>
            </w:r>
            <w:r>
              <w:rPr>
                <w:rFonts w:hint="eastAsia"/>
                <w:color w:val="auto"/>
                <w:sz w:val="24"/>
                <w:szCs w:val="24"/>
                <w:highlight w:val="none"/>
              </w:rPr>
              <w:t>占地</w:t>
            </w:r>
            <w:r>
              <w:rPr>
                <w:rFonts w:hint="default"/>
                <w:color w:val="auto"/>
                <w:sz w:val="24"/>
                <w:szCs w:val="24"/>
                <w:highlight w:val="none"/>
              </w:rPr>
              <w:t>区内</w:t>
            </w:r>
            <w:r>
              <w:rPr>
                <w:rFonts w:hint="eastAsia"/>
                <w:color w:val="auto"/>
                <w:sz w:val="24"/>
                <w:szCs w:val="24"/>
                <w:highlight w:val="none"/>
              </w:rPr>
              <w:t>除了光伏支架基础占地外，其他</w:t>
            </w:r>
            <w:r>
              <w:rPr>
                <w:rFonts w:hint="default"/>
                <w:color w:val="auto"/>
                <w:sz w:val="24"/>
                <w:szCs w:val="24"/>
                <w:highlight w:val="none"/>
              </w:rPr>
              <w:t>将不进行扰动，保留原始地表，</w:t>
            </w:r>
            <w:r>
              <w:rPr>
                <w:rFonts w:hint="eastAsia"/>
                <w:color w:val="auto"/>
                <w:sz w:val="24"/>
                <w:szCs w:val="24"/>
                <w:highlight w:val="none"/>
              </w:rPr>
              <w:t>这将很大程度上降低工程建设对区域内自然植被的影响。</w:t>
            </w:r>
          </w:p>
          <w:p w14:paraId="2413AA6F">
            <w:pPr>
              <w:keepNext w:val="0"/>
              <w:keepLines w:val="0"/>
              <w:suppressLineNumbers w:val="0"/>
              <w:spacing w:before="0" w:beforeAutospacing="0" w:after="0" w:afterAutospacing="0" w:line="360" w:lineRule="auto"/>
              <w:ind w:left="0" w:right="0" w:firstLine="482"/>
              <w:rPr>
                <w:rFonts w:hint="default"/>
                <w:color w:val="auto"/>
                <w:highlight w:val="none"/>
                <w:lang w:val="en-US" w:eastAsia="zh-CN"/>
              </w:rPr>
            </w:pPr>
            <w:r>
              <w:rPr>
                <w:rFonts w:hint="default"/>
                <w:color w:val="auto"/>
                <w:sz w:val="24"/>
                <w:highlight w:val="none"/>
                <w:lang w:val="zh-CN"/>
              </w:rPr>
              <w:t>总的来看，受本工程建设影响的植被类型</w:t>
            </w:r>
            <w:r>
              <w:rPr>
                <w:rFonts w:hint="eastAsia"/>
                <w:color w:val="auto"/>
                <w:sz w:val="24"/>
                <w:highlight w:val="none"/>
                <w:lang w:val="zh-CN"/>
              </w:rPr>
              <w:t>主要为次生灌草丛和人工植被，</w:t>
            </w:r>
            <w:r>
              <w:rPr>
                <w:rFonts w:hint="default"/>
                <w:color w:val="auto"/>
                <w:sz w:val="24"/>
                <w:highlight w:val="none"/>
                <w:lang w:val="zh-CN"/>
              </w:rPr>
              <w:t>在项目区及周边区域广泛分布，工程建设不会对这些植被造成毁灭性的破坏，其不利影响仅限于局部，不会随时间推移而扩大。本工程占地将对评价区植被造成一定程度的不利影响，但由于占用植被面积有限，且以次生植被和人工植被为主，本工程的建设不会造成评价区植被分布格局</w:t>
            </w:r>
            <w:r>
              <w:rPr>
                <w:rFonts w:hint="eastAsia"/>
                <w:color w:val="auto"/>
                <w:sz w:val="24"/>
                <w:highlight w:val="none"/>
                <w:lang w:val="zh-CN"/>
              </w:rPr>
              <w:t>的较大改变，不会导致评价区</w:t>
            </w:r>
            <w:r>
              <w:rPr>
                <w:rFonts w:hint="default"/>
                <w:color w:val="auto"/>
                <w:sz w:val="24"/>
                <w:highlight w:val="none"/>
                <w:lang w:val="zh-CN"/>
              </w:rPr>
              <w:t>生态系统结构及功能的显著改变。因此，本工程建设对植被的总体影响</w:t>
            </w:r>
            <w:r>
              <w:rPr>
                <w:rFonts w:hint="eastAsia"/>
                <w:color w:val="auto"/>
                <w:sz w:val="24"/>
                <w:highlight w:val="none"/>
                <w:lang w:val="en-US" w:eastAsia="zh-CN"/>
              </w:rPr>
              <w:t>小</w:t>
            </w:r>
            <w:r>
              <w:rPr>
                <w:rFonts w:hint="default"/>
                <w:color w:val="auto"/>
                <w:sz w:val="24"/>
                <w:highlight w:val="none"/>
                <w:lang w:val="zh-CN"/>
              </w:rPr>
              <w:t>。</w:t>
            </w:r>
          </w:p>
          <w:p w14:paraId="24E26B8F">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val="0"/>
                <w:color w:val="auto"/>
                <w:sz w:val="24"/>
                <w:szCs w:val="24"/>
                <w:highlight w:val="none"/>
              </w:rPr>
            </w:pPr>
            <w:r>
              <w:rPr>
                <w:rFonts w:hint="eastAsia"/>
                <w:b/>
                <w:bCs w:val="0"/>
                <w:color w:val="auto"/>
                <w:sz w:val="24"/>
                <w:szCs w:val="24"/>
                <w:highlight w:val="none"/>
                <w:lang w:val="en-US" w:eastAsia="zh-CN"/>
              </w:rPr>
              <w:t>3）</w:t>
            </w:r>
            <w:r>
              <w:rPr>
                <w:rFonts w:hint="default"/>
                <w:b/>
                <w:bCs w:val="0"/>
                <w:color w:val="auto"/>
                <w:sz w:val="24"/>
                <w:szCs w:val="24"/>
                <w:highlight w:val="none"/>
              </w:rPr>
              <w:t>对</w:t>
            </w:r>
            <w:r>
              <w:rPr>
                <w:rFonts w:hint="eastAsia"/>
                <w:b/>
                <w:bCs w:val="0"/>
                <w:color w:val="auto"/>
                <w:sz w:val="24"/>
                <w:szCs w:val="24"/>
                <w:highlight w:val="none"/>
                <w:lang w:eastAsia="zh-CN"/>
              </w:rPr>
              <w:t>林地</w:t>
            </w:r>
            <w:r>
              <w:rPr>
                <w:rFonts w:hint="default"/>
                <w:b/>
                <w:bCs w:val="0"/>
                <w:color w:val="auto"/>
                <w:sz w:val="24"/>
                <w:szCs w:val="24"/>
                <w:highlight w:val="none"/>
              </w:rPr>
              <w:t>的影响</w:t>
            </w:r>
          </w:p>
          <w:p w14:paraId="22E8ADF2">
            <w:pPr>
              <w:keepNext w:val="0"/>
              <w:keepLines w:val="0"/>
              <w:suppressLineNumbers w:val="0"/>
              <w:spacing w:before="0" w:beforeAutospacing="0" w:after="0" w:afterAutospacing="0" w:line="360" w:lineRule="auto"/>
              <w:ind w:left="0" w:right="0" w:firstLine="480" w:firstLineChars="200"/>
              <w:rPr>
                <w:rFonts w:hint="eastAsia" w:eastAsia="宋体"/>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w:t>
            </w:r>
            <w:r>
              <w:rPr>
                <w:rFonts w:hint="eastAsia" w:cs="Times New Roman"/>
                <w:color w:val="auto"/>
                <w:sz w:val="24"/>
                <w:szCs w:val="24"/>
                <w:highlight w:val="none"/>
                <w:lang w:eastAsia="zh-CN"/>
              </w:rPr>
              <w:t>梳山</w:t>
            </w:r>
            <w:r>
              <w:rPr>
                <w:rFonts w:hint="eastAsia" w:ascii="Times New Roman" w:hAnsi="Times New Roman" w:eastAsia="宋体" w:cs="Times New Roman"/>
                <w:color w:val="auto"/>
                <w:sz w:val="24"/>
                <w:szCs w:val="24"/>
                <w:highlight w:val="none"/>
                <w:lang w:val="en-US" w:eastAsia="zh-CN"/>
              </w:rPr>
              <w:t>光伏发电项目</w:t>
            </w:r>
            <w:r>
              <w:rPr>
                <w:rFonts w:hint="eastAsia" w:ascii="Times New Roman" w:hAnsi="Times New Roman" w:eastAsia="宋体" w:cs="Times New Roman"/>
                <w:color w:val="auto"/>
                <w:sz w:val="24"/>
                <w:szCs w:val="24"/>
                <w:highlight w:val="none"/>
                <w:lang w:eastAsia="zh-CN"/>
              </w:rPr>
              <w:t>使用林地可行性报告》，建设项目用地涉及公益林</w:t>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highlight w:val="none"/>
                <w:lang w:eastAsia="zh-CN"/>
              </w:rPr>
              <w:t>截止本评价编制时，未发现未批先占违法使用林地情况。</w:t>
            </w:r>
          </w:p>
          <w:p w14:paraId="046EDA3E">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①使用林地对项目区林地资源及林木资源的影响分析</w:t>
            </w:r>
          </w:p>
          <w:p w14:paraId="5BA2081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建设项目拟使用公益林面积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，活立木蓄积</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，需要采伐蓄积量为</w:t>
            </w:r>
            <w:r>
              <w:rPr>
                <w:rFonts w:hint="eastAsia"/>
                <w:color w:val="auto"/>
                <w:sz w:val="24"/>
                <w:szCs w:val="24"/>
                <w:highlight w:val="none"/>
                <w:lang w:val="en-US" w:eastAsia="zh-CN"/>
              </w:rPr>
              <w:t>0.02</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，采伐树种为松树幼树，</w:t>
            </w:r>
            <w:r>
              <w:rPr>
                <w:rFonts w:hint="eastAsia"/>
                <w:color w:val="auto"/>
                <w:sz w:val="24"/>
                <w:szCs w:val="24"/>
                <w:highlight w:val="none"/>
                <w:lang w:val="en-US" w:eastAsia="zh-CN"/>
              </w:rPr>
              <w:t>为当地常见物种</w:t>
            </w:r>
            <w:r>
              <w:rPr>
                <w:rFonts w:hint="eastAsia"/>
                <w:color w:val="auto"/>
                <w:sz w:val="24"/>
                <w:szCs w:val="24"/>
                <w:highlight w:val="none"/>
                <w:lang w:eastAsia="zh-CN"/>
              </w:rPr>
              <w:t>。</w:t>
            </w:r>
            <w:r>
              <w:rPr>
                <w:rFonts w:hint="eastAsia" w:cs="Times New Roman"/>
                <w:color w:val="auto"/>
                <w:spacing w:val="0"/>
                <w:kern w:val="0"/>
                <w:sz w:val="24"/>
                <w:szCs w:val="24"/>
                <w:highlight w:val="none"/>
                <w:lang w:val="en-US" w:eastAsia="zh-CN"/>
              </w:rPr>
              <w:t>255882m</w:t>
            </w:r>
            <w:r>
              <w:rPr>
                <w:rFonts w:hint="eastAsia" w:cs="Times New Roman"/>
                <w:color w:val="auto"/>
                <w:spacing w:val="0"/>
                <w:kern w:val="0"/>
                <w:sz w:val="24"/>
                <w:szCs w:val="24"/>
                <w:highlight w:val="none"/>
                <w:vertAlign w:val="superscript"/>
                <w:lang w:val="en-US" w:eastAsia="zh-CN"/>
              </w:rPr>
              <w:t>2</w:t>
            </w:r>
            <w:r>
              <w:rPr>
                <w:rFonts w:hint="eastAsia"/>
                <w:color w:val="auto"/>
                <w:sz w:val="24"/>
                <w:szCs w:val="24"/>
                <w:highlight w:val="none"/>
                <w:lang w:eastAsia="zh-CN"/>
              </w:rPr>
              <w:t>公益林</w:t>
            </w:r>
            <w:r>
              <w:rPr>
                <w:rFonts w:hint="eastAsia"/>
                <w:color w:val="auto"/>
                <w:sz w:val="24"/>
                <w:szCs w:val="24"/>
                <w:highlight w:val="none"/>
                <w:lang w:val="en-US" w:eastAsia="zh-CN"/>
              </w:rPr>
              <w:t>为临时用地，其中国家级二级公益林123033</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cs="Times New Roman"/>
                <w:color w:val="auto"/>
                <w:spacing w:val="0"/>
                <w:kern w:val="0"/>
                <w:sz w:val="24"/>
                <w:szCs w:val="24"/>
                <w:highlight w:val="none"/>
                <w:vertAlign w:val="baseline"/>
                <w:lang w:val="en-US" w:eastAsia="zh-CN"/>
              </w:rPr>
              <w:t>、省级公益林85071</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cs="Times New Roman"/>
                <w:color w:val="auto"/>
                <w:spacing w:val="0"/>
                <w:kern w:val="0"/>
                <w:sz w:val="24"/>
                <w:szCs w:val="24"/>
                <w:highlight w:val="none"/>
                <w:vertAlign w:val="baseline"/>
                <w:lang w:val="en-US" w:eastAsia="zh-CN"/>
              </w:rPr>
              <w:t>、市级公益林64831</w:t>
            </w:r>
            <w:r>
              <w:rPr>
                <w:rFonts w:hint="eastAsia" w:cs="Times New Roman"/>
                <w:color w:val="auto"/>
                <w:spacing w:val="0"/>
                <w:kern w:val="0"/>
                <w:sz w:val="24"/>
                <w:szCs w:val="24"/>
                <w:highlight w:val="none"/>
                <w:lang w:val="en-US" w:eastAsia="zh-CN"/>
              </w:rPr>
              <w:t>m</w:t>
            </w:r>
            <w:r>
              <w:rPr>
                <w:rFonts w:hint="eastAsia" w:cs="Times New Roman"/>
                <w:color w:val="auto"/>
                <w:spacing w:val="0"/>
                <w:kern w:val="0"/>
                <w:sz w:val="24"/>
                <w:szCs w:val="24"/>
                <w:highlight w:val="none"/>
                <w:vertAlign w:val="superscript"/>
                <w:lang w:val="en-US" w:eastAsia="zh-CN"/>
              </w:rPr>
              <w:t>2</w:t>
            </w:r>
            <w:r>
              <w:rPr>
                <w:rFonts w:hint="eastAsia" w:cs="Times New Roman"/>
                <w:color w:val="auto"/>
                <w:spacing w:val="0"/>
                <w:kern w:val="0"/>
                <w:sz w:val="24"/>
                <w:szCs w:val="24"/>
                <w:highlight w:val="none"/>
                <w:vertAlign w:val="baseline"/>
                <w:lang w:val="en-US" w:eastAsia="zh-CN"/>
              </w:rPr>
              <w:t>，</w:t>
            </w:r>
            <w:r>
              <w:rPr>
                <w:rFonts w:hint="eastAsia"/>
                <w:color w:val="auto"/>
                <w:sz w:val="24"/>
                <w:szCs w:val="24"/>
                <w:highlight w:val="none"/>
                <w:lang w:val="en-US" w:eastAsia="zh-CN"/>
              </w:rPr>
              <w:t>无需采伐。</w:t>
            </w:r>
          </w:p>
          <w:p w14:paraId="07CD55D8">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项目区林地质量良好。林地将改变用途，造成部分森林资源流失，会对当地的森林资源和林业生产产生一定影响。光伏阵列支</w:t>
            </w:r>
            <w:r>
              <w:rPr>
                <w:rFonts w:hint="eastAsia" w:ascii="Times New Roman" w:hAnsi="Times New Roman" w:eastAsia="宋体" w:cs="Times New Roman"/>
                <w:color w:val="auto"/>
                <w:sz w:val="24"/>
                <w:szCs w:val="24"/>
                <w:highlight w:val="none"/>
                <w:lang w:eastAsia="zh-CN"/>
              </w:rPr>
              <w:t>架</w:t>
            </w:r>
            <w:r>
              <w:rPr>
                <w:rFonts w:hint="default" w:ascii="Times New Roman" w:hAnsi="Times New Roman" w:eastAsia="宋体" w:cs="Times New Roman"/>
                <w:color w:val="auto"/>
                <w:sz w:val="24"/>
                <w:szCs w:val="24"/>
                <w:highlight w:val="none"/>
                <w:lang w:eastAsia="zh-CN"/>
              </w:rPr>
              <w:t>最低点应高于灌木高度1米以上</w:t>
            </w:r>
            <w:r>
              <w:rPr>
                <w:rFonts w:hint="eastAsia" w:ascii="Times New Roman" w:hAnsi="Times New Roman" w:eastAsia="宋体" w:cs="Times New Roman"/>
                <w:color w:val="auto"/>
                <w:sz w:val="24"/>
                <w:szCs w:val="24"/>
                <w:highlight w:val="none"/>
                <w:lang w:eastAsia="zh-CN"/>
              </w:rPr>
              <w:t>，不会影响该项目区地表灌草植被正常生长。根据</w:t>
            </w:r>
            <w:r>
              <w:rPr>
                <w:rFonts w:hint="eastAsia"/>
                <w:color w:val="auto"/>
                <w:sz w:val="24"/>
                <w:szCs w:val="24"/>
                <w:highlight w:val="none"/>
                <w:lang w:eastAsia="zh-CN"/>
              </w:rPr>
              <w:t>资料统计，建设项目拟永久使用公益林面积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，项目建设对周边区域林地资源和林木资源影响较小。</w:t>
            </w:r>
          </w:p>
          <w:p w14:paraId="1E52A6D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②使用林地对生态环境的影响分析</w:t>
            </w:r>
          </w:p>
          <w:p w14:paraId="619E2A7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项目永久拟使用公益林面积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，项目建设将导致项目区域森林资源的减少，但项目使用林地仅占项目区域林地面积的比例小，项目实施对项目区及周边区域森林资源的影响很小。</w:t>
            </w:r>
            <w:r>
              <w:rPr>
                <w:rFonts w:hint="eastAsia"/>
                <w:color w:val="auto"/>
                <w:sz w:val="24"/>
                <w:szCs w:val="24"/>
                <w:lang w:val="en-US" w:eastAsia="zh-CN"/>
              </w:rPr>
              <w:t>项目建设后占用林地的区域实施林光互补</w:t>
            </w:r>
            <w:r>
              <w:rPr>
                <w:rFonts w:hint="eastAsia"/>
                <w:color w:val="auto"/>
                <w:sz w:val="24"/>
                <w:szCs w:val="24"/>
                <w:lang w:eastAsia="zh-CN"/>
              </w:rPr>
              <w:t>，</w:t>
            </w:r>
            <w:r>
              <w:rPr>
                <w:rFonts w:hint="eastAsia"/>
                <w:color w:val="auto"/>
                <w:sz w:val="24"/>
                <w:szCs w:val="24"/>
                <w:highlight w:val="none"/>
                <w:lang w:eastAsia="zh-CN"/>
              </w:rPr>
              <w:t>因此虽有部分林地被改变用途，其数量上会有所减少，但不会对项目区内的动物物种、种群数量及其生境产生影响。</w:t>
            </w:r>
          </w:p>
          <w:p w14:paraId="2AD151F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由于项目区的植被类型和植物种类与周边区域相同，且植被较为稀少。因此，虽有部分林地被改变用途，其数量上会有所减少，但物种不会减少，且项目建设地不是动物迁徙的主要通道。因此，项目建设对周边区域的生物多样性影响不大。</w:t>
            </w:r>
          </w:p>
          <w:p w14:paraId="0A7E98A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③使用林地对生态效能的影响分析</w:t>
            </w:r>
          </w:p>
          <w:p w14:paraId="5D2B091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根据项目建设的特点，项目的建设将改变林地的用途，会使项目区原森林生态防护效能丧失。项目建成后，虽会造成原有林地面积减少，对项目建设区生态环境有影响，但对周围环境不会有大的影响，且永久使用公益林面积</w:t>
            </w:r>
            <w:r>
              <w:rPr>
                <w:rFonts w:hint="eastAsia" w:cs="Times New Roman"/>
                <w:color w:val="auto"/>
                <w:kern w:val="0"/>
                <w:sz w:val="24"/>
                <w:szCs w:val="24"/>
                <w:highlight w:val="none"/>
                <w:lang w:val="en-US" w:eastAsia="zh-CN"/>
              </w:rPr>
              <w:t>0.015</w:t>
            </w:r>
            <w:r>
              <w:rPr>
                <w:rFonts w:hint="eastAsia" w:ascii="Times New Roman" w:hAnsi="Times New Roman" w:eastAsia="宋体" w:cs="Times New Roman"/>
                <w:color w:val="auto"/>
                <w:kern w:val="0"/>
                <w:sz w:val="24"/>
                <w:szCs w:val="24"/>
                <w:highlight w:val="none"/>
                <w:lang w:eastAsia="zh-CN"/>
              </w:rPr>
              <w:t>hm</w:t>
            </w:r>
            <w:r>
              <w:rPr>
                <w:rFonts w:hint="eastAsia" w:ascii="Times New Roman" w:hAnsi="Times New Roman" w:eastAsia="宋体" w:cs="Times New Roman"/>
                <w:color w:val="auto"/>
                <w:kern w:val="0"/>
                <w:sz w:val="24"/>
                <w:szCs w:val="24"/>
                <w:highlight w:val="none"/>
                <w:vertAlign w:val="superscript"/>
                <w:lang w:eastAsia="zh-CN"/>
              </w:rPr>
              <w:t>2</w:t>
            </w:r>
            <w:r>
              <w:rPr>
                <w:rFonts w:hint="eastAsia"/>
                <w:color w:val="auto"/>
                <w:sz w:val="24"/>
                <w:szCs w:val="24"/>
                <w:highlight w:val="none"/>
                <w:lang w:eastAsia="zh-CN"/>
              </w:rPr>
              <w:t>，</w:t>
            </w:r>
            <w:r>
              <w:rPr>
                <w:rFonts w:hint="eastAsia"/>
                <w:color w:val="auto"/>
                <w:sz w:val="24"/>
                <w:szCs w:val="24"/>
                <w:highlight w:val="none"/>
                <w:lang w:val="en-US" w:eastAsia="zh-CN"/>
              </w:rPr>
              <w:t>所</w:t>
            </w:r>
            <w:r>
              <w:rPr>
                <w:rFonts w:hint="eastAsia"/>
                <w:color w:val="auto"/>
                <w:sz w:val="24"/>
                <w:szCs w:val="24"/>
                <w:highlight w:val="none"/>
                <w:lang w:eastAsia="zh-CN"/>
              </w:rPr>
              <w:t>占比例并不大，对其周边森林生态防护效能的影响小。</w:t>
            </w:r>
          </w:p>
          <w:p w14:paraId="702117E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④对景观风貌的影响分析</w:t>
            </w:r>
          </w:p>
          <w:p w14:paraId="15BAFA01">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rPr>
            </w:pPr>
            <w:r>
              <w:rPr>
                <w:rFonts w:hint="eastAsia"/>
                <w:color w:val="auto"/>
                <w:sz w:val="24"/>
                <w:szCs w:val="24"/>
                <w:highlight w:val="none"/>
              </w:rPr>
              <w:t>项目区</w:t>
            </w:r>
            <w:r>
              <w:rPr>
                <w:rFonts w:hint="eastAsia"/>
                <w:color w:val="auto"/>
                <w:sz w:val="24"/>
                <w:szCs w:val="24"/>
                <w:highlight w:val="none"/>
                <w:lang w:val="en-US" w:eastAsia="zh-CN"/>
              </w:rPr>
              <w:t>林地类型</w:t>
            </w:r>
            <w:r>
              <w:rPr>
                <w:rFonts w:hint="eastAsia"/>
                <w:color w:val="auto"/>
                <w:sz w:val="24"/>
                <w:szCs w:val="24"/>
                <w:highlight w:val="none"/>
              </w:rPr>
              <w:t>为</w:t>
            </w:r>
            <w:r>
              <w:rPr>
                <w:rFonts w:hint="eastAsia"/>
                <w:color w:val="auto"/>
                <w:sz w:val="24"/>
                <w:szCs w:val="24"/>
                <w:highlight w:val="none"/>
                <w:lang w:eastAsia="zh-CN"/>
              </w:rPr>
              <w:t>其他林地</w:t>
            </w:r>
            <w:r>
              <w:rPr>
                <w:rFonts w:hint="eastAsia"/>
                <w:color w:val="auto"/>
                <w:sz w:val="24"/>
                <w:szCs w:val="24"/>
                <w:highlight w:val="none"/>
              </w:rPr>
              <w:t>、灌木林地和</w:t>
            </w:r>
            <w:r>
              <w:rPr>
                <w:rFonts w:hint="eastAsia"/>
                <w:color w:val="auto"/>
                <w:sz w:val="24"/>
                <w:szCs w:val="24"/>
                <w:highlight w:val="none"/>
                <w:lang w:eastAsia="zh-CN"/>
              </w:rPr>
              <w:t>公益林</w:t>
            </w:r>
            <w:r>
              <w:rPr>
                <w:rFonts w:hint="eastAsia"/>
                <w:color w:val="auto"/>
                <w:sz w:val="24"/>
                <w:szCs w:val="24"/>
                <w:highlight w:val="none"/>
              </w:rPr>
              <w:t>，使用林地后，对项目区域景观风貌影响较小。项目建设需要使用部分林地，施工中将破坏一定数量的地表植被，林地用途将发生改变，一定程度上破坏了区域内景观潜在的美学价值，对周边自然景观有一定影响。</w:t>
            </w:r>
          </w:p>
          <w:p w14:paraId="0C596F2A">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根据</w:t>
            </w:r>
            <w:r>
              <w:rPr>
                <w:rFonts w:hint="eastAsia"/>
                <w:color w:val="auto"/>
                <w:sz w:val="24"/>
                <w:szCs w:val="24"/>
                <w:highlight w:val="none"/>
                <w:lang w:eastAsia="zh-CN"/>
              </w:rPr>
              <w:t>梳山光伏发电项目</w:t>
            </w:r>
            <w:r>
              <w:rPr>
                <w:rFonts w:hint="eastAsia"/>
                <w:b w:val="0"/>
                <w:bCs/>
                <w:color w:val="auto"/>
                <w:sz w:val="24"/>
                <w:szCs w:val="24"/>
                <w:highlight w:val="none"/>
                <w:lang w:val="en-US" w:eastAsia="zh-CN"/>
              </w:rPr>
              <w:t>的需要及选址的特殊性，不可避免地要使用部分林地才能建成。根据《云南省林业和草原局云南省能源局关于进一步规范光伏复合项目使用林草地有关事项的通知》（云林规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highlight w:val="none"/>
                <w:lang w:val="en-US" w:eastAsia="zh-CN"/>
              </w:rPr>
              <w:t>〔</w:t>
            </w:r>
            <w:r>
              <w:rPr>
                <w:rFonts w:hint="eastAsia"/>
                <w:b w:val="0"/>
                <w:bCs/>
                <w:color w:val="auto"/>
                <w:sz w:val="24"/>
                <w:szCs w:val="24"/>
                <w:highlight w:val="none"/>
                <w:lang w:val="en-US" w:eastAsia="zh-CN"/>
              </w:rPr>
              <w:t>2021〕5号）文件规定：光伏复合项目电池组件阵列用地涉及林地以外农用地的，建设标准应严格按照《云南省自然资源厅云南省能源局关于进一步支持光伏扶贫和规范光伏发电产业用地的通知》（云自然资〔2019〕196号）要求执行。因此，项目电池组件阵列地块通过租赁、作价入股等流转方式使用，需在寻甸县自然资源局和寻甸县林业和草原局进行备案。</w:t>
            </w:r>
          </w:p>
          <w:p w14:paraId="271CD65C">
            <w:pPr>
              <w:keepNext w:val="0"/>
              <w:keepLines w:val="0"/>
              <w:suppressLineNumbers w:val="0"/>
              <w:adjustRightInd w:val="0"/>
              <w:snapToGrid w:val="0"/>
              <w:spacing w:before="0" w:beforeAutospacing="0" w:after="0" w:afterAutospacing="0" w:line="360" w:lineRule="auto"/>
              <w:ind w:left="0" w:right="0" w:firstLine="480" w:firstLineChars="200"/>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说明：根据《云南省林业和草原局云南省能源局关于进一步规范光伏复合项目使用林草地有关事项的通知》（云林规</w:t>
            </w:r>
            <w:r>
              <w:rPr>
                <w:rFonts w:hint="default" w:ascii="Times New Roman" w:hAnsi="Times New Roman" w:cs="Times New Roman"/>
                <w:b w:val="0"/>
                <w:bCs/>
                <w:color w:val="auto"/>
                <w:sz w:val="24"/>
                <w:szCs w:val="24"/>
                <w:highlight w:val="none"/>
                <w:lang w:val="en-US" w:eastAsia="zh-CN"/>
              </w:rPr>
              <w:t>〔</w:t>
            </w:r>
            <w:r>
              <w:rPr>
                <w:rFonts w:hint="eastAsia"/>
                <w:b w:val="0"/>
                <w:bCs/>
                <w:color w:val="auto"/>
                <w:sz w:val="24"/>
                <w:szCs w:val="24"/>
                <w:highlight w:val="none"/>
                <w:lang w:val="en-US" w:eastAsia="zh-CN"/>
              </w:rPr>
              <w:t>2021〕5号），电池组件阵列使用林地由项目业主单位与林权权利人签订书面协议，通过租赁、作价入股等流转方式使用林地，在用地报批阶段明确用地红线范围，待光伏电站设施占用林地经审核同意后方可开展建设，不再办理使用林地手续。</w:t>
            </w:r>
          </w:p>
          <w:p w14:paraId="59343EA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b w:val="0"/>
                <w:bCs/>
                <w:color w:val="auto"/>
                <w:sz w:val="24"/>
                <w:szCs w:val="24"/>
                <w:highlight w:val="none"/>
                <w:lang w:val="en-US" w:eastAsia="zh-CN"/>
              </w:rPr>
              <w:t>项目电池组件阵列未使用有林地、疏林地、未成林造林地、采伐迹地、火烧迹地；使用灌木林地盖度低于50%。建设项目支架基础的最低架设</w:t>
            </w:r>
            <w:r>
              <w:rPr>
                <w:rFonts w:hint="default" w:ascii="Times New Roman" w:hAnsi="Times New Roman" w:eastAsia="宋体" w:cs="Times New Roman"/>
                <w:color w:val="auto"/>
                <w:sz w:val="24"/>
                <w:szCs w:val="24"/>
                <w:highlight w:val="none"/>
                <w:lang w:val="en-US" w:eastAsia="zh-CN"/>
              </w:rPr>
              <w:t>点应高于灌木高度1米以上</w:t>
            </w:r>
            <w:r>
              <w:rPr>
                <w:rFonts w:hint="eastAsia"/>
                <w:b w:val="0"/>
                <w:bCs/>
                <w:color w:val="auto"/>
                <w:sz w:val="24"/>
                <w:szCs w:val="24"/>
                <w:highlight w:val="none"/>
                <w:lang w:val="en-US" w:eastAsia="zh-CN"/>
              </w:rPr>
              <w:t>，与《云南省林业和草原局云南省能源局关于进一步规范光伏复合项目使用林草地有关事项的通知》（云林规〔2021〕5号）相符。</w:t>
            </w:r>
          </w:p>
          <w:p w14:paraId="2560913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rPr>
            </w:pPr>
            <w:r>
              <w:rPr>
                <w:rFonts w:hint="eastAsia"/>
                <w:bCs/>
                <w:color w:val="auto"/>
                <w:sz w:val="24"/>
                <w:highlight w:val="none"/>
                <w:shd w:val="clear" w:color="auto" w:fill="auto"/>
                <w:lang w:val="en-US" w:eastAsia="zh-CN"/>
              </w:rPr>
              <w:t>4</w:t>
            </w:r>
            <w:r>
              <w:rPr>
                <w:rFonts w:hint="eastAsia"/>
                <w:bCs/>
                <w:color w:val="auto"/>
                <w:sz w:val="24"/>
                <w:highlight w:val="none"/>
                <w:shd w:val="clear" w:color="auto" w:fill="auto"/>
              </w:rPr>
              <w:t>）对动物的影响分析</w:t>
            </w:r>
          </w:p>
          <w:p w14:paraId="7AEC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建设对野生动物的影响主要是</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施工期带来的影响，包括项目占地带来的影响和施工活动带来的影响。</w:t>
            </w:r>
          </w:p>
          <w:p w14:paraId="0DF4B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在施工期，</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占地和施工生产区等占用原有陆栖脊椎野生动物的栖息生境，使其栖息和活动场所缩小，如小型穴居哺乳类和爬行类的洞穴、鸟类巢区的生境将遭到破坏，少数动物的生活和繁殖活动将受到一定影响。结果迫使原栖息在该区域的动物迁往其他适宜的生境，动物种群数量在一段时间内将会有大的波动，但这一类型的影响不会导致当地物种的灭绝和消失。本项目占用和破坏的植被类型较为简单，在这些生境中生活的野生动物的种类和数量都比较贫乏，现场调查时未发现当地分布的特有种类和保护种类，物种多样性不丰富，而且区域内分布的这些动物的活动性较强，均为区域广泛分布物种，因此，本项目建设对区域野生动物的影响较小。</w:t>
            </w:r>
            <w:r>
              <w:rPr>
                <w:rFonts w:hint="default" w:ascii="Times New Roman" w:hAnsi="Times New Roman" w:eastAsia="宋体" w:cs="Times New Roman"/>
                <w:color w:val="auto"/>
                <w:sz w:val="24"/>
                <w:szCs w:val="24"/>
                <w:highlight w:val="none"/>
                <w:lang w:val="en-US" w:eastAsia="zh-CN"/>
              </w:rPr>
              <w:t xml:space="preserve"> </w:t>
            </w:r>
          </w:p>
          <w:p w14:paraId="44F864DA">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实施对陆生野生脊椎动物的影响在以下三方面：①施工对动物生境的干扰和破坏，如施工砍伐树木对动物栖息地的破坏等；②施工人员的人为干扰；③施工噪声对动物生境的破坏以及对动物的惊吓、驱赶等。影响的结果将使得大部分动物</w:t>
            </w:r>
            <w:r>
              <w:rPr>
                <w:rFonts w:hint="default" w:ascii="Times New Roman" w:hAnsi="Times New Roman" w:eastAsia="宋体" w:cs="Times New Roman"/>
                <w:color w:val="auto"/>
                <w:sz w:val="24"/>
                <w:szCs w:val="24"/>
                <w:highlight w:val="none"/>
                <w:lang w:eastAsia="zh-CN"/>
              </w:rPr>
              <w:t>迁移他处</w:t>
            </w:r>
            <w:r>
              <w:rPr>
                <w:rFonts w:hint="default" w:ascii="Times New Roman" w:hAnsi="Times New Roman" w:eastAsia="宋体" w:cs="Times New Roman"/>
                <w:color w:val="auto"/>
                <w:sz w:val="24"/>
                <w:szCs w:val="24"/>
                <w:highlight w:val="none"/>
              </w:rPr>
              <w:t>，远离施工影响范围。在评价区有较多的鸟类，偶尔会进入项目区，鸟类具有较强的趋避能力，会飞离项目区，重新寻找周边新的适宜生境和栖息地，因此，在施工期上述鸟类受到施工干扰，将减少到项目区附近觅食、活动。但以上鸟类运动能力较强，生境范围在</w:t>
            </w:r>
            <w:r>
              <w:rPr>
                <w:rFonts w:hint="eastAsia" w:cs="Times New Roman"/>
                <w:color w:val="auto"/>
                <w:sz w:val="24"/>
                <w:szCs w:val="24"/>
                <w:highlight w:val="none"/>
                <w:lang w:val="en-US" w:eastAsia="zh-CN"/>
              </w:rPr>
              <w:t>寻甸</w:t>
            </w:r>
            <w:r>
              <w:rPr>
                <w:rFonts w:hint="eastAsia" w:cs="Times New Roman"/>
                <w:color w:val="auto"/>
                <w:sz w:val="24"/>
                <w:szCs w:val="24"/>
                <w:highlight w:val="none"/>
                <w:lang w:eastAsia="zh-CN"/>
              </w:rPr>
              <w:t>县</w:t>
            </w:r>
            <w:r>
              <w:rPr>
                <w:rFonts w:hint="default" w:ascii="Times New Roman" w:hAnsi="Times New Roman" w:eastAsia="宋体" w:cs="Times New Roman"/>
                <w:color w:val="auto"/>
                <w:sz w:val="24"/>
                <w:szCs w:val="24"/>
                <w:highlight w:val="none"/>
              </w:rPr>
              <w:t>广泛分布，项目施工不会造成当地鸟类物种灭绝或数量锐减，也不会造成鸟类多样性的明显降低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因此，只要加强施工管理，项目建设对鸟类的影响</w:t>
            </w:r>
            <w:r>
              <w:rPr>
                <w:rFonts w:hint="default" w:ascii="Times New Roman" w:hAnsi="Times New Roman" w:eastAsia="宋体" w:cs="Times New Roman"/>
                <w:color w:val="auto"/>
                <w:sz w:val="24"/>
                <w:szCs w:val="24"/>
                <w:highlight w:val="none"/>
                <w:lang w:val="en-US" w:eastAsia="zh-CN"/>
              </w:rPr>
              <w:t>小</w:t>
            </w:r>
            <w:r>
              <w:rPr>
                <w:rFonts w:hint="default" w:ascii="Times New Roman" w:hAnsi="Times New Roman" w:eastAsia="宋体" w:cs="Times New Roman"/>
                <w:color w:val="auto"/>
                <w:sz w:val="24"/>
                <w:szCs w:val="24"/>
                <w:highlight w:val="none"/>
              </w:rPr>
              <w:t>。</w:t>
            </w:r>
          </w:p>
          <w:p w14:paraId="273EF357">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highlight w:val="none"/>
              </w:rPr>
            </w:pPr>
            <w:r>
              <w:rPr>
                <w:rFonts w:hint="eastAsia"/>
                <w:bCs/>
                <w:color w:val="auto"/>
                <w:sz w:val="24"/>
                <w:highlight w:val="none"/>
                <w:lang w:val="en-US" w:eastAsia="zh-CN"/>
              </w:rPr>
              <w:t>5</w:t>
            </w:r>
            <w:r>
              <w:rPr>
                <w:rFonts w:hint="eastAsia"/>
                <w:bCs/>
                <w:color w:val="auto"/>
                <w:sz w:val="24"/>
                <w:highlight w:val="none"/>
              </w:rPr>
              <w:t>）对水土流失影响分析</w:t>
            </w:r>
          </w:p>
          <w:p w14:paraId="02E454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olor w:val="auto"/>
                <w:sz w:val="24"/>
                <w:highlight w:val="none"/>
              </w:rPr>
              <w:t>本项目</w:t>
            </w:r>
            <w:r>
              <w:rPr>
                <w:rFonts w:hint="default" w:ascii="Times New Roman" w:hAnsi="Times New Roman" w:eastAsia="宋体"/>
                <w:color w:val="auto"/>
                <w:sz w:val="24"/>
                <w:highlight w:val="none"/>
              </w:rPr>
              <w:t>太阳</w:t>
            </w:r>
            <w:r>
              <w:rPr>
                <w:rFonts w:hint="eastAsia" w:ascii="Times New Roman" w:hAnsi="Times New Roman" w:eastAsia="宋体"/>
                <w:color w:val="auto"/>
                <w:sz w:val="24"/>
                <w:highlight w:val="none"/>
              </w:rPr>
              <w:t>能</w:t>
            </w:r>
            <w:r>
              <w:rPr>
                <w:rFonts w:hint="default" w:ascii="Times New Roman" w:hAnsi="Times New Roman" w:eastAsia="宋体"/>
                <w:color w:val="auto"/>
                <w:sz w:val="24"/>
                <w:highlight w:val="none"/>
              </w:rPr>
              <w:t>电池方阵</w:t>
            </w:r>
            <w:r>
              <w:rPr>
                <w:rFonts w:hint="eastAsia" w:ascii="Times New Roman" w:hAnsi="Times New Roman" w:eastAsia="宋体"/>
                <w:color w:val="auto"/>
                <w:sz w:val="24"/>
                <w:highlight w:val="none"/>
              </w:rPr>
              <w:t>虽</w:t>
            </w:r>
            <w:r>
              <w:rPr>
                <w:rFonts w:hint="default" w:ascii="Times New Roman" w:hAnsi="Times New Roman" w:eastAsia="宋体"/>
                <w:color w:val="auto"/>
                <w:sz w:val="24"/>
                <w:highlight w:val="none"/>
              </w:rPr>
              <w:t>占地面积大，</w:t>
            </w:r>
            <w:r>
              <w:rPr>
                <w:rFonts w:hint="eastAsia" w:ascii="Times New Roman" w:hAnsi="Times New Roman" w:eastAsia="宋体"/>
                <w:color w:val="auto"/>
                <w:sz w:val="24"/>
                <w:highlight w:val="none"/>
              </w:rPr>
              <w:t>但光伏场区仅</w:t>
            </w:r>
            <w:r>
              <w:rPr>
                <w:rFonts w:hint="default" w:ascii="Times New Roman" w:hAnsi="Times New Roman" w:eastAsia="宋体"/>
                <w:color w:val="auto"/>
                <w:sz w:val="24"/>
                <w:highlight w:val="none"/>
              </w:rPr>
              <w:t>支架基础</w:t>
            </w:r>
            <w:r>
              <w:rPr>
                <w:rFonts w:hint="eastAsia" w:ascii="Times New Roman" w:hAnsi="Times New Roman" w:eastAsia="宋体"/>
                <w:color w:val="auto"/>
                <w:sz w:val="24"/>
                <w:highlight w:val="none"/>
                <w:lang w:eastAsia="zh-CN"/>
              </w:rPr>
              <w:t>等</w:t>
            </w:r>
            <w:r>
              <w:rPr>
                <w:rFonts w:hint="default" w:ascii="Times New Roman" w:hAnsi="Times New Roman" w:eastAsia="宋体"/>
                <w:color w:val="auto"/>
                <w:sz w:val="24"/>
                <w:highlight w:val="none"/>
              </w:rPr>
              <w:t>施工时</w:t>
            </w:r>
            <w:r>
              <w:rPr>
                <w:rFonts w:hint="eastAsia" w:ascii="Times New Roman" w:hAnsi="Times New Roman" w:eastAsia="宋体"/>
                <w:color w:val="auto"/>
                <w:sz w:val="24"/>
                <w:highlight w:val="none"/>
              </w:rPr>
              <w:t>对地面有扰动，总扰动面积较小，太阳能电池板下</w:t>
            </w:r>
            <w:r>
              <w:rPr>
                <w:rFonts w:hint="eastAsia" w:ascii="Times New Roman" w:hAnsi="Times New Roman" w:eastAsia="宋体"/>
                <w:color w:val="auto"/>
                <w:sz w:val="24"/>
                <w:highlight w:val="none"/>
                <w:lang w:eastAsia="zh-CN"/>
              </w:rPr>
              <w:t>进行生态恢复</w:t>
            </w:r>
            <w:r>
              <w:rPr>
                <w:rFonts w:hint="eastAsia" w:ascii="Times New Roman" w:hAnsi="Times New Roman" w:eastAsia="宋体"/>
                <w:color w:val="auto"/>
                <w:sz w:val="24"/>
                <w:highlight w:val="none"/>
              </w:rPr>
              <w:t>，基本不会造成水土流失。</w:t>
            </w:r>
            <w:r>
              <w:rPr>
                <w:rFonts w:hint="eastAsia" w:ascii="Times New Roman" w:hAnsi="Times New Roman" w:eastAsia="宋体"/>
                <w:color w:val="auto"/>
                <w:sz w:val="24"/>
                <w:highlight w:val="none"/>
                <w:lang w:eastAsia="zh-CN"/>
              </w:rPr>
              <w:t>另外，</w:t>
            </w:r>
            <w:r>
              <w:rPr>
                <w:rFonts w:hint="eastAsia" w:ascii="Times New Roman" w:hAnsi="Times New Roman" w:eastAsia="宋体"/>
                <w:color w:val="auto"/>
                <w:sz w:val="24"/>
                <w:highlight w:val="none"/>
              </w:rPr>
              <w:t>由于一些施工临时性工程，如场内道路若防治不当，会新增区域水土流失量，对区域造成水土流失影响。</w:t>
            </w:r>
            <w:r>
              <w:rPr>
                <w:rFonts w:hint="default" w:ascii="Times New Roman" w:hAnsi="Times New Roman" w:eastAsia="宋体"/>
                <w:color w:val="auto"/>
                <w:sz w:val="24"/>
                <w:highlight w:val="none"/>
              </w:rPr>
              <w:t>因此，在</w:t>
            </w:r>
            <w:r>
              <w:rPr>
                <w:rFonts w:hint="eastAsia" w:ascii="Times New Roman" w:hAnsi="Times New Roman" w:eastAsia="宋体"/>
                <w:color w:val="auto"/>
                <w:sz w:val="24"/>
                <w:highlight w:val="none"/>
              </w:rPr>
              <w:t>项目</w:t>
            </w:r>
            <w:r>
              <w:rPr>
                <w:rFonts w:hint="default" w:ascii="Times New Roman" w:hAnsi="Times New Roman" w:eastAsia="宋体"/>
                <w:color w:val="auto"/>
                <w:sz w:val="24"/>
                <w:highlight w:val="none"/>
              </w:rPr>
              <w:t>施工中应高度重视水土保持</w:t>
            </w:r>
            <w:r>
              <w:rPr>
                <w:rFonts w:hint="eastAsia" w:ascii="Times New Roman" w:hAnsi="Times New Roman" w:eastAsia="宋体"/>
                <w:color w:val="auto"/>
                <w:sz w:val="24"/>
                <w:highlight w:val="none"/>
              </w:rPr>
              <w:t>工作</w:t>
            </w:r>
            <w:r>
              <w:rPr>
                <w:rFonts w:hint="default" w:ascii="Times New Roman" w:hAnsi="Times New Roman" w:eastAsia="宋体"/>
                <w:color w:val="auto"/>
                <w:sz w:val="24"/>
                <w:highlight w:val="none"/>
              </w:rPr>
              <w:t>，严格按照水土保持有关要求进行设计施工</w:t>
            </w:r>
            <w:r>
              <w:rPr>
                <w:rFonts w:hint="eastAsia" w:ascii="Times New Roman" w:hAnsi="Times New Roman" w:eastAsia="宋体"/>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场内道路施工过程中应尽量减少边坡开挖，严格执行水保措施，沿光伏方阵上游外围设置截排水沟，截排水沟末段布设了永久沉砂池进行泥沙沉淀，避免暴雨洪峰对主体工程冲刷影响；光伏方阵及空地扰动区域设计了底层绿化；场内道路区设计了排水沟和管涵。施工营场地等临时设施施工结束后及时进行恢复。通过采取上述措施减少对水土流失的影响。</w:t>
            </w:r>
          </w:p>
          <w:p w14:paraId="2343C71F">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val="en-US" w:eastAsia="zh-CN" w:bidi="ar"/>
              </w:rPr>
              <w:t>6</w:t>
            </w:r>
            <w:r>
              <w:rPr>
                <w:rFonts w:hint="default"/>
                <w:color w:val="auto"/>
                <w:kern w:val="0"/>
                <w:sz w:val="24"/>
                <w:highlight w:val="none"/>
                <w:lang w:bidi="ar"/>
              </w:rPr>
              <w:t>）对生物多样性影响</w:t>
            </w:r>
          </w:p>
          <w:p w14:paraId="45AC006D">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kern w:val="0"/>
                <w:sz w:val="24"/>
                <w:highlight w:val="none"/>
                <w:lang w:bidi="ar"/>
              </w:rPr>
              <w:t>施工作业主要对施工场地、施工道路等的植被造成破坏，项目建设完成后对施工迹地采取绿化措施。项目评价区域动植物种类为区域常见种和广布种，</w:t>
            </w:r>
            <w:r>
              <w:rPr>
                <w:rFonts w:hint="eastAsia" w:hAnsi="宋体"/>
                <w:color w:val="auto"/>
                <w:sz w:val="24"/>
                <w:szCs w:val="24"/>
                <w:highlight w:val="none"/>
                <w:lang w:val="en-US" w:eastAsia="zh-CN"/>
              </w:rPr>
              <w:t>不</w:t>
            </w:r>
            <w:r>
              <w:rPr>
                <w:rFonts w:hint="default" w:ascii="Times New Roman" w:hAnsi="Times New Roman" w:cs="Times New Roman"/>
                <w:color w:val="auto"/>
                <w:kern w:val="0"/>
                <w:sz w:val="24"/>
                <w:highlight w:val="none"/>
                <w:lang w:val="en-US" w:eastAsia="zh-CN"/>
              </w:rPr>
              <w:t>存在极小种群、重点保护野生植物以及特殊（珍稀）植物群落等</w:t>
            </w:r>
            <w:r>
              <w:rPr>
                <w:rFonts w:hint="default"/>
                <w:color w:val="auto"/>
                <w:kern w:val="0"/>
                <w:sz w:val="24"/>
                <w:highlight w:val="none"/>
                <w:lang w:bidi="ar"/>
              </w:rPr>
              <w:t>，生态系统类型在项目周边区域分布较广，动物基本为当地常见物种，项目施工会导致动物向周边环境迁徙，不会影响区域的动物生物多样性。项目建成后通过</w:t>
            </w:r>
            <w:r>
              <w:rPr>
                <w:rFonts w:hint="eastAsia"/>
                <w:color w:val="auto"/>
                <w:kern w:val="0"/>
                <w:sz w:val="24"/>
                <w:highlight w:val="none"/>
                <w:lang w:val="en-US" w:eastAsia="zh-CN" w:bidi="ar"/>
              </w:rPr>
              <w:t>植被恢复</w:t>
            </w:r>
            <w:r>
              <w:rPr>
                <w:rFonts w:hint="default"/>
                <w:color w:val="auto"/>
                <w:kern w:val="0"/>
                <w:sz w:val="24"/>
                <w:highlight w:val="none"/>
                <w:lang w:bidi="ar"/>
              </w:rPr>
              <w:t>可以恢复被扰动的区域植被，对植物种类的多样性和植被类型的多样性影响较小。</w:t>
            </w:r>
          </w:p>
          <w:p w14:paraId="32E2BD7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lang w:eastAsia="zh-CN" w:bidi="ar"/>
              </w:rPr>
            </w:pPr>
            <w:r>
              <w:rPr>
                <w:rFonts w:hint="eastAsia"/>
                <w:color w:val="auto"/>
                <w:kern w:val="0"/>
                <w:sz w:val="24"/>
                <w:highlight w:val="none"/>
                <w:lang w:val="en-US" w:eastAsia="zh-CN" w:bidi="ar"/>
              </w:rPr>
              <w:t>7</w:t>
            </w:r>
            <w:r>
              <w:rPr>
                <w:rFonts w:hint="eastAsia"/>
                <w:color w:val="auto"/>
                <w:kern w:val="0"/>
                <w:sz w:val="24"/>
                <w:highlight w:val="none"/>
                <w:lang w:eastAsia="zh-CN" w:bidi="ar"/>
              </w:rPr>
              <w:t>）对景观的影响分析</w:t>
            </w:r>
          </w:p>
          <w:p w14:paraId="2366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拟建项目施工期将破坏地表植被，引起水土流失，破坏原有的灌木林地等景观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施工机械和施工人员进驻给原有的景观环境增添了不和谐的景色</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临时材料堆场形成突兀、不规则的堆状物，与周围的景观形成反差，同时，</w:t>
            </w:r>
            <w:r>
              <w:rPr>
                <w:rFonts w:hint="eastAsia" w:cs="Times New Roman"/>
                <w:color w:val="auto"/>
                <w:sz w:val="24"/>
                <w:szCs w:val="24"/>
                <w:highlight w:val="none"/>
                <w:lang w:eastAsia="zh-CN"/>
              </w:rPr>
              <w:t>旱季</w:t>
            </w:r>
            <w:r>
              <w:rPr>
                <w:rFonts w:hint="default" w:ascii="Times New Roman" w:hAnsi="Times New Roman" w:eastAsia="宋体" w:cs="Times New Roman"/>
                <w:color w:val="auto"/>
                <w:sz w:val="24"/>
                <w:szCs w:val="24"/>
                <w:highlight w:val="none"/>
                <w:lang w:eastAsia="zh-CN"/>
              </w:rPr>
              <w:t>易形成扬尘，雨季易产生土壤侵蚀，对周围景观产生破坏和影响</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工程施工期间，施工机械所产生的噪声、扬尘、废气、工程垃圾等都会对周围的环境造成污染，给区域景观带来一定的破坏。上述影响均发生在施工期，对景观的影响是短暂的。随着施工期的结束，影响逐渐消失。</w:t>
            </w:r>
          </w:p>
          <w:p w14:paraId="05FBE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施工结束后将会对临时施工区进行植被恢复，施工期所损失的植被面积将得到一定恢复。随着临时施工区的植被恢复及场区绿化工程的完工，因项目占地改变土地性质破坏植被而损失的生物量将逐渐得到一定的恢复。另外，项目光伏阵列占地多为临时占地，后期拟在光伏太阳能板下种植当地适宜</w:t>
            </w:r>
            <w:r>
              <w:rPr>
                <w:rFonts w:hint="eastAsia" w:cs="Times New Roman"/>
                <w:color w:val="auto"/>
                <w:sz w:val="24"/>
                <w:szCs w:val="24"/>
                <w:highlight w:val="none"/>
                <w:lang w:val="en-US" w:eastAsia="zh-CN"/>
              </w:rPr>
              <w:t>林草</w:t>
            </w:r>
            <w:r>
              <w:rPr>
                <w:rFonts w:hint="default" w:ascii="Times New Roman" w:hAnsi="Times New Roman" w:eastAsia="宋体" w:cs="Times New Roman"/>
                <w:color w:val="auto"/>
                <w:sz w:val="24"/>
                <w:szCs w:val="24"/>
                <w:highlight w:val="none"/>
                <w:lang w:eastAsia="zh-CN"/>
              </w:rPr>
              <w:t>植被，实现</w:t>
            </w:r>
            <w:r>
              <w:rPr>
                <w:rFonts w:hint="eastAsia" w:ascii="Times New Roman" w:hAnsi="Times New Roman" w:eastAsia="宋体" w:cs="Times New Roman"/>
                <w:color w:val="auto"/>
                <w:sz w:val="24"/>
                <w:szCs w:val="24"/>
                <w:highlight w:val="none"/>
                <w:lang w:eastAsia="zh-CN"/>
              </w:rPr>
              <w:t>林光互补</w:t>
            </w:r>
            <w:r>
              <w:rPr>
                <w:rFonts w:hint="default" w:ascii="Times New Roman" w:hAnsi="Times New Roman" w:eastAsia="宋体" w:cs="Times New Roman"/>
                <w:color w:val="auto"/>
                <w:sz w:val="24"/>
                <w:szCs w:val="24"/>
                <w:highlight w:val="none"/>
                <w:lang w:eastAsia="zh-CN"/>
              </w:rPr>
              <w:t>后项目区临时占用的灌木林地等区域植被将逐渐得到恢复</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因此项目临时占地对区域的生物量及生产力的影响不大。</w:t>
            </w:r>
          </w:p>
          <w:p w14:paraId="489C1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项目建设对区域生物量、生产力的影响不大，在可接受范围内。</w:t>
            </w:r>
          </w:p>
          <w:p w14:paraId="594364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kern w:val="0"/>
                <w:sz w:val="24"/>
                <w:highlight w:val="none"/>
                <w:lang w:val="en-US" w:eastAsia="zh-CN" w:bidi="ar"/>
              </w:rPr>
            </w:pPr>
            <w:r>
              <w:rPr>
                <w:rFonts w:hint="eastAsia"/>
                <w:color w:val="auto"/>
                <w:kern w:val="0"/>
                <w:sz w:val="24"/>
                <w:highlight w:val="none"/>
                <w:lang w:val="en-US" w:eastAsia="zh-CN" w:bidi="ar"/>
              </w:rPr>
              <w:t>8）林业种植对当地生态系统影响分析</w:t>
            </w:r>
          </w:p>
          <w:p w14:paraId="73F9B7AB">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highlight w:val="none"/>
              </w:rPr>
            </w:pPr>
            <w:r>
              <w:rPr>
                <w:rFonts w:hint="eastAsia"/>
                <w:b w:val="0"/>
                <w:bCs w:val="0"/>
                <w:color w:val="auto"/>
                <w:sz w:val="24"/>
                <w:highlight w:val="none"/>
              </w:rPr>
              <w:t>根据现场踏勘，项目所在地</w:t>
            </w:r>
            <w:r>
              <w:rPr>
                <w:rFonts w:hint="eastAsia"/>
                <w:b w:val="0"/>
                <w:bCs w:val="0"/>
                <w:color w:val="auto"/>
                <w:sz w:val="24"/>
                <w:highlight w:val="none"/>
                <w:lang w:val="en-US" w:eastAsia="zh-CN"/>
              </w:rPr>
              <w:t>主要</w:t>
            </w:r>
            <w:r>
              <w:rPr>
                <w:rFonts w:hint="eastAsia"/>
                <w:b w:val="0"/>
                <w:bCs w:val="0"/>
                <w:color w:val="auto"/>
                <w:sz w:val="24"/>
                <w:highlight w:val="none"/>
              </w:rPr>
              <w:t>为林地、荒草地生态系统，生态系统受人为影响较为严重，生物多样性较差，除部分人工种植耕地作物外，大面积生长荒草</w:t>
            </w:r>
            <w:r>
              <w:rPr>
                <w:rFonts w:hint="eastAsia"/>
                <w:b w:val="0"/>
                <w:bCs w:val="0"/>
                <w:color w:val="auto"/>
                <w:sz w:val="24"/>
                <w:highlight w:val="none"/>
                <w:lang w:eastAsia="zh-CN"/>
              </w:rPr>
              <w:t>和灌木林</w:t>
            </w:r>
            <w:r>
              <w:rPr>
                <w:rFonts w:hint="eastAsia"/>
                <w:b w:val="0"/>
                <w:bCs w:val="0"/>
                <w:color w:val="auto"/>
                <w:sz w:val="24"/>
                <w:highlight w:val="none"/>
              </w:rPr>
              <w:t>，土壤多为沙质土壤且混有碎石，耕作层浅薄。</w:t>
            </w:r>
          </w:p>
          <w:p w14:paraId="071D5F0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rPr>
            </w:pPr>
            <w:r>
              <w:rPr>
                <w:rFonts w:hint="eastAsia"/>
                <w:b w:val="0"/>
                <w:bCs w:val="0"/>
                <w:color w:val="auto"/>
                <w:sz w:val="24"/>
                <w:highlight w:val="none"/>
              </w:rPr>
              <w:t>项目运营期拟在光伏电站征占地范围种植</w:t>
            </w:r>
            <w:r>
              <w:rPr>
                <w:rFonts w:hint="eastAsia"/>
                <w:b w:val="0"/>
                <w:bCs w:val="0"/>
                <w:color w:val="auto"/>
                <w:sz w:val="24"/>
                <w:highlight w:val="none"/>
                <w:lang w:val="en-US" w:eastAsia="zh-CN"/>
              </w:rPr>
              <w:t>林草植被</w:t>
            </w:r>
            <w:r>
              <w:rPr>
                <w:rFonts w:hint="eastAsia"/>
                <w:b w:val="0"/>
                <w:bCs w:val="0"/>
                <w:color w:val="auto"/>
                <w:sz w:val="24"/>
                <w:highlight w:val="none"/>
              </w:rPr>
              <w:t>进行复林、复耕，可以逐步恢复当地</w:t>
            </w:r>
            <w:r>
              <w:rPr>
                <w:rFonts w:hint="eastAsia"/>
                <w:b w:val="0"/>
                <w:bCs w:val="0"/>
                <w:color w:val="auto"/>
                <w:sz w:val="24"/>
                <w:highlight w:val="none"/>
                <w:lang w:val="en-US" w:eastAsia="zh-CN"/>
              </w:rPr>
              <w:t>林地</w:t>
            </w:r>
            <w:r>
              <w:rPr>
                <w:rFonts w:hint="eastAsia"/>
                <w:b w:val="0"/>
                <w:bCs w:val="0"/>
                <w:color w:val="auto"/>
                <w:sz w:val="24"/>
                <w:highlight w:val="none"/>
              </w:rPr>
              <w:t>生态系统，不改变项目土地利用性质，保持生态系统的稳定性；其次，运营期拟在空地及道路两侧种植喜阴植物对项目内植被进行恢复，植被绿化将吸引</w:t>
            </w:r>
            <w:r>
              <w:rPr>
                <w:rFonts w:hint="eastAsia"/>
                <w:b w:val="0"/>
                <w:bCs w:val="0"/>
                <w:color w:val="auto"/>
                <w:sz w:val="24"/>
                <w:highlight w:val="none"/>
                <w:lang w:val="en-US" w:eastAsia="zh-CN"/>
              </w:rPr>
              <w:t>更</w:t>
            </w:r>
            <w:r>
              <w:rPr>
                <w:rFonts w:hint="eastAsia"/>
                <w:b w:val="0"/>
                <w:bCs w:val="0"/>
                <w:color w:val="auto"/>
                <w:sz w:val="24"/>
                <w:highlight w:val="none"/>
              </w:rPr>
              <w:t>多小型动物增加当地物种多样性，使得食物链更加复杂，逐步恢复生态系统的完整性，随之生态系统将更加稳定。环评要求，在进行植被恢复时不得引入外来物种，在采取植被恢复措施后，项目的建设对当地生态系统具有显著的环境正效益，无不利影响。</w:t>
            </w:r>
          </w:p>
          <w:p w14:paraId="2D793DB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（2）对生态红线和永久基本农田的影响</w:t>
            </w:r>
          </w:p>
          <w:p w14:paraId="77A4A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1）位置关系</w:t>
            </w:r>
          </w:p>
          <w:p w14:paraId="4E0E6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根据叠图分析，项目用地不</w:t>
            </w:r>
            <w:r>
              <w:rPr>
                <w:rFonts w:hint="eastAsia" w:ascii="Times New Roman" w:hAnsi="Times New Roman" w:eastAsia="宋体" w:cs="Times New Roman"/>
                <w:color w:val="auto"/>
                <w:kern w:val="0"/>
                <w:sz w:val="24"/>
                <w:szCs w:val="24"/>
                <w:lang w:val="en-US" w:eastAsia="zh-CN" w:bidi="ar"/>
              </w:rPr>
              <w:t>占用</w:t>
            </w:r>
            <w:r>
              <w:rPr>
                <w:rFonts w:hint="default" w:ascii="Times New Roman" w:hAnsi="Times New Roman" w:eastAsia="宋体" w:cs="Times New Roman"/>
                <w:color w:val="auto"/>
                <w:kern w:val="0"/>
                <w:sz w:val="24"/>
                <w:szCs w:val="24"/>
                <w:lang w:val="en-US" w:eastAsia="zh-CN" w:bidi="ar"/>
              </w:rPr>
              <w:t>生态保护红线、永久基本农田。项目部分光伏板区距离生态保护红线和永久基本农田较近，</w:t>
            </w:r>
            <w:r>
              <w:rPr>
                <w:rFonts w:hint="eastAsia" w:ascii="Times New Roman" w:hAnsi="Times New Roman" w:eastAsia="宋体" w:cs="Times New Roman"/>
                <w:color w:val="auto"/>
                <w:kern w:val="0"/>
                <w:sz w:val="24"/>
                <w:szCs w:val="24"/>
                <w:lang w:val="en-US" w:eastAsia="zh-CN" w:bidi="ar"/>
              </w:rPr>
              <w:t>紧邻8#方阵西南侧为</w:t>
            </w:r>
            <w:r>
              <w:rPr>
                <w:rFonts w:hint="default" w:ascii="Times New Roman" w:hAnsi="Times New Roman" w:eastAsia="宋体" w:cs="Times New Roman"/>
                <w:color w:val="auto"/>
                <w:kern w:val="0"/>
                <w:sz w:val="24"/>
                <w:szCs w:val="24"/>
                <w:lang w:val="en-US" w:eastAsia="zh-CN" w:bidi="ar"/>
              </w:rPr>
              <w:t>永久基本农田</w:t>
            </w:r>
            <w:r>
              <w:rPr>
                <w:rFonts w:hint="eastAsia" w:ascii="Times New Roman" w:hAnsi="Times New Roman" w:eastAsia="宋体" w:cs="Times New Roman"/>
                <w:color w:val="auto"/>
                <w:kern w:val="0"/>
                <w:sz w:val="24"/>
                <w:szCs w:val="24"/>
                <w:lang w:val="en-US" w:eastAsia="zh-CN" w:bidi="ar"/>
              </w:rPr>
              <w:t>，15#方阵西侧5.19m为</w:t>
            </w:r>
            <w:r>
              <w:rPr>
                <w:rFonts w:hint="default" w:ascii="Times New Roman" w:hAnsi="Times New Roman" w:eastAsia="宋体" w:cs="Times New Roman"/>
                <w:color w:val="auto"/>
                <w:kern w:val="0"/>
                <w:sz w:val="24"/>
                <w:szCs w:val="24"/>
                <w:lang w:val="en-US" w:eastAsia="zh-CN" w:bidi="ar"/>
              </w:rPr>
              <w:t>生态保护红线</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生态红线类型为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w:t>
            </w:r>
          </w:p>
          <w:p w14:paraId="757BE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2）生态保护红线服务功能</w:t>
            </w:r>
          </w:p>
          <w:p w14:paraId="0A819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按照生态系统服务功能，生态保护红线分为三大类型：生物多样性维护、水源涵养、水土保持，共有11个分区，分别是：滇西北高山峡谷生物多样性维护与水源涵养、哀牢山—无量山山地生物多样性维护与水土保持、南部边境热带森林生物多样性维护、大盈江—瑞丽江水源涵养、高原湖泊及牛栏江上游水源涵养、珠江上游及滇东南喀斯特地带水土保持、怒江下游水土保持、澜沧江中山峡谷水土保持、金沙江干热河谷及山原水土保持、金沙江下游—小江流域水土流失控制、红河（元江）干热河谷及山原水土保持生态保护红线区。根据叠图分析，本项目附近的生态保护红线类型为</w:t>
            </w:r>
            <w:r>
              <w:rPr>
                <w:rFonts w:hint="eastAsia" w:ascii="Times New Roman" w:hAnsi="Times New Roman" w:eastAsia="宋体" w:cs="Times New Roman"/>
                <w:color w:val="auto"/>
                <w:kern w:val="0"/>
                <w:sz w:val="24"/>
                <w:szCs w:val="24"/>
                <w:lang w:val="en-US" w:eastAsia="zh-CN" w:bidi="ar"/>
              </w:rPr>
              <w:t>高原湖泊及牛栏江上游水源涵养生态保护红线</w:t>
            </w:r>
            <w:r>
              <w:rPr>
                <w:rFonts w:hint="default" w:ascii="Times New Roman" w:hAnsi="Times New Roman" w:eastAsia="宋体" w:cs="Times New Roman"/>
                <w:color w:val="auto"/>
                <w:kern w:val="0"/>
                <w:sz w:val="24"/>
                <w:szCs w:val="24"/>
                <w:lang w:val="en-US" w:eastAsia="zh-CN" w:bidi="ar"/>
              </w:rPr>
              <w:t>，主导功能为水源涵养。</w:t>
            </w:r>
          </w:p>
          <w:p w14:paraId="3E347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3）对生态保护红线的影响分析</w:t>
            </w:r>
          </w:p>
          <w:p w14:paraId="3F2A1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工过程中应严格控制施工扰动范围，禁止施工扰动区域超出项目用地范围线，在做好各项文明施工、做好植被恢复及水土保持设施等措施的前提下，工程建设不会造成生态保护红线内动植物种群的大幅度减少，也不会破坏其生境。施工结束后，将对区域进行植被恢复，同时也恢复了其原有的生态环境功能。同时，项目设计光伏板区与围栏间隔一定距离，主要工程施工均在围栏内进行，项目建设光伏板区之前将围栏范围划定，可有效避免越线施工及对围栏外生态保护红线内动植物的影响及扰动，因此，工程建设基本不会对生态保护红线内的水源涵养功能造成影响；项目建设过程中严格落实环、水保提出的截排水等水土流失和种植牧草、植树等植被恢复措施后，不会对生态保护红线的主导功能为</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水源涵养</w:t>
            </w:r>
            <w:r>
              <w:rPr>
                <w:rFonts w:hint="eastAsia" w:ascii="宋体" w:hAnsi="宋体" w:eastAsia="宋体" w:cs="宋体"/>
                <w:color w:val="auto"/>
                <w:kern w:val="0"/>
                <w:sz w:val="24"/>
                <w:szCs w:val="24"/>
                <w:lang w:val="en-US" w:eastAsia="zh-CN" w:bidi="ar"/>
              </w:rPr>
              <w:t>”产</w:t>
            </w:r>
            <w:r>
              <w:rPr>
                <w:rFonts w:hint="default" w:ascii="Times New Roman" w:hAnsi="Times New Roman" w:eastAsia="宋体" w:cs="Times New Roman"/>
                <w:color w:val="auto"/>
                <w:kern w:val="0"/>
                <w:sz w:val="24"/>
                <w:szCs w:val="24"/>
                <w:lang w:val="en-US" w:eastAsia="zh-CN" w:bidi="ar"/>
              </w:rPr>
              <w:t>生影响。</w:t>
            </w:r>
          </w:p>
          <w:p w14:paraId="42FBA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另外施工期噪声</w:t>
            </w:r>
            <w:r>
              <w:rPr>
                <w:rFonts w:hint="eastAsia" w:ascii="Times New Roman" w:hAnsi="Times New Roman" w:eastAsia="宋体" w:cs="Times New Roman"/>
                <w:color w:val="auto"/>
                <w:kern w:val="0"/>
                <w:sz w:val="24"/>
                <w:szCs w:val="24"/>
                <w:lang w:val="en-US" w:eastAsia="zh-CN" w:bidi="ar"/>
              </w:rPr>
              <w:t>可能会对</w:t>
            </w:r>
            <w:r>
              <w:rPr>
                <w:rFonts w:hint="default" w:ascii="Times New Roman" w:hAnsi="Times New Roman" w:eastAsia="宋体" w:cs="Times New Roman"/>
                <w:color w:val="auto"/>
                <w:kern w:val="0"/>
                <w:sz w:val="24"/>
                <w:szCs w:val="24"/>
                <w:lang w:val="en-US" w:eastAsia="zh-CN" w:bidi="ar"/>
              </w:rPr>
              <w:t>生态保护红线区域野生动物产生扰动影响，会使其离开现有的生活区域，但该区周边环境较为类似，区域仍有较多类似生境可满足野生动物栖息、觅食、活动。本项目施工期较短，随施工结束，施工期噪声影响消失；运营期噪声主要为箱变、逆变噪声影响，</w:t>
            </w:r>
            <w:r>
              <w:rPr>
                <w:rFonts w:hint="eastAsia" w:ascii="Times New Roman" w:hAnsi="Times New Roman" w:eastAsia="宋体" w:cs="Times New Roman"/>
                <w:color w:val="auto"/>
                <w:kern w:val="0"/>
                <w:sz w:val="24"/>
                <w:szCs w:val="24"/>
                <w:lang w:val="en-US" w:eastAsia="zh-CN" w:bidi="ar"/>
              </w:rPr>
              <w:t>但</w:t>
            </w:r>
            <w:r>
              <w:rPr>
                <w:rFonts w:hint="default" w:ascii="Times New Roman" w:hAnsi="Times New Roman" w:eastAsia="宋体" w:cs="Times New Roman"/>
                <w:color w:val="auto"/>
                <w:kern w:val="0"/>
                <w:sz w:val="24"/>
                <w:szCs w:val="24"/>
                <w:lang w:val="en-US" w:eastAsia="zh-CN" w:bidi="ar"/>
              </w:rPr>
              <w:t>箱变、逆变距生态保护红线距离远，箱变、逆变噪声对生态红线区域噪声贡献值较小，加上动物对噪声有一定适应能力，因此本工程噪声对生态保护红线区域野生动物扰动影响较小。</w:t>
            </w:r>
          </w:p>
          <w:p w14:paraId="3D8C4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4）对永久基本农田的影响分析</w:t>
            </w:r>
          </w:p>
          <w:p w14:paraId="2DCF6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选址已完全避让永久基本农田区域，工程建设及运营不会使基本农田数量、面积等发生变化，因此施工过程中应严格控制施工扰动范围，禁止施工扰动区域超出项目用地范围，在做好各项文明施工、做好植被恢复及水土保持设施等措施的前提下，项目建设不会对永久基本农田产生不利影响。</w:t>
            </w:r>
          </w:p>
          <w:p w14:paraId="2631E966">
            <w:pPr>
              <w:keepNext w:val="0"/>
              <w:keepLines w:val="0"/>
              <w:suppressLineNumbers w:val="0"/>
              <w:shd w:val="clear"/>
              <w:adjustRightInd w:val="0"/>
              <w:snapToGrid w:val="0"/>
              <w:spacing w:before="0" w:beforeAutospacing="0" w:after="0" w:afterAutospacing="0" w:line="360" w:lineRule="auto"/>
              <w:ind w:left="0" w:right="0" w:firstLine="480" w:firstLineChars="200"/>
              <w:jc w:val="left"/>
              <w:rPr>
                <w:rFonts w:hint="default"/>
                <w:b/>
                <w:bCs/>
                <w:color w:val="auto"/>
                <w:sz w:val="24"/>
                <w:highlight w:val="none"/>
                <w:shd w:val="clear" w:color="auto" w:fill="auto"/>
              </w:rPr>
            </w:pPr>
            <w:r>
              <w:rPr>
                <w:rFonts w:hint="default" w:ascii="Times New Roman" w:hAnsi="Times New Roman" w:eastAsia="宋体" w:cs="Times New Roman"/>
                <w:color w:val="auto"/>
                <w:kern w:val="0"/>
                <w:sz w:val="24"/>
                <w:szCs w:val="24"/>
                <w:lang w:val="en-US" w:eastAsia="zh-CN" w:bidi="ar"/>
              </w:rPr>
              <w:t>综上，本项目建设运营对生态保护红线、永久基本农田的结构、功能影响较小。</w:t>
            </w:r>
          </w:p>
          <w:p w14:paraId="43C8FF13">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3</w:t>
            </w:r>
            <w:r>
              <w:rPr>
                <w:rFonts w:hint="default"/>
                <w:b/>
                <w:bCs/>
                <w:color w:val="auto"/>
                <w:sz w:val="24"/>
                <w:highlight w:val="none"/>
                <w:shd w:val="clear" w:color="auto" w:fill="auto"/>
              </w:rPr>
              <w:t>）施工期废气</w:t>
            </w:r>
          </w:p>
          <w:p w14:paraId="57FB7AF4">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项目施工期大气污染物主要是施工扬尘、</w:t>
            </w:r>
            <w:r>
              <w:rPr>
                <w:rFonts w:hint="eastAsia"/>
                <w:color w:val="auto"/>
                <w:sz w:val="24"/>
                <w:highlight w:val="none"/>
                <w:shd w:val="clear" w:color="auto" w:fill="auto"/>
              </w:rPr>
              <w:t>光伏支架焊接</w:t>
            </w:r>
            <w:r>
              <w:rPr>
                <w:rFonts w:hint="eastAsia"/>
                <w:color w:val="auto"/>
                <w:sz w:val="24"/>
                <w:highlight w:val="none"/>
                <w:shd w:val="clear" w:color="auto" w:fill="auto"/>
                <w:lang w:eastAsia="zh-CN"/>
              </w:rPr>
              <w:t>、</w:t>
            </w:r>
            <w:r>
              <w:rPr>
                <w:rFonts w:hint="default"/>
                <w:color w:val="auto"/>
                <w:sz w:val="24"/>
                <w:highlight w:val="none"/>
                <w:shd w:val="clear" w:color="auto" w:fill="auto"/>
              </w:rPr>
              <w:t>施工机械和运输车辆产生的废气。</w:t>
            </w:r>
          </w:p>
          <w:p w14:paraId="4255DE69">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color w:val="auto"/>
                <w:highlight w:val="none"/>
                <w:shd w:val="clear" w:color="auto" w:fill="auto"/>
              </w:rPr>
              <w:t>1）</w:t>
            </w:r>
            <w:r>
              <w:rPr>
                <w:rFonts w:hint="default"/>
                <w:color w:val="auto"/>
                <w:highlight w:val="none"/>
                <w:shd w:val="clear" w:color="auto" w:fill="auto"/>
              </w:rPr>
              <w:t>施工扬尘</w:t>
            </w:r>
          </w:p>
          <w:p w14:paraId="56F18C8B">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项目的扬尘主要是由道路的修建、</w:t>
            </w:r>
            <w:r>
              <w:rPr>
                <w:rFonts w:hint="eastAsia"/>
                <w:color w:val="auto"/>
                <w:sz w:val="24"/>
                <w:highlight w:val="none"/>
                <w:shd w:val="clear" w:color="auto" w:fill="auto"/>
                <w:lang w:val="en-US" w:eastAsia="zh-CN"/>
              </w:rPr>
              <w:t>光伏板基础开挖</w:t>
            </w:r>
            <w:r>
              <w:rPr>
                <w:rFonts w:hint="eastAsia"/>
                <w:color w:val="auto"/>
                <w:sz w:val="24"/>
                <w:highlight w:val="none"/>
                <w:shd w:val="clear" w:color="auto" w:fill="auto"/>
              </w:rPr>
              <w:t>、建材装卸等施工作业，以及施工形成的裸土面而产生，再就是施工车辆运送水泥、沙石等材料也可能引起较大的扬尘及道路粉尘。主要污染物为</w:t>
            </w:r>
            <w:r>
              <w:rPr>
                <w:rFonts w:hint="eastAsia"/>
                <w:color w:val="auto"/>
                <w:sz w:val="24"/>
                <w:highlight w:val="none"/>
                <w:shd w:val="clear" w:color="auto" w:fill="auto"/>
                <w:lang w:val="en-US" w:eastAsia="zh-CN"/>
              </w:rPr>
              <w:t>颗粒物</w:t>
            </w:r>
            <w:r>
              <w:rPr>
                <w:rFonts w:hint="eastAsia"/>
                <w:color w:val="auto"/>
                <w:sz w:val="24"/>
                <w:highlight w:val="none"/>
                <w:shd w:val="clear" w:color="auto" w:fill="auto"/>
              </w:rPr>
              <w:t>，不含有毒有害的特殊污染物质，对施工环境有一定的污染。粉尘呈无组织排放，其产生强度与施工方式、气象条件有关。</w:t>
            </w:r>
          </w:p>
          <w:p w14:paraId="31184CAD">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施工作业中产生的扬尘对环境空气造成的影响大小取决于产生量和气候条件，影响面主要集中在施工场地200</w:t>
            </w:r>
            <w:r>
              <w:rPr>
                <w:rFonts w:hint="eastAsia"/>
                <w:color w:val="auto"/>
                <w:sz w:val="24"/>
                <w:highlight w:val="none"/>
                <w:shd w:val="clear" w:color="auto" w:fill="auto"/>
              </w:rPr>
              <w:t>m</w:t>
            </w:r>
            <w:r>
              <w:rPr>
                <w:rFonts w:hint="default"/>
                <w:color w:val="auto"/>
                <w:sz w:val="24"/>
                <w:highlight w:val="none"/>
                <w:shd w:val="clear" w:color="auto" w:fill="auto"/>
              </w:rPr>
              <w:t>范围内。据有关资料，当风速大于3.0m/s时，地面将产生扬尘。</w:t>
            </w:r>
            <w:r>
              <w:rPr>
                <w:rFonts w:hint="default"/>
                <w:bCs/>
                <w:color w:val="auto"/>
                <w:sz w:val="24"/>
                <w:highlight w:val="none"/>
                <w:shd w:val="clear" w:color="auto" w:fill="auto"/>
              </w:rPr>
              <w:t>另外，进出施工场地的运输车辆也会造成施工作业场所近地面粉尘浓度升高，运输车辆引起的扬尘对路边</w:t>
            </w:r>
            <w:r>
              <w:rPr>
                <w:rFonts w:hint="default"/>
                <w:color w:val="auto"/>
                <w:sz w:val="24"/>
                <w:highlight w:val="none"/>
                <w:shd w:val="clear" w:color="auto" w:fill="auto"/>
              </w:rPr>
              <w:t>30</w:t>
            </w:r>
            <w:r>
              <w:rPr>
                <w:rFonts w:hint="eastAsia"/>
                <w:color w:val="auto"/>
                <w:sz w:val="24"/>
                <w:highlight w:val="none"/>
                <w:shd w:val="clear" w:color="auto" w:fill="auto"/>
              </w:rPr>
              <w:t>m</w:t>
            </w:r>
            <w:r>
              <w:rPr>
                <w:rFonts w:hint="default"/>
                <w:color w:val="auto"/>
                <w:sz w:val="24"/>
                <w:highlight w:val="none"/>
                <w:shd w:val="clear" w:color="auto" w:fill="auto"/>
              </w:rPr>
              <w:t>范围内影响较大，而且形成线</w:t>
            </w:r>
            <w:r>
              <w:rPr>
                <w:rFonts w:hint="eastAsia"/>
                <w:color w:val="auto"/>
                <w:sz w:val="24"/>
                <w:highlight w:val="none"/>
                <w:shd w:val="clear" w:color="auto" w:fill="auto"/>
              </w:rPr>
              <w:t>性</w:t>
            </w:r>
            <w:r>
              <w:rPr>
                <w:rFonts w:hint="default"/>
                <w:color w:val="auto"/>
                <w:sz w:val="24"/>
                <w:highlight w:val="none"/>
                <w:shd w:val="clear" w:color="auto" w:fill="auto"/>
              </w:rPr>
              <w:t>污染，路边的TSP浓度可达10mg/m</w:t>
            </w:r>
            <w:r>
              <w:rPr>
                <w:rFonts w:hint="default"/>
                <w:color w:val="auto"/>
                <w:sz w:val="24"/>
                <w:highlight w:val="none"/>
                <w:shd w:val="clear" w:color="auto" w:fill="auto"/>
                <w:vertAlign w:val="superscript"/>
              </w:rPr>
              <w:t>3</w:t>
            </w:r>
            <w:r>
              <w:rPr>
                <w:rFonts w:hint="default"/>
                <w:color w:val="auto"/>
                <w:sz w:val="24"/>
                <w:highlight w:val="none"/>
                <w:shd w:val="clear" w:color="auto" w:fill="auto"/>
              </w:rPr>
              <w:t>以上，一般浓度范围在1.5～30mg/m</w:t>
            </w:r>
            <w:r>
              <w:rPr>
                <w:rFonts w:hint="default"/>
                <w:color w:val="auto"/>
                <w:sz w:val="24"/>
                <w:highlight w:val="none"/>
                <w:shd w:val="clear" w:color="auto" w:fill="auto"/>
                <w:vertAlign w:val="superscript"/>
              </w:rPr>
              <w:t>3</w:t>
            </w:r>
            <w:r>
              <w:rPr>
                <w:rFonts w:hint="eastAsia"/>
                <w:color w:val="auto"/>
                <w:sz w:val="24"/>
                <w:highlight w:val="none"/>
                <w:lang w:eastAsia="zh-CN"/>
              </w:rPr>
              <w:t>，约在</w:t>
            </w:r>
            <w:r>
              <w:rPr>
                <w:rFonts w:hint="eastAsia"/>
                <w:color w:val="auto"/>
                <w:sz w:val="24"/>
                <w:highlight w:val="none"/>
                <w:lang w:val="en-US" w:eastAsia="zh-CN"/>
              </w:rPr>
              <w:t>100m后可达到</w:t>
            </w:r>
            <w:r>
              <w:rPr>
                <w:rFonts w:hint="default"/>
                <w:color w:val="auto"/>
                <w:sz w:val="24"/>
                <w:highlight w:val="none"/>
              </w:rPr>
              <w:t>《大气污染物综合排放标准》（GB12697-1996）表2中无组织排放浓度限值</w:t>
            </w:r>
            <w:r>
              <w:rPr>
                <w:rFonts w:hint="eastAsia"/>
                <w:color w:val="auto"/>
                <w:sz w:val="24"/>
                <w:highlight w:val="none"/>
                <w:lang w:eastAsia="zh-CN"/>
              </w:rPr>
              <w:t>（</w:t>
            </w:r>
            <w:r>
              <w:rPr>
                <w:rFonts w:hint="default"/>
                <w:color w:val="auto"/>
                <w:sz w:val="24"/>
                <w:highlight w:val="none"/>
              </w:rPr>
              <w:t>周界外浓度≤1.0mg/m</w:t>
            </w:r>
            <w:r>
              <w:rPr>
                <w:rFonts w:hint="default"/>
                <w:color w:val="auto"/>
                <w:sz w:val="24"/>
                <w:highlight w:val="none"/>
                <w:vertAlign w:val="superscript"/>
              </w:rPr>
              <w:t>3</w:t>
            </w:r>
            <w:r>
              <w:rPr>
                <w:rFonts w:hint="eastAsia"/>
                <w:color w:val="auto"/>
                <w:sz w:val="24"/>
                <w:highlight w:val="none"/>
                <w:lang w:eastAsia="zh-CN"/>
              </w:rPr>
              <w:t>）。</w:t>
            </w:r>
          </w:p>
          <w:p w14:paraId="635D5BBE">
            <w:pPr>
              <w:keepNext w:val="0"/>
              <w:keepLines w:val="0"/>
              <w:suppressLineNumbers w:val="0"/>
              <w:shd w:val="clear"/>
              <w:spacing w:before="0" w:beforeAutospacing="0" w:after="0" w:afterAutospacing="0" w:line="360" w:lineRule="auto"/>
              <w:ind w:left="0" w:right="0" w:firstLine="480" w:firstLineChars="200"/>
              <w:rPr>
                <w:rFonts w:hint="eastAsia"/>
                <w:color w:val="auto"/>
                <w:sz w:val="24"/>
                <w:szCs w:val="24"/>
                <w:highlight w:val="none"/>
                <w:shd w:val="clear" w:color="auto" w:fill="auto"/>
              </w:rPr>
            </w:pPr>
            <w:r>
              <w:rPr>
                <w:rFonts w:hint="eastAsia"/>
                <w:color w:val="auto"/>
                <w:sz w:val="24"/>
                <w:highlight w:val="none"/>
              </w:rPr>
              <w:t>根据项目大气</w:t>
            </w:r>
            <w:r>
              <w:rPr>
                <w:rFonts w:hint="eastAsia" w:ascii="Times New Roman" w:hAnsi="Times New Roman" w:eastAsia="宋体" w:cs="Times New Roman"/>
                <w:color w:val="auto"/>
                <w:sz w:val="24"/>
                <w:highlight w:val="none"/>
              </w:rPr>
              <w:t>环境保护目标一览表可知，</w:t>
            </w:r>
            <w:r>
              <w:rPr>
                <w:rFonts w:hint="eastAsia" w:ascii="Times New Roman" w:hAnsi="Times New Roman" w:eastAsia="宋体" w:cs="Times New Roman"/>
                <w:color w:val="auto"/>
                <w:sz w:val="24"/>
                <w:highlight w:val="none"/>
                <w:lang w:val="en-US" w:eastAsia="zh-CN"/>
              </w:rPr>
              <w:t>距离</w:t>
            </w:r>
            <w:r>
              <w:rPr>
                <w:rFonts w:hint="eastAsia"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val="en-US" w:eastAsia="zh-CN"/>
              </w:rPr>
              <w:t>最近的</w:t>
            </w:r>
            <w:r>
              <w:rPr>
                <w:rFonts w:hint="eastAsia" w:ascii="Times New Roman" w:hAnsi="Times New Roman" w:eastAsia="宋体" w:cs="Times New Roman"/>
                <w:color w:val="auto"/>
                <w:sz w:val="24"/>
                <w:highlight w:val="none"/>
              </w:rPr>
              <w:t>敏感目标为</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#方阵</w:t>
            </w:r>
            <w:r>
              <w:rPr>
                <w:rFonts w:hint="eastAsia" w:cs="Times New Roman"/>
                <w:color w:val="auto"/>
                <w:sz w:val="24"/>
                <w:highlight w:val="none"/>
                <w:lang w:val="en-US" w:eastAsia="zh-CN"/>
              </w:rPr>
              <w:t>西</w:t>
            </w:r>
            <w:r>
              <w:rPr>
                <w:rFonts w:hint="eastAsia" w:ascii="Times New Roman" w:hAnsi="Times New Roman" w:eastAsia="宋体" w:cs="Times New Roman"/>
                <w:color w:val="auto"/>
                <w:sz w:val="24"/>
                <w:highlight w:val="none"/>
                <w:lang w:val="en-US" w:eastAsia="zh-CN"/>
              </w:rPr>
              <w:t>侧</w:t>
            </w:r>
            <w:r>
              <w:rPr>
                <w:rFonts w:hint="eastAsia" w:cs="Times New Roman"/>
                <w:color w:val="auto"/>
                <w:sz w:val="24"/>
                <w:highlight w:val="none"/>
                <w:lang w:val="en-US" w:eastAsia="zh-CN"/>
              </w:rPr>
              <w:t>101</w:t>
            </w:r>
            <w:r>
              <w:rPr>
                <w:rFonts w:hint="eastAsia" w:ascii="Times New Roman" w:hAnsi="Times New Roman" w:eastAsia="宋体" w:cs="Times New Roman"/>
                <w:color w:val="auto"/>
                <w:sz w:val="24"/>
                <w:highlight w:val="none"/>
                <w:lang w:val="en-US" w:eastAsia="zh-CN"/>
              </w:rPr>
              <w:t>m处的</w:t>
            </w:r>
            <w:r>
              <w:rPr>
                <w:rFonts w:hint="eastAsia" w:cs="Times New Roman"/>
                <w:color w:val="auto"/>
                <w:sz w:val="24"/>
                <w:highlight w:val="none"/>
                <w:lang w:val="en-US" w:eastAsia="zh-CN"/>
              </w:rPr>
              <w:t>小村口</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项目施工场地拟设在场区内远离敏感目标的位置（附图5），</w:t>
            </w:r>
            <w:r>
              <w:rPr>
                <w:rFonts w:hint="eastAsia"/>
                <w:color w:val="auto"/>
                <w:sz w:val="24"/>
                <w:szCs w:val="24"/>
                <w:highlight w:val="none"/>
                <w:shd w:val="clear" w:color="auto" w:fill="auto"/>
              </w:rPr>
              <w:t>施工采取扬尘防治措施</w:t>
            </w:r>
            <w:r>
              <w:rPr>
                <w:rFonts w:hint="eastAsia"/>
                <w:color w:val="auto"/>
                <w:sz w:val="24"/>
                <w:szCs w:val="24"/>
                <w:highlight w:val="none"/>
                <w:shd w:val="clear" w:color="auto" w:fill="auto"/>
                <w:lang w:val="en-US" w:eastAsia="zh-CN"/>
              </w:rPr>
              <w:t>后</w:t>
            </w:r>
            <w:r>
              <w:rPr>
                <w:rFonts w:hint="eastAsia"/>
                <w:color w:val="auto"/>
                <w:sz w:val="24"/>
                <w:szCs w:val="24"/>
                <w:highlight w:val="none"/>
                <w:shd w:val="clear" w:color="auto" w:fill="auto"/>
              </w:rPr>
              <w:t>，对其产生</w:t>
            </w:r>
            <w:r>
              <w:rPr>
                <w:rFonts w:hint="eastAsia"/>
                <w:color w:val="auto"/>
                <w:sz w:val="24"/>
                <w:szCs w:val="24"/>
                <w:highlight w:val="none"/>
                <w:shd w:val="clear" w:color="auto" w:fill="auto"/>
                <w:lang w:eastAsia="zh-CN"/>
              </w:rPr>
              <w:t>的</w:t>
            </w:r>
            <w:r>
              <w:rPr>
                <w:rFonts w:hint="eastAsia"/>
                <w:color w:val="auto"/>
                <w:sz w:val="24"/>
                <w:szCs w:val="24"/>
                <w:highlight w:val="none"/>
                <w:shd w:val="clear" w:color="auto" w:fill="auto"/>
              </w:rPr>
              <w:t>扬尘影响</w:t>
            </w:r>
            <w:r>
              <w:rPr>
                <w:rFonts w:hint="eastAsia"/>
                <w:color w:val="auto"/>
                <w:sz w:val="24"/>
                <w:szCs w:val="24"/>
                <w:highlight w:val="none"/>
                <w:shd w:val="clear" w:color="auto" w:fill="auto"/>
                <w:lang w:val="en-US" w:eastAsia="zh-CN"/>
              </w:rPr>
              <w:t>可忽略不计</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因此项目施工时应对场地进行洒水降尘，堆场进行遮盖，由</w:t>
            </w:r>
            <w:r>
              <w:rPr>
                <w:rFonts w:hint="default"/>
                <w:color w:val="auto"/>
                <w:sz w:val="24"/>
                <w:szCs w:val="24"/>
                <w:highlight w:val="none"/>
                <w:shd w:val="clear" w:color="auto" w:fill="auto"/>
              </w:rPr>
              <w:t>于光伏板施工作业面呈点状和线状，不会造成大面积</w:t>
            </w:r>
            <w:r>
              <w:rPr>
                <w:rFonts w:hint="eastAsia"/>
                <w:color w:val="auto"/>
                <w:sz w:val="24"/>
                <w:szCs w:val="24"/>
                <w:highlight w:val="none"/>
                <w:shd w:val="clear" w:color="auto" w:fill="auto"/>
              </w:rPr>
              <w:t>地</w:t>
            </w:r>
            <w:r>
              <w:rPr>
                <w:rFonts w:hint="default"/>
                <w:color w:val="auto"/>
                <w:sz w:val="24"/>
                <w:szCs w:val="24"/>
                <w:highlight w:val="none"/>
                <w:shd w:val="clear" w:color="auto" w:fill="auto"/>
              </w:rPr>
              <w:t>表</w:t>
            </w:r>
            <w:r>
              <w:rPr>
                <w:rFonts w:hint="eastAsia"/>
                <w:color w:val="auto"/>
                <w:sz w:val="24"/>
                <w:szCs w:val="24"/>
                <w:highlight w:val="none"/>
                <w:shd w:val="clear" w:color="auto" w:fill="auto"/>
              </w:rPr>
              <w:t>裸露</w:t>
            </w:r>
            <w:r>
              <w:rPr>
                <w:rFonts w:hint="default"/>
                <w:color w:val="auto"/>
                <w:sz w:val="24"/>
                <w:szCs w:val="24"/>
                <w:highlight w:val="none"/>
                <w:shd w:val="clear" w:color="auto" w:fill="auto"/>
              </w:rPr>
              <w:t>，</w:t>
            </w:r>
            <w:r>
              <w:rPr>
                <w:rFonts w:hint="eastAsia"/>
                <w:color w:val="auto"/>
                <w:sz w:val="24"/>
                <w:highlight w:val="none"/>
              </w:rPr>
              <w:t>且施工作业扬尘产生仅在施工作业时产生，施工作业结束后施工作业扬尘随之消失，施工作业扬尘只是暂时的。因此项目施工作业扬尘对周围环境空气影响较小。</w:t>
            </w:r>
          </w:p>
          <w:p w14:paraId="47E26ECF">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bCs/>
                <w:iCs/>
                <w:color w:val="auto"/>
                <w:highlight w:val="none"/>
                <w:shd w:val="clear" w:color="auto" w:fill="auto"/>
                <w:lang w:val="en-US" w:eastAsia="zh-CN"/>
              </w:rPr>
              <w:t>2</w:t>
            </w:r>
            <w:r>
              <w:rPr>
                <w:rFonts w:hint="eastAsia"/>
                <w:bCs/>
                <w:iCs/>
                <w:color w:val="auto"/>
                <w:highlight w:val="none"/>
                <w:shd w:val="clear" w:color="auto" w:fill="auto"/>
              </w:rPr>
              <w:t>）光伏支架焊接废气</w:t>
            </w:r>
          </w:p>
          <w:p w14:paraId="28682852">
            <w:pPr>
              <w:pStyle w:val="90"/>
              <w:keepNext w:val="0"/>
              <w:keepLines w:val="0"/>
              <w:suppressLineNumbers w:val="0"/>
              <w:shd w:val="clear"/>
              <w:spacing w:before="0" w:beforeAutospacing="0" w:after="0" w:afterAutospacing="0"/>
              <w:ind w:left="0" w:right="0" w:firstLine="480"/>
              <w:rPr>
                <w:rFonts w:hint="eastAsia"/>
                <w:bCs/>
                <w:iCs/>
                <w:color w:val="auto"/>
                <w:highlight w:val="none"/>
                <w:shd w:val="clear" w:color="auto" w:fill="auto"/>
              </w:rPr>
            </w:pPr>
            <w:r>
              <w:rPr>
                <w:rFonts w:hint="eastAsia"/>
                <w:bCs/>
                <w:iCs/>
                <w:color w:val="auto"/>
                <w:highlight w:val="none"/>
                <w:shd w:val="clear" w:color="auto" w:fill="auto"/>
              </w:rPr>
              <w:t>本项目光伏片区进行光伏支架基础施工时会对支架连接部分进行焊接，焊接过程中会产生废气，其中的污染物主要有烟尘、NOx、CO、CO</w:t>
            </w:r>
            <w:r>
              <w:rPr>
                <w:rFonts w:hint="eastAsia"/>
                <w:bCs/>
                <w:iCs/>
                <w:color w:val="auto"/>
                <w:highlight w:val="none"/>
                <w:shd w:val="clear" w:color="auto" w:fill="auto"/>
                <w:vertAlign w:val="subscript"/>
              </w:rPr>
              <w:t>2</w:t>
            </w:r>
            <w:r>
              <w:rPr>
                <w:rFonts w:hint="eastAsia"/>
                <w:bCs/>
                <w:iCs/>
                <w:color w:val="auto"/>
                <w:highlight w:val="none"/>
                <w:shd w:val="clear" w:color="auto" w:fill="auto"/>
              </w:rPr>
              <w:t>及CHx等，会对区域环境空气造成一定影响。但光伏支架焊接废气产生具有间断性产生、产生量较小、产生点相对分散、易被稀释扩散等特点。项目区为山地丘陵地形，周边无特别高的山体，有利于大气扩散，一般情况下，光伏支架焊接所产生的废气污染在空气中经自然扩散和稀释后，对项目区域的环境空气质量影响</w:t>
            </w:r>
            <w:r>
              <w:rPr>
                <w:rFonts w:hint="eastAsia"/>
                <w:bCs/>
                <w:iCs/>
                <w:color w:val="auto"/>
                <w:highlight w:val="none"/>
                <w:shd w:val="clear" w:color="auto" w:fill="auto"/>
                <w:lang w:val="en-US" w:eastAsia="zh-CN"/>
              </w:rPr>
              <w:t>小</w:t>
            </w:r>
            <w:r>
              <w:rPr>
                <w:rFonts w:hint="eastAsia"/>
                <w:bCs/>
                <w:iCs/>
                <w:color w:val="auto"/>
                <w:highlight w:val="none"/>
                <w:shd w:val="clear" w:color="auto" w:fill="auto"/>
              </w:rPr>
              <w:t>。</w:t>
            </w:r>
          </w:p>
          <w:p w14:paraId="085803E4">
            <w:pPr>
              <w:pStyle w:val="90"/>
              <w:keepNext w:val="0"/>
              <w:keepLines w:val="0"/>
              <w:suppressLineNumbers w:val="0"/>
              <w:shd w:val="clear"/>
              <w:spacing w:before="0" w:beforeAutospacing="0" w:after="0" w:afterAutospacing="0"/>
              <w:ind w:left="0" w:right="0" w:firstLine="480"/>
              <w:rPr>
                <w:rFonts w:hint="default"/>
                <w:bCs/>
                <w:iCs/>
                <w:color w:val="auto"/>
                <w:highlight w:val="none"/>
                <w:shd w:val="clear" w:color="auto" w:fill="auto"/>
              </w:rPr>
            </w:pPr>
            <w:r>
              <w:rPr>
                <w:rFonts w:hint="eastAsia"/>
                <w:bCs/>
                <w:iCs/>
                <w:color w:val="auto"/>
                <w:highlight w:val="none"/>
                <w:lang w:val="en-US" w:eastAsia="zh-CN"/>
              </w:rPr>
              <w:t>3）</w:t>
            </w:r>
            <w:r>
              <w:rPr>
                <w:rFonts w:hint="eastAsia"/>
                <w:bCs/>
                <w:iCs/>
                <w:color w:val="auto"/>
                <w:highlight w:val="none"/>
                <w:shd w:val="clear" w:color="auto" w:fill="auto"/>
              </w:rPr>
              <w:t>施工机械和车辆废</w:t>
            </w:r>
            <w:r>
              <w:rPr>
                <w:rFonts w:hint="default"/>
                <w:bCs/>
                <w:iCs/>
                <w:color w:val="auto"/>
                <w:highlight w:val="none"/>
                <w:shd w:val="clear" w:color="auto" w:fill="auto"/>
              </w:rPr>
              <w:t>气</w:t>
            </w:r>
          </w:p>
          <w:p w14:paraId="6086586C">
            <w:pPr>
              <w:keepNext w:val="0"/>
              <w:keepLines w:val="0"/>
              <w:suppressLineNumbers w:val="0"/>
              <w:shd w:val="clear"/>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本项目施工期废气主要来源于运输车辆及其它燃油机械施工时产生的</w:t>
            </w:r>
            <w:r>
              <w:rPr>
                <w:rFonts w:hint="eastAsia"/>
                <w:bCs/>
                <w:color w:val="auto"/>
                <w:sz w:val="24"/>
                <w:highlight w:val="none"/>
                <w:shd w:val="clear" w:color="auto" w:fill="auto"/>
              </w:rPr>
              <w:t>废</w:t>
            </w:r>
            <w:r>
              <w:rPr>
                <w:rFonts w:hint="default"/>
                <w:bCs/>
                <w:color w:val="auto"/>
                <w:sz w:val="24"/>
                <w:highlight w:val="none"/>
                <w:shd w:val="clear" w:color="auto" w:fill="auto"/>
              </w:rPr>
              <w:t>气，其中的污染物主要有烟尘、NOx、CO及CHx等，会对环境空气造成一定影响。施工机械废气具有间断性产生、产生量较小、产生点相对分散、易被稀释扩散等特点。</w:t>
            </w:r>
            <w:r>
              <w:rPr>
                <w:rFonts w:hint="eastAsia" w:ascii="Times New Roman" w:hAnsi="Times New Roman" w:eastAsia="宋体" w:cs="Times New Roman"/>
                <w:bCs/>
                <w:color w:val="auto"/>
                <w:sz w:val="24"/>
                <w:lang w:val="en-US" w:eastAsia="zh-CN"/>
              </w:rPr>
              <w:t>项目建设施工内容较少，施工机械和运输车辆外排尾气量小，尾气排放点随设备移动呈不固定方式排放，在空气环境中经一定的距离自然扩散、稀释后，对评价区域空气质量影响小。</w:t>
            </w:r>
          </w:p>
          <w:p w14:paraId="1DEB44A5">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4</w:t>
            </w:r>
            <w:r>
              <w:rPr>
                <w:rFonts w:hint="default"/>
                <w:b/>
                <w:bCs/>
                <w:color w:val="auto"/>
                <w:sz w:val="24"/>
                <w:highlight w:val="none"/>
                <w:shd w:val="clear" w:color="auto" w:fill="auto"/>
              </w:rPr>
              <w:t>）施工</w:t>
            </w:r>
            <w:r>
              <w:rPr>
                <w:rFonts w:hint="eastAsia"/>
                <w:b/>
                <w:bCs/>
                <w:color w:val="auto"/>
                <w:sz w:val="24"/>
                <w:highlight w:val="none"/>
                <w:shd w:val="clear" w:color="auto" w:fill="auto"/>
                <w:lang w:eastAsia="zh-CN"/>
              </w:rPr>
              <w:t>期</w:t>
            </w:r>
            <w:r>
              <w:rPr>
                <w:rFonts w:hint="eastAsia"/>
                <w:b/>
                <w:bCs/>
                <w:color w:val="auto"/>
                <w:sz w:val="24"/>
                <w:highlight w:val="none"/>
                <w:shd w:val="clear" w:color="auto" w:fill="auto"/>
              </w:rPr>
              <w:t>废水</w:t>
            </w:r>
          </w:p>
          <w:p w14:paraId="188BE261">
            <w:pPr>
              <w:pStyle w:val="9"/>
              <w:keepNext w:val="0"/>
              <w:keepLines w:val="0"/>
              <w:suppressLineNumbers w:val="0"/>
              <w:shd w:val="clear"/>
              <w:spacing w:before="0" w:beforeAutospacing="0" w:after="0" w:afterAutospacing="0" w:line="360" w:lineRule="auto"/>
              <w:ind w:left="0" w:leftChars="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项目施工期废水主要包括施工废水</w:t>
            </w:r>
            <w:r>
              <w:rPr>
                <w:rFonts w:hint="eastAsia" w:hAnsi="宋体"/>
                <w:color w:val="auto"/>
                <w:sz w:val="24"/>
                <w:highlight w:val="none"/>
                <w:shd w:val="clear" w:color="auto" w:fill="auto"/>
                <w:lang w:val="en-US" w:eastAsia="zh-CN"/>
              </w:rPr>
              <w:t>和</w:t>
            </w:r>
            <w:r>
              <w:rPr>
                <w:rFonts w:hint="eastAsia" w:hAnsi="宋体"/>
                <w:color w:val="auto"/>
                <w:sz w:val="24"/>
                <w:highlight w:val="none"/>
                <w:shd w:val="clear" w:color="auto" w:fill="auto"/>
              </w:rPr>
              <w:t>初期雨水</w:t>
            </w:r>
            <w:r>
              <w:rPr>
                <w:rFonts w:hint="default" w:hAnsi="宋体"/>
                <w:color w:val="auto"/>
                <w:sz w:val="24"/>
                <w:highlight w:val="none"/>
                <w:shd w:val="clear" w:color="auto" w:fill="auto"/>
              </w:rPr>
              <w:t>。</w:t>
            </w:r>
          </w:p>
          <w:p w14:paraId="036E94B7">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zh-CN" w:eastAsia="zh-CN" w:bidi="ar-SA"/>
              </w:rPr>
            </w:pPr>
            <w:r>
              <w:rPr>
                <w:rFonts w:hint="eastAsia" w:ascii="Times New Roman" w:hAnsi="宋体" w:eastAsia="宋体" w:cs="Times New Roman"/>
                <w:color w:val="auto"/>
                <w:kern w:val="2"/>
                <w:sz w:val="24"/>
                <w:szCs w:val="24"/>
                <w:highlight w:val="none"/>
                <w:lang w:val="en-US" w:eastAsia="zh-CN" w:bidi="ar-SA"/>
              </w:rPr>
              <w:t>1</w:t>
            </w:r>
            <w:r>
              <w:rPr>
                <w:rFonts w:hint="eastAsia" w:ascii="Times New Roman" w:hAnsi="宋体" w:eastAsia="宋体" w:cs="Times New Roman"/>
                <w:color w:val="auto"/>
                <w:kern w:val="2"/>
                <w:sz w:val="24"/>
                <w:szCs w:val="24"/>
                <w:highlight w:val="none"/>
                <w:lang w:val="zh-CN" w:eastAsia="zh-CN" w:bidi="ar-SA"/>
              </w:rPr>
              <w:t>）施工废水</w:t>
            </w:r>
          </w:p>
          <w:p w14:paraId="3EB3C435">
            <w:pPr>
              <w:keepNext w:val="0"/>
              <w:keepLines w:val="0"/>
              <w:suppressLineNumbers w:val="0"/>
              <w:spacing w:before="0" w:beforeAutospacing="0" w:after="0" w:afterAutospacing="0" w:line="360" w:lineRule="auto"/>
              <w:ind w:left="0" w:right="0" w:firstLine="480" w:firstLineChars="200"/>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zh-CN" w:eastAsia="zh-CN" w:bidi="ar-SA"/>
              </w:rPr>
              <w:t>施工废水主要为运输车辆、施工机具冲洗废水。冲洗废水排放量极少，且排放方式为间歇性，基本不会形成水流，冲洗废水中主要污染因子为SS。</w:t>
            </w:r>
            <w:r>
              <w:rPr>
                <w:rFonts w:hint="eastAsia" w:ascii="Times New Roman" w:hAnsi="宋体" w:eastAsia="宋体" w:cs="Times New Roman"/>
                <w:color w:val="auto"/>
                <w:kern w:val="2"/>
                <w:sz w:val="24"/>
                <w:szCs w:val="24"/>
                <w:highlight w:val="none"/>
                <w:lang w:val="en-US" w:eastAsia="zh-CN" w:bidi="ar-SA"/>
              </w:rPr>
              <w:t>经沉淀池处理后，回用于施工工序和洒水降尘，不外排，不会对周围地表水体产生影响。</w:t>
            </w:r>
          </w:p>
          <w:p w14:paraId="78E0B388">
            <w:pPr>
              <w:keepNext w:val="0"/>
              <w:keepLines w:val="0"/>
              <w:widowControl/>
              <w:suppressLineNumbers w:val="0"/>
              <w:shd w:val="clear"/>
              <w:spacing w:before="0" w:beforeAutospacing="0" w:after="0" w:afterAutospacing="0" w:line="360" w:lineRule="auto"/>
              <w:ind w:left="0" w:right="0" w:firstLine="480" w:firstLineChars="200"/>
              <w:jc w:val="left"/>
              <w:rPr>
                <w:rFonts w:hint="eastAsia" w:hAnsi="宋体"/>
                <w:color w:val="auto"/>
                <w:sz w:val="24"/>
                <w:highlight w:val="none"/>
                <w:shd w:val="clear" w:color="auto" w:fill="auto"/>
              </w:rPr>
            </w:pPr>
            <w:r>
              <w:rPr>
                <w:rFonts w:hint="eastAsia" w:ascii="Times New Roman" w:hAnsi="宋体" w:eastAsia="宋体" w:cs="Times New Roman"/>
                <w:color w:val="auto"/>
                <w:kern w:val="2"/>
                <w:sz w:val="24"/>
                <w:szCs w:val="24"/>
                <w:highlight w:val="none"/>
                <w:lang w:val="en-US" w:eastAsia="zh-CN" w:bidi="ar-SA"/>
              </w:rPr>
              <w:t>光伏阵列工程废水：项目光伏阵列区施工仅建设光伏板和</w:t>
            </w:r>
            <w:r>
              <w:rPr>
                <w:rFonts w:hint="eastAsia" w:hAnsi="宋体" w:cs="Times New Roman"/>
                <w:color w:val="auto"/>
                <w:kern w:val="2"/>
                <w:sz w:val="24"/>
                <w:szCs w:val="24"/>
                <w:highlight w:val="none"/>
                <w:lang w:val="en-US" w:eastAsia="zh-CN" w:bidi="ar-SA"/>
              </w:rPr>
              <w:t>电缆槽盒</w:t>
            </w:r>
            <w:r>
              <w:rPr>
                <w:rFonts w:hint="eastAsia" w:ascii="Times New Roman" w:hAnsi="宋体" w:eastAsia="宋体" w:cs="Times New Roman"/>
                <w:color w:val="auto"/>
                <w:kern w:val="2"/>
                <w:sz w:val="24"/>
                <w:szCs w:val="24"/>
                <w:highlight w:val="none"/>
                <w:lang w:val="en-US" w:eastAsia="zh-CN" w:bidi="ar-SA"/>
              </w:rPr>
              <w:t>等少量工程，施工期不产生建筑施工废水。</w:t>
            </w:r>
          </w:p>
          <w:p w14:paraId="201BDC32">
            <w:pPr>
              <w:pStyle w:val="9"/>
              <w:keepNext w:val="0"/>
              <w:keepLines w:val="0"/>
              <w:suppressLineNumbers w:val="0"/>
              <w:shd w:val="clear"/>
              <w:adjustRightInd w:val="0"/>
              <w:snapToGrid w:val="0"/>
              <w:spacing w:before="0" w:beforeAutospacing="0" w:after="0" w:afterAutospacing="0" w:line="360" w:lineRule="auto"/>
              <w:ind w:left="0" w:leftChars="0" w:right="0" w:firstLine="480" w:firstLineChars="200"/>
              <w:rPr>
                <w:rFonts w:hint="default"/>
                <w:color w:val="auto"/>
                <w:sz w:val="24"/>
                <w:highlight w:val="none"/>
                <w:shd w:val="clear" w:color="auto" w:fill="auto"/>
              </w:rPr>
            </w:pPr>
            <w:r>
              <w:rPr>
                <w:rFonts w:hint="eastAsia" w:hAnsi="宋体"/>
                <w:color w:val="auto"/>
                <w:sz w:val="24"/>
                <w:highlight w:val="none"/>
                <w:shd w:val="clear" w:color="auto" w:fill="auto"/>
                <w:lang w:val="en-US" w:eastAsia="zh-CN"/>
              </w:rPr>
              <w:t>2</w:t>
            </w:r>
            <w:r>
              <w:rPr>
                <w:rFonts w:hint="eastAsia" w:hAnsi="宋体"/>
                <w:color w:val="auto"/>
                <w:sz w:val="24"/>
                <w:highlight w:val="none"/>
                <w:shd w:val="clear" w:color="auto" w:fill="auto"/>
              </w:rPr>
              <w:t>）初期雨水</w:t>
            </w:r>
          </w:p>
          <w:p w14:paraId="7F394C75">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项目施工期间，如遇雨水天气，降雨冲刷浮土、建筑砂石等，产生携带大量泥沙和水泥、油类及其它地表固体</w:t>
            </w:r>
            <w:r>
              <w:rPr>
                <w:rFonts w:hint="eastAsia"/>
                <w:color w:val="auto"/>
                <w:sz w:val="24"/>
                <w:highlight w:val="none"/>
                <w:shd w:val="clear" w:color="auto" w:fill="auto"/>
                <w:lang w:val="en-US" w:eastAsia="zh-CN"/>
              </w:rPr>
              <w:t>废</w:t>
            </w:r>
            <w:r>
              <w:rPr>
                <w:rFonts w:hint="eastAsia"/>
                <w:color w:val="auto"/>
                <w:sz w:val="24"/>
                <w:highlight w:val="none"/>
                <w:shd w:val="clear" w:color="auto" w:fill="auto"/>
              </w:rPr>
              <w:t>物的泥浆水，如流入地表水体，将产生一定的面源污染。对于本项目而言，由于部分场地处于山体斜坡地带，水土流失较易发生。</w:t>
            </w:r>
          </w:p>
          <w:p w14:paraId="5944824E">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项目应严格落实水土保持措施，在光伏场区地势低处、施工临时</w:t>
            </w:r>
            <w:r>
              <w:rPr>
                <w:rFonts w:hint="eastAsia"/>
                <w:color w:val="auto"/>
                <w:sz w:val="24"/>
                <w:highlight w:val="none"/>
                <w:shd w:val="clear" w:color="auto" w:fill="auto"/>
                <w:lang w:val="en-US" w:eastAsia="zh-CN"/>
              </w:rPr>
              <w:t>场地</w:t>
            </w:r>
            <w:r>
              <w:rPr>
                <w:rFonts w:hint="eastAsia"/>
                <w:color w:val="auto"/>
                <w:sz w:val="24"/>
                <w:highlight w:val="none"/>
                <w:shd w:val="clear" w:color="auto" w:fill="auto"/>
              </w:rPr>
              <w:t>等周边设置截排水沟，在排水沟末端设置临时沉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池，施工过程中产生的初期雨水经临时截排水沟引入沉</w:t>
            </w:r>
            <w:r>
              <w:rPr>
                <w:rFonts w:hint="eastAsia"/>
                <w:color w:val="auto"/>
                <w:sz w:val="24"/>
                <w:highlight w:val="none"/>
                <w:shd w:val="clear" w:color="auto" w:fill="auto"/>
                <w:lang w:val="en-US" w:eastAsia="zh-CN"/>
              </w:rPr>
              <w:t>淀</w:t>
            </w:r>
            <w:r>
              <w:rPr>
                <w:rFonts w:hint="eastAsia"/>
                <w:color w:val="auto"/>
                <w:sz w:val="24"/>
                <w:highlight w:val="none"/>
                <w:shd w:val="clear" w:color="auto" w:fill="auto"/>
              </w:rPr>
              <w:t>池沉淀处理后，</w:t>
            </w:r>
            <w:r>
              <w:rPr>
                <w:rFonts w:hint="eastAsia"/>
                <w:color w:val="auto"/>
                <w:sz w:val="24"/>
                <w:highlight w:val="none"/>
                <w:shd w:val="clear" w:color="auto" w:fill="auto"/>
                <w:lang w:val="en-US" w:eastAsia="zh-CN"/>
              </w:rPr>
              <w:t>全部</w:t>
            </w:r>
            <w:r>
              <w:rPr>
                <w:rFonts w:hint="eastAsia"/>
                <w:color w:val="auto"/>
                <w:sz w:val="24"/>
                <w:highlight w:val="none"/>
                <w:shd w:val="clear" w:color="auto" w:fill="auto"/>
              </w:rPr>
              <w:t>回用于施工过程，</w:t>
            </w:r>
            <w:r>
              <w:rPr>
                <w:rFonts w:hint="eastAsia"/>
                <w:color w:val="auto"/>
                <w:sz w:val="24"/>
                <w:highlight w:val="none"/>
                <w:shd w:val="clear" w:color="auto" w:fill="auto"/>
                <w:lang w:val="en-US" w:eastAsia="zh-CN"/>
              </w:rPr>
              <w:t>不外排</w:t>
            </w:r>
            <w:r>
              <w:rPr>
                <w:rFonts w:hint="eastAsia"/>
                <w:color w:val="auto"/>
                <w:sz w:val="24"/>
                <w:highlight w:val="none"/>
                <w:shd w:val="clear" w:color="auto" w:fill="auto"/>
              </w:rPr>
              <w:t>，对周边地表水产生的影响较小。</w:t>
            </w:r>
          </w:p>
          <w:p w14:paraId="2992EE2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color w:val="auto"/>
                <w:sz w:val="24"/>
                <w:highlight w:val="none"/>
                <w:shd w:val="clear" w:color="auto" w:fill="auto"/>
                <w:lang w:val="en-US" w:eastAsia="zh-CN"/>
              </w:rPr>
            </w:pPr>
            <w:r>
              <w:rPr>
                <w:rFonts w:hint="eastAsia"/>
                <w:color w:val="auto"/>
                <w:sz w:val="24"/>
                <w:highlight w:val="none"/>
                <w:shd w:val="clear" w:color="auto" w:fill="auto"/>
              </w:rPr>
              <w:t>此外，项目施工</w:t>
            </w:r>
            <w:r>
              <w:rPr>
                <w:rFonts w:hint="eastAsia"/>
                <w:color w:val="auto"/>
                <w:sz w:val="24"/>
                <w:highlight w:val="none"/>
                <w:shd w:val="clear" w:color="auto" w:fill="auto"/>
                <w:lang w:val="en-US" w:eastAsia="zh-CN"/>
              </w:rPr>
              <w:t>还</w:t>
            </w:r>
            <w:r>
              <w:rPr>
                <w:rFonts w:hint="eastAsia"/>
                <w:color w:val="auto"/>
                <w:sz w:val="24"/>
                <w:highlight w:val="none"/>
                <w:shd w:val="clear" w:color="auto" w:fill="auto"/>
              </w:rPr>
              <w:t>应加强管理，粉状物料尽量袋装后搭设防雨工棚存放，做好施工机械的日常维修保养，杜绝跑、冒、滴、漏现象，尽量减小施工期降雨冲刷产生的影响。</w:t>
            </w:r>
          </w:p>
          <w:p w14:paraId="68836F6D">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w:t>
            </w:r>
            <w:r>
              <w:rPr>
                <w:rFonts w:hint="eastAsia" w:cs="Times New Roman"/>
                <w:b/>
                <w:bCs/>
                <w:color w:val="auto"/>
                <w:sz w:val="24"/>
                <w:highlight w:val="none"/>
                <w:shd w:val="clear" w:color="auto" w:fill="auto"/>
                <w:lang w:val="en-US" w:eastAsia="zh-CN"/>
              </w:rPr>
              <w:t>5</w:t>
            </w:r>
            <w:r>
              <w:rPr>
                <w:rFonts w:hint="eastAsia" w:ascii="Times New Roman" w:hAnsi="Times New Roman" w:eastAsia="宋体" w:cs="Times New Roman"/>
                <w:b/>
                <w:bCs/>
                <w:color w:val="auto"/>
                <w:sz w:val="24"/>
                <w:highlight w:val="none"/>
                <w:shd w:val="clear" w:color="auto" w:fill="auto"/>
                <w:lang w:val="en-US" w:eastAsia="zh-CN"/>
              </w:rPr>
              <w:t>）地下水的影响分析</w:t>
            </w:r>
          </w:p>
          <w:p w14:paraId="5307A139">
            <w:pPr>
              <w:keepNext w:val="0"/>
              <w:keepLines w:val="0"/>
              <w:suppressLineNumbers w:val="0"/>
              <w:adjustRightInd w:val="0"/>
              <w:spacing w:before="0" w:beforeAutospacing="0" w:after="0" w:afterAutospacing="0" w:line="360" w:lineRule="auto"/>
              <w:ind w:left="0" w:right="0" w:firstLine="480" w:firstLineChars="200"/>
              <w:rPr>
                <w:rFonts w:hint="eastAsia"/>
                <w:b/>
                <w:bCs/>
                <w:color w:val="auto"/>
                <w:sz w:val="24"/>
                <w:highlight w:val="none"/>
                <w:shd w:val="clear" w:color="auto" w:fill="auto"/>
              </w:rPr>
            </w:pPr>
            <w:r>
              <w:rPr>
                <w:rFonts w:hint="eastAsia"/>
                <w:color w:val="auto"/>
                <w:sz w:val="24"/>
                <w:highlight w:val="none"/>
                <w:lang w:val="en-US" w:eastAsia="zh-CN"/>
              </w:rPr>
              <w:t>根据《云南省昆明市寻甸县梳山光伏发电（50MW）项目光伏工程岩土工程勘察报告》，</w:t>
            </w:r>
            <w:r>
              <w:rPr>
                <w:rFonts w:hint="eastAsia"/>
                <w:color w:val="auto"/>
                <w:sz w:val="24"/>
                <w:highlight w:val="none"/>
              </w:rPr>
              <w:t>勘察期间勘察深度范围内（7m）未揭露地下水，地下水埋藏较深，主要为基岩裂隙水，本项目基础开挖最大深度不超过5m，不涉及地下含水层。故本项目建设不会对场址区域地下水流场和地下水水质产生明显影响。</w:t>
            </w:r>
          </w:p>
          <w:p w14:paraId="3F235BD7">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eastAsia"/>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eastAsia"/>
                <w:b/>
                <w:bCs/>
                <w:color w:val="auto"/>
                <w:sz w:val="24"/>
                <w:highlight w:val="none"/>
                <w:shd w:val="clear" w:color="auto" w:fill="auto"/>
              </w:rPr>
              <w:t>）施工噪声</w:t>
            </w:r>
          </w:p>
          <w:p w14:paraId="37D6A231">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color w:val="auto"/>
                <w:sz w:val="24"/>
                <w:highlight w:val="none"/>
                <w:shd w:val="clear" w:color="auto" w:fill="auto"/>
              </w:rPr>
              <w:t>1）</w:t>
            </w:r>
            <w:r>
              <w:rPr>
                <w:rFonts w:hint="eastAsia" w:hAnsi="宋体"/>
                <w:color w:val="auto"/>
                <w:sz w:val="24"/>
                <w:highlight w:val="none"/>
                <w:shd w:val="clear" w:color="auto" w:fill="auto"/>
              </w:rPr>
              <w:t>噪声源强</w:t>
            </w:r>
          </w:p>
          <w:p w14:paraId="35086FE5">
            <w:pPr>
              <w:keepNext w:val="0"/>
              <w:keepLines w:val="0"/>
              <w:suppressLineNumbers w:val="0"/>
              <w:shd w:val="clear"/>
              <w:spacing w:before="0" w:beforeAutospacing="0" w:after="0" w:afterAutospacing="0" w:line="360" w:lineRule="auto"/>
              <w:ind w:left="0" w:right="0" w:firstLine="480" w:firstLineChars="200"/>
              <w:rPr>
                <w:rFonts w:hint="default" w:hAnsi="宋体"/>
                <w:color w:val="auto"/>
                <w:sz w:val="24"/>
                <w:highlight w:val="none"/>
                <w:shd w:val="clear" w:color="auto" w:fill="auto"/>
              </w:rPr>
            </w:pPr>
            <w:r>
              <w:rPr>
                <w:rFonts w:hint="default" w:hAnsi="宋体"/>
                <w:color w:val="auto"/>
                <w:sz w:val="24"/>
                <w:highlight w:val="none"/>
                <w:shd w:val="clear" w:color="auto" w:fill="auto"/>
              </w:rPr>
              <w:t>项目施工期间噪声源主要为机械噪声</w:t>
            </w:r>
            <w:r>
              <w:rPr>
                <w:rFonts w:hint="eastAsia" w:hAnsi="宋体"/>
                <w:color w:val="auto"/>
                <w:sz w:val="24"/>
                <w:highlight w:val="none"/>
                <w:shd w:val="clear" w:color="auto" w:fill="auto"/>
              </w:rPr>
              <w:t>，施工</w:t>
            </w:r>
            <w:r>
              <w:rPr>
                <w:rFonts w:hint="default" w:hAnsi="宋体"/>
                <w:color w:val="auto"/>
                <w:sz w:val="24"/>
                <w:highlight w:val="none"/>
                <w:shd w:val="clear" w:color="auto" w:fill="auto"/>
              </w:rPr>
              <w:t>建设过程中将使用挖掘机、运输车辆等噪声较大的设备及车辆进行施工，</w:t>
            </w:r>
            <w:r>
              <w:rPr>
                <w:rFonts w:hint="eastAsia"/>
                <w:color w:val="auto"/>
                <w:sz w:val="24"/>
                <w:highlight w:val="none"/>
                <w:shd w:val="clear" w:color="auto" w:fill="auto"/>
                <w:lang w:val="en-US" w:eastAsia="zh-CN"/>
              </w:rPr>
              <w:t>参考</w:t>
            </w:r>
            <w:r>
              <w:rPr>
                <w:rFonts w:hint="eastAsia"/>
                <w:color w:val="auto"/>
                <w:sz w:val="24"/>
                <w:highlight w:val="none"/>
                <w:shd w:val="clear" w:color="auto" w:fill="auto"/>
              </w:rPr>
              <w:t>《</w:t>
            </w:r>
            <w:r>
              <w:rPr>
                <w:rFonts w:hint="eastAsia" w:cs="黑体"/>
                <w:color w:val="auto"/>
                <w:kern w:val="0"/>
                <w:sz w:val="24"/>
                <w:highlight w:val="none"/>
                <w:shd w:val="clear" w:color="auto" w:fill="auto"/>
              </w:rPr>
              <w:t>环境噪声与振动控制工程技术导则</w:t>
            </w:r>
            <w:r>
              <w:rPr>
                <w:rFonts w:hint="default"/>
                <w:color w:val="auto"/>
                <w:kern w:val="0"/>
                <w:sz w:val="24"/>
                <w:highlight w:val="none"/>
                <w:shd w:val="clear" w:color="auto" w:fill="auto"/>
              </w:rPr>
              <w:t>HJ 2034</w:t>
            </w:r>
            <w:r>
              <w:rPr>
                <w:rFonts w:hint="eastAsia"/>
                <w:color w:val="auto"/>
                <w:kern w:val="0"/>
                <w:sz w:val="24"/>
                <w:highlight w:val="none"/>
                <w:shd w:val="clear" w:color="auto" w:fill="auto"/>
              </w:rPr>
              <w:t>-</w:t>
            </w:r>
            <w:r>
              <w:rPr>
                <w:rFonts w:hint="default"/>
                <w:color w:val="auto"/>
                <w:kern w:val="0"/>
                <w:sz w:val="24"/>
                <w:highlight w:val="none"/>
                <w:shd w:val="clear" w:color="auto" w:fill="auto"/>
              </w:rPr>
              <w:t>2013</w:t>
            </w:r>
            <w:r>
              <w:rPr>
                <w:rFonts w:hint="eastAsia" w:cs="黑体"/>
                <w:color w:val="auto"/>
                <w:kern w:val="0"/>
                <w:sz w:val="24"/>
                <w:highlight w:val="none"/>
                <w:shd w:val="clear" w:color="auto" w:fill="auto"/>
              </w:rPr>
              <w:t>》中常见施工噪声设备源强，再结合本项目的建设特点</w:t>
            </w:r>
            <w:r>
              <w:rPr>
                <w:rFonts w:hint="default"/>
                <w:color w:val="auto"/>
                <w:sz w:val="24"/>
                <w:highlight w:val="none"/>
                <w:shd w:val="clear" w:color="auto" w:fill="auto"/>
              </w:rPr>
              <w:t>，</w:t>
            </w:r>
            <w:r>
              <w:rPr>
                <w:rFonts w:hint="default" w:hAnsi="宋体"/>
                <w:color w:val="auto"/>
                <w:sz w:val="24"/>
                <w:highlight w:val="none"/>
                <w:shd w:val="clear" w:color="auto" w:fill="auto"/>
              </w:rPr>
              <w:t>各施工阶段的主要噪声源及其声级见下表。</w:t>
            </w:r>
          </w:p>
          <w:p w14:paraId="4ECD7FDA">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5 </w:t>
            </w:r>
            <w:r>
              <w:rPr>
                <w:rFonts w:hint="default"/>
                <w:b/>
                <w:color w:val="auto"/>
                <w:kern w:val="0"/>
                <w:szCs w:val="21"/>
                <w:highlight w:val="none"/>
                <w:shd w:val="clear" w:color="auto" w:fill="auto"/>
              </w:rPr>
              <w:t xml:space="preserve"> 各施工阶段主要噪声源</w:t>
            </w:r>
            <w:r>
              <w:rPr>
                <w:rFonts w:hint="eastAsia"/>
                <w:b/>
                <w:color w:val="auto"/>
                <w:kern w:val="0"/>
                <w:szCs w:val="21"/>
                <w:highlight w:val="none"/>
                <w:shd w:val="clear" w:color="auto" w:fill="auto"/>
              </w:rPr>
              <w:t>源强  单位：dB（A）</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462"/>
              <w:gridCol w:w="1259"/>
              <w:gridCol w:w="2607"/>
              <w:gridCol w:w="2608"/>
            </w:tblGrid>
            <w:tr w14:paraId="7D0359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A9D2EE7">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设备名称</w:t>
                  </w:r>
                </w:p>
              </w:tc>
              <w:tc>
                <w:tcPr>
                  <w:tcW w:w="793" w:type="pct"/>
                  <w:vAlign w:val="center"/>
                </w:tcPr>
                <w:p w14:paraId="7CCD5820">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数量（台）</w:t>
                  </w:r>
                </w:p>
              </w:tc>
              <w:tc>
                <w:tcPr>
                  <w:tcW w:w="1642" w:type="pct"/>
                  <w:vAlign w:val="center"/>
                </w:tcPr>
                <w:p w14:paraId="235C6428">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w:t>
                  </w:r>
                  <w:r>
                    <w:rPr>
                      <w:rFonts w:hint="eastAsia"/>
                      <w:b/>
                      <w:color w:val="auto"/>
                      <w:sz w:val="21"/>
                      <w:szCs w:val="21"/>
                      <w:highlight w:val="none"/>
                      <w:shd w:val="clear" w:color="auto" w:fill="auto"/>
                      <w:lang w:val="en-US" w:eastAsia="zh-CN"/>
                    </w:rPr>
                    <w:t>1</w:t>
                  </w:r>
                  <w:r>
                    <w:rPr>
                      <w:rFonts w:hint="eastAsia"/>
                      <w:b/>
                      <w:color w:val="auto"/>
                      <w:sz w:val="21"/>
                      <w:szCs w:val="21"/>
                      <w:highlight w:val="none"/>
                      <w:shd w:val="clear" w:color="auto" w:fill="auto"/>
                    </w:rPr>
                    <w:t>m）</w:t>
                  </w:r>
                </w:p>
              </w:tc>
              <w:tc>
                <w:tcPr>
                  <w:tcW w:w="1642" w:type="pct"/>
                  <w:vAlign w:val="center"/>
                </w:tcPr>
                <w:p w14:paraId="1BEBC28C">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单台设备</w:t>
                  </w:r>
                  <w:r>
                    <w:rPr>
                      <w:rFonts w:hint="default"/>
                      <w:b/>
                      <w:color w:val="auto"/>
                      <w:sz w:val="21"/>
                      <w:szCs w:val="21"/>
                      <w:highlight w:val="none"/>
                      <w:shd w:val="clear" w:color="auto" w:fill="auto"/>
                    </w:rPr>
                    <w:t>噪声源强</w:t>
                  </w:r>
                  <w:r>
                    <w:rPr>
                      <w:rFonts w:hint="eastAsia"/>
                      <w:b/>
                      <w:color w:val="auto"/>
                      <w:sz w:val="21"/>
                      <w:szCs w:val="21"/>
                      <w:highlight w:val="none"/>
                      <w:shd w:val="clear" w:color="auto" w:fill="auto"/>
                    </w:rPr>
                    <w:t>（5m）</w:t>
                  </w:r>
                </w:p>
              </w:tc>
            </w:tr>
            <w:tr w14:paraId="46EDA9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7C683E4">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起重机</w:t>
                  </w:r>
                </w:p>
              </w:tc>
              <w:tc>
                <w:tcPr>
                  <w:tcW w:w="793" w:type="pct"/>
                  <w:vAlign w:val="center"/>
                </w:tcPr>
                <w:p w14:paraId="5150D0A3">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vAlign w:val="center"/>
                </w:tcPr>
                <w:p w14:paraId="1AC41633">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109</w:t>
                  </w:r>
                </w:p>
              </w:tc>
              <w:tc>
                <w:tcPr>
                  <w:tcW w:w="1642" w:type="pct"/>
                  <w:vAlign w:val="center"/>
                </w:tcPr>
                <w:p w14:paraId="3EE20E3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95</w:t>
                  </w:r>
                </w:p>
              </w:tc>
            </w:tr>
            <w:tr w14:paraId="6F1C28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D2F4783">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lang w:val="en-US" w:eastAsia="zh-CN"/>
                    </w:rPr>
                    <w:t>反铲挖掘机</w:t>
                  </w:r>
                </w:p>
              </w:tc>
              <w:tc>
                <w:tcPr>
                  <w:tcW w:w="793" w:type="pct"/>
                  <w:vAlign w:val="center"/>
                </w:tcPr>
                <w:p w14:paraId="37D7CDD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2</w:t>
                  </w:r>
                </w:p>
              </w:tc>
              <w:tc>
                <w:tcPr>
                  <w:tcW w:w="1642" w:type="pct"/>
                  <w:shd w:val="clear" w:color="auto" w:fill="auto"/>
                  <w:vAlign w:val="center"/>
                </w:tcPr>
                <w:p w14:paraId="1235C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96</w:t>
                  </w:r>
                </w:p>
              </w:tc>
              <w:tc>
                <w:tcPr>
                  <w:tcW w:w="1642" w:type="pct"/>
                  <w:shd w:val="clear" w:color="auto" w:fill="auto"/>
                  <w:vAlign w:val="center"/>
                </w:tcPr>
                <w:p w14:paraId="293B9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w:t>
                  </w:r>
                </w:p>
              </w:tc>
            </w:tr>
            <w:tr w14:paraId="3A38B3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1462" w:type="dxa"/>
                  <w:vAlign w:val="center"/>
                </w:tcPr>
                <w:p w14:paraId="131E0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混凝土搅拌运输车</w:t>
                  </w:r>
                </w:p>
              </w:tc>
              <w:tc>
                <w:tcPr>
                  <w:tcW w:w="1259" w:type="dxa"/>
                  <w:vAlign w:val="center"/>
                </w:tcPr>
                <w:p w14:paraId="5409D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2</w:t>
                  </w:r>
                </w:p>
              </w:tc>
              <w:tc>
                <w:tcPr>
                  <w:tcW w:w="2607" w:type="dxa"/>
                  <w:shd w:val="clear" w:color="auto" w:fill="auto"/>
                  <w:vAlign w:val="center"/>
                </w:tcPr>
                <w:p w14:paraId="7A10F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86</w:t>
                  </w:r>
                </w:p>
              </w:tc>
              <w:tc>
                <w:tcPr>
                  <w:tcW w:w="2608" w:type="dxa"/>
                  <w:shd w:val="clear" w:color="auto" w:fill="auto"/>
                  <w:vAlign w:val="center"/>
                </w:tcPr>
                <w:p w14:paraId="12CBD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72</w:t>
                  </w:r>
                </w:p>
              </w:tc>
            </w:tr>
            <w:tr w14:paraId="7FD1C5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7B49A944">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钢筋调直机</w:t>
                  </w:r>
                </w:p>
              </w:tc>
              <w:tc>
                <w:tcPr>
                  <w:tcW w:w="793" w:type="pct"/>
                  <w:vAlign w:val="center"/>
                </w:tcPr>
                <w:p w14:paraId="586EA4E0">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402FDBC7">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89</w:t>
                  </w:r>
                </w:p>
              </w:tc>
              <w:tc>
                <w:tcPr>
                  <w:tcW w:w="1642" w:type="pct"/>
                  <w:vAlign w:val="center"/>
                </w:tcPr>
                <w:p w14:paraId="715EF90D">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75</w:t>
                  </w:r>
                </w:p>
              </w:tc>
            </w:tr>
            <w:tr w14:paraId="5FCB3D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6DB755A6">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钢筋切断机</w:t>
                  </w:r>
                </w:p>
              </w:tc>
              <w:tc>
                <w:tcPr>
                  <w:tcW w:w="793" w:type="pct"/>
                  <w:vAlign w:val="center"/>
                </w:tcPr>
                <w:p w14:paraId="5E212B46">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7283A4B9">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94</w:t>
                  </w:r>
                </w:p>
              </w:tc>
              <w:tc>
                <w:tcPr>
                  <w:tcW w:w="1642" w:type="pct"/>
                  <w:vAlign w:val="center"/>
                </w:tcPr>
                <w:p w14:paraId="056FA59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80</w:t>
                  </w:r>
                </w:p>
              </w:tc>
            </w:tr>
            <w:tr w14:paraId="38B6D3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4F83AB06">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钢筋弯曲机</w:t>
                  </w:r>
                </w:p>
              </w:tc>
              <w:tc>
                <w:tcPr>
                  <w:tcW w:w="793" w:type="pct"/>
                  <w:vAlign w:val="center"/>
                </w:tcPr>
                <w:p w14:paraId="160436BA">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w:t>
                  </w:r>
                </w:p>
              </w:tc>
              <w:tc>
                <w:tcPr>
                  <w:tcW w:w="1642" w:type="pct"/>
                  <w:vAlign w:val="center"/>
                </w:tcPr>
                <w:p w14:paraId="76AD500C">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89</w:t>
                  </w:r>
                </w:p>
              </w:tc>
              <w:tc>
                <w:tcPr>
                  <w:tcW w:w="1642" w:type="pct"/>
                  <w:vAlign w:val="center"/>
                </w:tcPr>
                <w:p w14:paraId="40BE2349">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bidi="ar-SA"/>
                    </w:rPr>
                    <w:t>75</w:t>
                  </w:r>
                </w:p>
              </w:tc>
            </w:tr>
            <w:tr w14:paraId="567BF6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53FBED2F">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电焊机</w:t>
                  </w:r>
                </w:p>
              </w:tc>
              <w:tc>
                <w:tcPr>
                  <w:tcW w:w="793" w:type="pct"/>
                  <w:vAlign w:val="center"/>
                </w:tcPr>
                <w:p w14:paraId="2B5705A3">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8</w:t>
                  </w:r>
                </w:p>
              </w:tc>
              <w:tc>
                <w:tcPr>
                  <w:tcW w:w="1642" w:type="pct"/>
                  <w:vAlign w:val="center"/>
                </w:tcPr>
                <w:p w14:paraId="3152CEB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104</w:t>
                  </w:r>
                </w:p>
              </w:tc>
              <w:tc>
                <w:tcPr>
                  <w:tcW w:w="1642" w:type="pct"/>
                  <w:vAlign w:val="center"/>
                </w:tcPr>
                <w:p w14:paraId="2024B3D8">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leftChars="0" w:right="0" w:rightChars="0"/>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90</w:t>
                  </w:r>
                </w:p>
              </w:tc>
            </w:tr>
            <w:tr w14:paraId="145815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vAlign w:val="center"/>
                </w:tcPr>
                <w:p w14:paraId="379B551D">
                  <w:pPr>
                    <w:keepNext w:val="0"/>
                    <w:keepLines w:val="0"/>
                    <w:widowControl/>
                    <w:suppressLineNumbers w:val="0"/>
                    <w:spacing w:before="0" w:beforeAutospacing="0" w:after="0" w:afterAutospacing="0"/>
                    <w:ind w:left="0" w:right="0"/>
                    <w:jc w:val="center"/>
                    <w:rPr>
                      <w:rFonts w:hint="default"/>
                      <w:color w:val="auto"/>
                      <w:sz w:val="21"/>
                      <w:szCs w:val="21"/>
                      <w:highlight w:val="none"/>
                      <w:shd w:val="clear" w:color="auto" w:fill="auto"/>
                      <w:lang w:val="en-US" w:eastAsia="zh-CN"/>
                    </w:rPr>
                  </w:pPr>
                  <w:r>
                    <w:rPr>
                      <w:rFonts w:hint="eastAsia" w:ascii="宋体" w:hAnsi="宋体" w:eastAsia="宋体" w:cs="宋体"/>
                      <w:color w:val="auto"/>
                      <w:kern w:val="0"/>
                      <w:sz w:val="21"/>
                      <w:szCs w:val="21"/>
                      <w:highlight w:val="none"/>
                      <w:lang w:val="en-US" w:eastAsia="zh-CN" w:bidi="ar"/>
                    </w:rPr>
                    <w:t>钎入式振捣器</w:t>
                  </w:r>
                </w:p>
              </w:tc>
              <w:tc>
                <w:tcPr>
                  <w:tcW w:w="793" w:type="pct"/>
                  <w:vAlign w:val="center"/>
                </w:tcPr>
                <w:p w14:paraId="60801DCE">
                  <w:pPr>
                    <w:pStyle w:val="133"/>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5</w:t>
                  </w:r>
                </w:p>
              </w:tc>
              <w:tc>
                <w:tcPr>
                  <w:tcW w:w="1642" w:type="pct"/>
                  <w:shd w:val="clear" w:color="auto" w:fill="auto"/>
                  <w:vAlign w:val="center"/>
                </w:tcPr>
                <w:p w14:paraId="59DAC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98</w:t>
                  </w:r>
                </w:p>
              </w:tc>
              <w:tc>
                <w:tcPr>
                  <w:tcW w:w="1642" w:type="pct"/>
                  <w:shd w:val="clear" w:color="auto" w:fill="auto"/>
                  <w:vAlign w:val="center"/>
                </w:tcPr>
                <w:p w14:paraId="22489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84</w:t>
                  </w:r>
                </w:p>
              </w:tc>
            </w:tr>
            <w:tr w14:paraId="2CC10D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921" w:type="pct"/>
                  <w:shd w:val="clear" w:color="auto" w:fill="auto"/>
                  <w:vAlign w:val="center"/>
                </w:tcPr>
                <w:p w14:paraId="334CE6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钻孔</w:t>
                  </w:r>
                  <w:r>
                    <w:rPr>
                      <w:rFonts w:hint="eastAsia"/>
                      <w:color w:val="auto"/>
                      <w:sz w:val="21"/>
                      <w:szCs w:val="21"/>
                      <w:highlight w:val="none"/>
                      <w:shd w:val="clear" w:color="auto" w:fill="auto"/>
                      <w:lang w:val="en-US" w:eastAsia="zh-CN"/>
                    </w:rPr>
                    <w:t>机</w:t>
                  </w:r>
                </w:p>
              </w:tc>
              <w:tc>
                <w:tcPr>
                  <w:tcW w:w="793" w:type="pct"/>
                  <w:shd w:val="clear" w:color="auto" w:fill="auto"/>
                  <w:vAlign w:val="center"/>
                </w:tcPr>
                <w:p w14:paraId="2CB98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1642" w:type="pct"/>
                  <w:shd w:val="clear" w:color="auto" w:fill="auto"/>
                  <w:vAlign w:val="center"/>
                </w:tcPr>
                <w:p w14:paraId="3E879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109</w:t>
                  </w:r>
                </w:p>
              </w:tc>
              <w:tc>
                <w:tcPr>
                  <w:tcW w:w="1642" w:type="pct"/>
                  <w:shd w:val="clear" w:color="auto" w:fill="auto"/>
                  <w:vAlign w:val="center"/>
                </w:tcPr>
                <w:p w14:paraId="08F21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95</w:t>
                  </w:r>
                </w:p>
              </w:tc>
            </w:tr>
          </w:tbl>
          <w:p w14:paraId="08ECC80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2）环境影响</w:t>
            </w:r>
          </w:p>
          <w:p w14:paraId="0CF2F96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b w:val="0"/>
                <w:bCs w:val="0"/>
                <w:color w:val="auto"/>
                <w:sz w:val="24"/>
                <w:highlight w:val="none"/>
                <w:lang w:val="en-US" w:eastAsia="zh-CN"/>
              </w:rPr>
              <w:t>①设备</w:t>
            </w:r>
            <w:r>
              <w:rPr>
                <w:rFonts w:hint="eastAsia"/>
                <w:b w:val="0"/>
                <w:bCs w:val="0"/>
                <w:color w:val="auto"/>
                <w:sz w:val="24"/>
                <w:highlight w:val="none"/>
              </w:rPr>
              <w:t>噪声影响分析</w:t>
            </w:r>
          </w:p>
          <w:p w14:paraId="3D385F9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shd w:val="clear" w:color="auto" w:fill="auto"/>
              </w:rPr>
              <w:t>施工机械噪声源基本是在半自由场中的点声源传播，且声源基本均为裸露声源，本次</w:t>
            </w:r>
            <w:r>
              <w:rPr>
                <w:rFonts w:hint="eastAsia"/>
                <w:color w:val="auto"/>
                <w:sz w:val="24"/>
                <w:highlight w:val="none"/>
                <w:shd w:val="clear" w:color="auto" w:fill="auto"/>
                <w:lang w:val="en-US" w:eastAsia="zh-CN"/>
              </w:rPr>
              <w:t>评价</w:t>
            </w:r>
            <w:r>
              <w:rPr>
                <w:rFonts w:hint="eastAsia"/>
                <w:color w:val="auto"/>
                <w:sz w:val="24"/>
                <w:highlight w:val="none"/>
                <w:shd w:val="clear" w:color="auto" w:fill="auto"/>
              </w:rPr>
              <w:t>采用《环境影响评价技术导则</w:t>
            </w:r>
            <w:r>
              <w:rPr>
                <w:rFonts w:hint="eastAsia"/>
                <w:color w:val="auto"/>
                <w:sz w:val="24"/>
                <w:highlight w:val="none"/>
                <w:shd w:val="clear" w:color="auto" w:fill="auto"/>
                <w:lang w:val="en-US" w:eastAsia="zh-CN"/>
              </w:rPr>
              <w:t xml:space="preserve"> </w:t>
            </w:r>
            <w:r>
              <w:rPr>
                <w:rFonts w:hint="eastAsia"/>
                <w:color w:val="auto"/>
                <w:sz w:val="24"/>
                <w:highlight w:val="none"/>
                <w:shd w:val="clear" w:color="auto" w:fill="auto"/>
              </w:rPr>
              <w:t>声环境》（HJ2.4</w:t>
            </w:r>
            <w:r>
              <w:rPr>
                <w:rFonts w:hint="eastAsia"/>
                <w:color w:val="auto"/>
                <w:sz w:val="24"/>
                <w:highlight w:val="none"/>
                <w:shd w:val="clear" w:color="auto" w:fill="auto"/>
                <w:lang w:val="en-US" w:eastAsia="zh-CN"/>
              </w:rPr>
              <w:t>-</w:t>
            </w:r>
            <w:r>
              <w:rPr>
                <w:rFonts w:hint="eastAsia"/>
                <w:color w:val="auto"/>
                <w:sz w:val="24"/>
                <w:highlight w:val="none"/>
                <w:shd w:val="clear" w:color="auto" w:fill="auto"/>
              </w:rPr>
              <w:t>2021）中户外点声源的几何发散衰减基本公式进行预测。</w:t>
            </w:r>
          </w:p>
          <w:p w14:paraId="457D79A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eastAsia="宋体"/>
                <w:color w:val="auto"/>
                <w:sz w:val="24"/>
                <w:highlight w:val="none"/>
                <w:shd w:val="clear" w:color="auto" w:fill="auto"/>
                <w:lang w:val="en-US" w:eastAsia="zh-CN"/>
              </w:rPr>
            </w:pPr>
            <w:r>
              <w:rPr>
                <w:rFonts w:hint="eastAsia"/>
                <w:color w:val="auto"/>
                <w:sz w:val="24"/>
                <w:highlight w:val="none"/>
                <w:shd w:val="clear" w:color="auto" w:fill="auto"/>
                <w:lang w:val="en-US" w:eastAsia="zh-CN"/>
              </w:rPr>
              <w:t>计算公式：</w:t>
            </w:r>
          </w:p>
          <w:p w14:paraId="751093F3">
            <w:pPr>
              <w:keepNext w:val="0"/>
              <w:keepLines w:val="0"/>
              <w:suppressLineNumbers w:val="0"/>
              <w:shd w:val="clear"/>
              <w:adjustRightInd w:val="0"/>
              <w:snapToGrid w:val="0"/>
              <w:spacing w:before="0" w:beforeAutospacing="0" w:after="0" w:afterAutospacing="0" w:line="360" w:lineRule="auto"/>
              <w:ind w:left="0" w:right="0" w:firstLine="200"/>
              <w:jc w:val="center"/>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vertAlign w:val="subscript"/>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vertAlign w:val="subscript"/>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vertAlign w:val="subscript"/>
                <w:lang w:eastAsia="zh-CN"/>
              </w:rPr>
              <w:t>)</w:t>
            </w: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w:t>
            </w:r>
            <w:r>
              <w:rPr>
                <w:rFonts w:hint="eastAsia"/>
                <w:color w:val="auto"/>
                <w:sz w:val="24"/>
                <w:highlight w:val="none"/>
                <w:shd w:val="clear" w:color="auto" w:fill="auto"/>
                <w:lang w:eastAsia="zh-CN"/>
              </w:rPr>
              <w:t>(</w:t>
            </w: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 xml:space="preserve"> +A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 xml:space="preserve"> + A</w:t>
            </w:r>
            <w:r>
              <w:rPr>
                <w:rFonts w:hint="eastAsia"/>
                <w:color w:val="auto"/>
                <w:sz w:val="24"/>
                <w:highlight w:val="none"/>
                <w:shd w:val="clear" w:color="auto" w:fill="auto"/>
                <w:vertAlign w:val="subscript"/>
              </w:rPr>
              <w:t>misc</w:t>
            </w:r>
            <w:r>
              <w:rPr>
                <w:rFonts w:hint="eastAsia"/>
                <w:color w:val="auto"/>
                <w:sz w:val="24"/>
                <w:highlight w:val="none"/>
                <w:shd w:val="clear" w:color="auto" w:fill="auto"/>
                <w:vertAlign w:val="subscript"/>
                <w:lang w:eastAsia="zh-CN"/>
              </w:rPr>
              <w:t>)</w:t>
            </w:r>
          </w:p>
          <w:p w14:paraId="1E445E4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式中：</w:t>
            </w:r>
          </w:p>
          <w:p w14:paraId="717ABE4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lang w:eastAsia="zh-CN"/>
              </w:rPr>
              <w:t>）</w:t>
            </w:r>
            <w:r>
              <w:rPr>
                <w:rFonts w:hint="eastAsia"/>
                <w:color w:val="auto"/>
                <w:sz w:val="24"/>
                <w:highlight w:val="none"/>
                <w:shd w:val="clear" w:color="auto" w:fill="auto"/>
              </w:rPr>
              <w:t>——预测点处声压级，dB；</w:t>
            </w:r>
          </w:p>
          <w:p w14:paraId="2C0789F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L</w:t>
            </w:r>
            <w:r>
              <w:rPr>
                <w:rFonts w:hint="eastAsia"/>
                <w:color w:val="auto"/>
                <w:sz w:val="24"/>
                <w:highlight w:val="none"/>
                <w:shd w:val="clear" w:color="auto" w:fill="auto"/>
                <w:vertAlign w:val="subscript"/>
              </w:rPr>
              <w:t>p</w:t>
            </w:r>
            <w:r>
              <w:rPr>
                <w:rFonts w:hint="eastAsia"/>
                <w:color w:val="auto"/>
                <w:sz w:val="24"/>
                <w:highlight w:val="none"/>
                <w:shd w:val="clear" w:color="auto" w:fill="auto"/>
                <w:lang w:eastAsia="zh-CN"/>
              </w:rPr>
              <w:t>（</w:t>
            </w:r>
            <w:r>
              <w:rPr>
                <w:rFonts w:hint="eastAsia"/>
                <w:color w:val="auto"/>
                <w:sz w:val="24"/>
                <w:highlight w:val="none"/>
                <w:shd w:val="clear" w:color="auto" w:fill="auto"/>
              </w:rPr>
              <w:t>r</w:t>
            </w:r>
            <w:r>
              <w:rPr>
                <w:rFonts w:hint="eastAsia"/>
                <w:color w:val="auto"/>
                <w:sz w:val="24"/>
                <w:highlight w:val="none"/>
                <w:shd w:val="clear" w:color="auto" w:fill="auto"/>
                <w:vertAlign w:val="subscript"/>
              </w:rPr>
              <w:t>0</w:t>
            </w:r>
            <w:r>
              <w:rPr>
                <w:rFonts w:hint="eastAsia"/>
                <w:color w:val="auto"/>
                <w:sz w:val="24"/>
                <w:highlight w:val="none"/>
                <w:shd w:val="clear" w:color="auto" w:fill="auto"/>
                <w:lang w:eastAsia="zh-CN"/>
              </w:rPr>
              <w:t>）</w:t>
            </w:r>
            <w:r>
              <w:rPr>
                <w:rFonts w:hint="eastAsia"/>
                <w:color w:val="auto"/>
                <w:sz w:val="24"/>
                <w:highlight w:val="none"/>
                <w:shd w:val="clear" w:color="auto" w:fill="auto"/>
              </w:rPr>
              <w:t>——参考位置r0处的声压级，dB；</w:t>
            </w:r>
          </w:p>
          <w:p w14:paraId="416CBF2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D</w:t>
            </w:r>
            <w:r>
              <w:rPr>
                <w:rFonts w:hint="eastAsia"/>
                <w:color w:val="auto"/>
                <w:sz w:val="24"/>
                <w:highlight w:val="none"/>
                <w:shd w:val="clear" w:color="auto" w:fill="auto"/>
                <w:vertAlign w:val="subscript"/>
              </w:rPr>
              <w:t>C</w:t>
            </w:r>
            <w:r>
              <w:rPr>
                <w:rFonts w:hint="eastAsia"/>
                <w:color w:val="auto"/>
                <w:sz w:val="24"/>
                <w:highlight w:val="none"/>
                <w:shd w:val="clear" w:color="auto" w:fill="auto"/>
              </w:rPr>
              <w:t>——指向性校正，它描述点声源的等效连续声压级与产生声功率级L</w:t>
            </w:r>
            <w:r>
              <w:rPr>
                <w:rFonts w:hint="eastAsia"/>
                <w:color w:val="auto"/>
                <w:sz w:val="24"/>
                <w:highlight w:val="none"/>
                <w:shd w:val="clear" w:color="auto" w:fill="auto"/>
                <w:vertAlign w:val="subscript"/>
              </w:rPr>
              <w:t>W</w:t>
            </w:r>
            <w:r>
              <w:rPr>
                <w:rFonts w:hint="eastAsia"/>
                <w:color w:val="auto"/>
                <w:sz w:val="24"/>
                <w:highlight w:val="none"/>
                <w:shd w:val="clear" w:color="auto" w:fill="auto"/>
              </w:rPr>
              <w:t>的全向点声源在规定方向的声级的偏差程度，dB；</w:t>
            </w:r>
          </w:p>
          <w:p w14:paraId="4153EE0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div</w:t>
            </w:r>
            <w:r>
              <w:rPr>
                <w:rFonts w:hint="eastAsia"/>
                <w:color w:val="auto"/>
                <w:sz w:val="24"/>
                <w:highlight w:val="none"/>
                <w:shd w:val="clear" w:color="auto" w:fill="auto"/>
              </w:rPr>
              <w:t>——几何发散引起的衰减，dB；</w:t>
            </w:r>
          </w:p>
          <w:p w14:paraId="7BE71C7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atm</w:t>
            </w:r>
            <w:r>
              <w:rPr>
                <w:rFonts w:hint="eastAsia"/>
                <w:color w:val="auto"/>
                <w:sz w:val="24"/>
                <w:highlight w:val="none"/>
                <w:shd w:val="clear" w:color="auto" w:fill="auto"/>
              </w:rPr>
              <w:t>——大气吸收引起的衰减，dB；</w:t>
            </w:r>
          </w:p>
          <w:p w14:paraId="6A17DB4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gr</w:t>
            </w:r>
            <w:r>
              <w:rPr>
                <w:rFonts w:hint="eastAsia"/>
                <w:color w:val="auto"/>
                <w:sz w:val="24"/>
                <w:highlight w:val="none"/>
                <w:shd w:val="clear" w:color="auto" w:fill="auto"/>
              </w:rPr>
              <w:t>——地面效应引起的衰减，dB；</w:t>
            </w:r>
          </w:p>
          <w:p w14:paraId="6C920CB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bar</w:t>
            </w:r>
            <w:r>
              <w:rPr>
                <w:rFonts w:hint="eastAsia"/>
                <w:color w:val="auto"/>
                <w:sz w:val="24"/>
                <w:highlight w:val="none"/>
                <w:shd w:val="clear" w:color="auto" w:fill="auto"/>
              </w:rPr>
              <w:t>——障碍物屏蔽引起的衰减，dB；</w:t>
            </w:r>
          </w:p>
          <w:p w14:paraId="3217FA7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960" w:firstLineChars="4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A</w:t>
            </w:r>
            <w:r>
              <w:rPr>
                <w:rFonts w:hint="eastAsia"/>
                <w:color w:val="auto"/>
                <w:sz w:val="24"/>
                <w:highlight w:val="none"/>
                <w:shd w:val="clear" w:color="auto" w:fill="auto"/>
                <w:vertAlign w:val="subscript"/>
              </w:rPr>
              <w:t>misc</w:t>
            </w:r>
            <w:r>
              <w:rPr>
                <w:rFonts w:hint="eastAsia"/>
                <w:color w:val="auto"/>
                <w:sz w:val="24"/>
                <w:highlight w:val="none"/>
                <w:shd w:val="clear" w:color="auto" w:fill="auto"/>
              </w:rPr>
              <w:t>——其它多方面效应引起的衰减，dB。</w:t>
            </w:r>
          </w:p>
          <w:p w14:paraId="4EEE38A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color w:val="auto"/>
                <w:sz w:val="24"/>
                <w:highlight w:val="none"/>
                <w:shd w:val="clear" w:color="auto" w:fill="auto"/>
              </w:rPr>
            </w:pPr>
            <w:r>
              <w:rPr>
                <w:rFonts w:hint="eastAsia"/>
                <w:color w:val="auto"/>
                <w:sz w:val="24"/>
                <w:highlight w:val="none"/>
                <w:shd w:val="clear" w:color="auto" w:fill="auto"/>
              </w:rPr>
              <w:t>由上述公式计算出施工场地噪声预测结果见表4-</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w:t>
            </w:r>
          </w:p>
          <w:p w14:paraId="395E7899">
            <w:pPr>
              <w:keepNext w:val="0"/>
              <w:keepLines w:val="0"/>
              <w:suppressLineNumbers w:val="0"/>
              <w:shd w:val="clear"/>
              <w:adjustRightInd w:val="0"/>
              <w:snapToGrid w:val="0"/>
              <w:spacing w:before="0" w:beforeAutospacing="0" w:after="0" w:afterAutospacing="0"/>
              <w:ind w:left="0" w:right="0" w:firstLine="422" w:firstLineChars="200"/>
              <w:jc w:val="center"/>
              <w:rPr>
                <w:rFonts w:hint="default"/>
                <w:b/>
                <w:color w:val="auto"/>
                <w:kern w:val="0"/>
                <w:szCs w:val="21"/>
                <w:highlight w:val="none"/>
                <w:shd w:val="clear" w:color="auto" w:fill="auto"/>
              </w:rPr>
            </w:pPr>
            <w:r>
              <w:rPr>
                <w:rFonts w:hint="default"/>
                <w:b/>
                <w:color w:val="auto"/>
                <w:kern w:val="0"/>
                <w:szCs w:val="21"/>
                <w:highlight w:val="none"/>
                <w:shd w:val="clear" w:color="auto" w:fill="auto"/>
              </w:rPr>
              <w:t>表4-</w:t>
            </w:r>
            <w:r>
              <w:rPr>
                <w:rFonts w:hint="eastAsia"/>
                <w:b/>
                <w:color w:val="auto"/>
                <w:kern w:val="0"/>
                <w:szCs w:val="21"/>
                <w:highlight w:val="none"/>
                <w:shd w:val="clear" w:color="auto" w:fill="auto"/>
                <w:lang w:val="en-US" w:eastAsia="zh-CN"/>
              </w:rPr>
              <w:t xml:space="preserve">6 </w:t>
            </w:r>
            <w:r>
              <w:rPr>
                <w:rFonts w:hint="default"/>
                <w:b/>
                <w:color w:val="auto"/>
                <w:kern w:val="0"/>
                <w:szCs w:val="21"/>
                <w:highlight w:val="none"/>
                <w:shd w:val="clear" w:color="auto" w:fill="auto"/>
              </w:rPr>
              <w:t xml:space="preserve"> 距声源不同距离处的噪声值</w:t>
            </w:r>
            <w:r>
              <w:rPr>
                <w:rFonts w:hint="eastAsia"/>
                <w:b/>
                <w:color w:val="auto"/>
                <w:kern w:val="0"/>
                <w:szCs w:val="21"/>
                <w:highlight w:val="none"/>
                <w:shd w:val="clear" w:color="auto" w:fill="auto"/>
              </w:rPr>
              <w:t xml:space="preserve">  单位：</w:t>
            </w:r>
            <w:r>
              <w:rPr>
                <w:rFonts w:hint="default"/>
                <w:b/>
                <w:color w:val="auto"/>
                <w:kern w:val="0"/>
                <w:szCs w:val="21"/>
                <w:highlight w:val="none"/>
                <w:shd w:val="clear" w:color="auto" w:fill="auto"/>
              </w:rPr>
              <w:t>dB（A）</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64"/>
              <w:gridCol w:w="659"/>
              <w:gridCol w:w="640"/>
              <w:gridCol w:w="667"/>
              <w:gridCol w:w="667"/>
              <w:gridCol w:w="667"/>
              <w:gridCol w:w="794"/>
              <w:gridCol w:w="781"/>
              <w:gridCol w:w="783"/>
              <w:gridCol w:w="814"/>
            </w:tblGrid>
            <w:tr w14:paraId="57B678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3" w:type="pct"/>
                  <w:vMerge w:val="restart"/>
                  <w:vAlign w:val="center"/>
                </w:tcPr>
                <w:p w14:paraId="6EC720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Style w:val="146"/>
                      <w:rFonts w:hint="default" w:ascii="Times New Roman" w:hAnsi="Times New Roman" w:eastAsia="宋体" w:cs="Times New Roman"/>
                      <w:color w:val="auto"/>
                      <w:sz w:val="21"/>
                      <w:szCs w:val="21"/>
                      <w:highlight w:val="none"/>
                      <w:lang w:val="en-US" w:eastAsia="zh-CN" w:bidi="ar"/>
                    </w:rPr>
                    <w:t>设备名称</w:t>
                  </w:r>
                </w:p>
              </w:tc>
              <w:tc>
                <w:tcPr>
                  <w:tcW w:w="4076" w:type="pct"/>
                  <w:gridSpan w:val="9"/>
                  <w:vAlign w:val="center"/>
                </w:tcPr>
                <w:p w14:paraId="3AFDC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随距离衰减的预测值dB（A）</w:t>
                  </w:r>
                </w:p>
              </w:tc>
            </w:tr>
            <w:tr w14:paraId="4DCCED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23" w:type="pct"/>
                  <w:vMerge w:val="continue"/>
                  <w:vAlign w:val="center"/>
                </w:tcPr>
                <w:p w14:paraId="06418B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p>
              </w:tc>
              <w:tc>
                <w:tcPr>
                  <w:tcW w:w="415" w:type="pct"/>
                  <w:vAlign w:val="center"/>
                </w:tcPr>
                <w:p w14:paraId="41632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1</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403" w:type="pct"/>
                  <w:vAlign w:val="center"/>
                </w:tcPr>
                <w:p w14:paraId="505358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5</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420" w:type="pct"/>
                  <w:vAlign w:val="center"/>
                </w:tcPr>
                <w:p w14:paraId="2BF559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10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420" w:type="pct"/>
                  <w:vAlign w:val="center"/>
                </w:tcPr>
                <w:p w14:paraId="264F9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eastAsia" w:cs="Times New Roman"/>
                      <w:b/>
                      <w:bCs/>
                      <w:i w:val="0"/>
                      <w:iCs w:val="0"/>
                      <w:color w:val="auto"/>
                      <w:kern w:val="0"/>
                      <w:sz w:val="21"/>
                      <w:szCs w:val="21"/>
                      <w:highlight w:val="none"/>
                      <w:u w:val="none"/>
                      <w:lang w:val="en-US" w:eastAsia="zh-CN" w:bidi="ar"/>
                    </w:rPr>
                    <w:t>30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420" w:type="pct"/>
                  <w:vAlign w:val="center"/>
                </w:tcPr>
                <w:p w14:paraId="36B8A4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50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500" w:type="pct"/>
                  <w:vAlign w:val="center"/>
                </w:tcPr>
                <w:p w14:paraId="28722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60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492" w:type="pct"/>
                  <w:vAlign w:val="center"/>
                </w:tcPr>
                <w:p w14:paraId="7EF26F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100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493" w:type="pct"/>
                  <w:vAlign w:val="center"/>
                </w:tcPr>
                <w:p w14:paraId="427F7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150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c>
                <w:tcPr>
                  <w:tcW w:w="510" w:type="pct"/>
                  <w:vAlign w:val="center"/>
                </w:tcPr>
                <w:p w14:paraId="4ECC0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200</w:t>
                  </w:r>
                  <w:r>
                    <w:rPr>
                      <w:rFonts w:hint="eastAsia" w:ascii="Times New Roman" w:hAnsi="Times New Roman" w:eastAsia="宋体" w:cs="Times New Roman"/>
                      <w:b/>
                      <w:bCs/>
                      <w:i w:val="0"/>
                      <w:iCs w:val="0"/>
                      <w:color w:val="auto"/>
                      <w:kern w:val="0"/>
                      <w:sz w:val="21"/>
                      <w:szCs w:val="21"/>
                      <w:highlight w:val="none"/>
                      <w:u w:val="none"/>
                      <w:lang w:val="en-US" w:eastAsia="zh-CN" w:bidi="ar"/>
                    </w:rPr>
                    <w:t>m</w:t>
                  </w:r>
                </w:p>
              </w:tc>
            </w:tr>
            <w:tr w14:paraId="12A669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923" w:type="pct"/>
                  <w:vAlign w:val="center"/>
                </w:tcPr>
                <w:p w14:paraId="776C8B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起重机</w:t>
                  </w:r>
                </w:p>
              </w:tc>
              <w:tc>
                <w:tcPr>
                  <w:tcW w:w="415" w:type="pct"/>
                  <w:vAlign w:val="center"/>
                </w:tcPr>
                <w:p w14:paraId="31D91A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403" w:type="pct"/>
                  <w:vAlign w:val="center"/>
                </w:tcPr>
                <w:p w14:paraId="51D76D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420" w:type="pct"/>
                  <w:vAlign w:val="center"/>
                </w:tcPr>
                <w:p w14:paraId="51795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420" w:type="pct"/>
                  <w:vAlign w:val="center"/>
                </w:tcPr>
                <w:p w14:paraId="7C6761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79</w:t>
                  </w:r>
                </w:p>
              </w:tc>
              <w:tc>
                <w:tcPr>
                  <w:tcW w:w="420" w:type="pct"/>
                  <w:vAlign w:val="center"/>
                </w:tcPr>
                <w:p w14:paraId="17A6AF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00" w:type="pct"/>
                  <w:vAlign w:val="center"/>
                </w:tcPr>
                <w:p w14:paraId="60BFF3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492" w:type="pct"/>
                  <w:vAlign w:val="center"/>
                </w:tcPr>
                <w:p w14:paraId="4FEE1A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493" w:type="pct"/>
                  <w:vAlign w:val="center"/>
                </w:tcPr>
                <w:p w14:paraId="51CD93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510" w:type="pct"/>
                  <w:vAlign w:val="center"/>
                </w:tcPr>
                <w:p w14:paraId="038F5C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r>
            <w:tr w14:paraId="5F5575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923" w:type="pct"/>
                  <w:vAlign w:val="center"/>
                </w:tcPr>
                <w:p w14:paraId="390255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反铲挖掘机</w:t>
                  </w:r>
                </w:p>
              </w:tc>
              <w:tc>
                <w:tcPr>
                  <w:tcW w:w="415" w:type="pct"/>
                  <w:shd w:val="clear" w:color="auto" w:fill="auto"/>
                  <w:vAlign w:val="center"/>
                </w:tcPr>
                <w:p w14:paraId="1C5AD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96</w:t>
                  </w:r>
                </w:p>
              </w:tc>
              <w:tc>
                <w:tcPr>
                  <w:tcW w:w="403" w:type="pct"/>
                  <w:shd w:val="clear" w:color="auto" w:fill="auto"/>
                  <w:vAlign w:val="center"/>
                </w:tcPr>
                <w:p w14:paraId="1C81E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82</w:t>
                  </w:r>
                </w:p>
              </w:tc>
              <w:tc>
                <w:tcPr>
                  <w:tcW w:w="420" w:type="pct"/>
                  <w:vAlign w:val="center"/>
                </w:tcPr>
                <w:p w14:paraId="72D120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w:t>
                  </w:r>
                </w:p>
              </w:tc>
              <w:tc>
                <w:tcPr>
                  <w:tcW w:w="420" w:type="pct"/>
                  <w:vAlign w:val="center"/>
                </w:tcPr>
                <w:p w14:paraId="63325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420" w:type="pct"/>
                  <w:vAlign w:val="center"/>
                </w:tcPr>
                <w:p w14:paraId="686E2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500" w:type="pct"/>
                  <w:vAlign w:val="center"/>
                </w:tcPr>
                <w:p w14:paraId="40E5D2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92" w:type="pct"/>
                  <w:vAlign w:val="center"/>
                </w:tcPr>
                <w:p w14:paraId="75237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493" w:type="pct"/>
                  <w:vAlign w:val="center"/>
                </w:tcPr>
                <w:p w14:paraId="1D524F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510" w:type="pct"/>
                  <w:vAlign w:val="center"/>
                </w:tcPr>
                <w:p w14:paraId="26E9EE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w:t>
                  </w:r>
                </w:p>
              </w:tc>
            </w:tr>
            <w:tr w14:paraId="11AE3D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8" w:hRule="atLeast"/>
                <w:jc w:val="center"/>
              </w:trPr>
              <w:tc>
                <w:tcPr>
                  <w:tcW w:w="1464" w:type="dxa"/>
                  <w:vAlign w:val="center"/>
                </w:tcPr>
                <w:p w14:paraId="4983E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混凝土搅拌运输车</w:t>
                  </w:r>
                </w:p>
              </w:tc>
              <w:tc>
                <w:tcPr>
                  <w:tcW w:w="659" w:type="dxa"/>
                  <w:shd w:val="clear" w:color="auto" w:fill="auto"/>
                  <w:vAlign w:val="center"/>
                </w:tcPr>
                <w:p w14:paraId="0BD11E9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86</w:t>
                  </w:r>
                </w:p>
              </w:tc>
              <w:tc>
                <w:tcPr>
                  <w:tcW w:w="640" w:type="dxa"/>
                  <w:shd w:val="clear" w:color="auto" w:fill="auto"/>
                  <w:vAlign w:val="center"/>
                </w:tcPr>
                <w:p w14:paraId="74D1FD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667" w:type="dxa"/>
                  <w:vAlign w:val="center"/>
                </w:tcPr>
                <w:p w14:paraId="62EE97C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w:t>
                  </w:r>
                </w:p>
              </w:tc>
              <w:tc>
                <w:tcPr>
                  <w:tcW w:w="667" w:type="dxa"/>
                  <w:vAlign w:val="center"/>
                </w:tcPr>
                <w:p w14:paraId="4B0CAA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c>
                <w:tcPr>
                  <w:tcW w:w="667" w:type="dxa"/>
                  <w:vAlign w:val="center"/>
                </w:tcPr>
                <w:p w14:paraId="3DF999C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794" w:type="dxa"/>
                  <w:vAlign w:val="center"/>
                </w:tcPr>
                <w:p w14:paraId="780502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781" w:type="dxa"/>
                  <w:vAlign w:val="center"/>
                </w:tcPr>
                <w:p w14:paraId="6F05744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783" w:type="dxa"/>
                  <w:vAlign w:val="center"/>
                </w:tcPr>
                <w:p w14:paraId="1A03A87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814" w:type="dxa"/>
                  <w:vAlign w:val="center"/>
                </w:tcPr>
                <w:p w14:paraId="19E5C9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r>
            <w:tr w14:paraId="2F2C2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923" w:type="pct"/>
                  <w:shd w:val="clear" w:color="auto" w:fill="auto"/>
                  <w:vAlign w:val="center"/>
                </w:tcPr>
                <w:p w14:paraId="645600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电焊机</w:t>
                  </w:r>
                </w:p>
              </w:tc>
              <w:tc>
                <w:tcPr>
                  <w:tcW w:w="415" w:type="pct"/>
                  <w:shd w:val="clear" w:color="auto" w:fill="auto"/>
                  <w:vAlign w:val="center"/>
                </w:tcPr>
                <w:p w14:paraId="33EA1CF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c>
                <w:tcPr>
                  <w:tcW w:w="403" w:type="pct"/>
                  <w:shd w:val="clear" w:color="auto" w:fill="auto"/>
                  <w:vAlign w:val="center"/>
                </w:tcPr>
                <w:p w14:paraId="58C1AE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420" w:type="pct"/>
                  <w:shd w:val="clear" w:color="auto" w:fill="auto"/>
                  <w:vAlign w:val="center"/>
                </w:tcPr>
                <w:p w14:paraId="693BE4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c>
                <w:tcPr>
                  <w:tcW w:w="420" w:type="pct"/>
                  <w:shd w:val="clear" w:color="auto" w:fill="auto"/>
                  <w:vAlign w:val="center"/>
                </w:tcPr>
                <w:p w14:paraId="7A1EA3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74</w:t>
                  </w:r>
                </w:p>
              </w:tc>
              <w:tc>
                <w:tcPr>
                  <w:tcW w:w="420" w:type="pct"/>
                  <w:shd w:val="clear" w:color="auto" w:fill="auto"/>
                  <w:vAlign w:val="center"/>
                </w:tcPr>
                <w:p w14:paraId="53F0DF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500" w:type="pct"/>
                  <w:shd w:val="clear" w:color="auto" w:fill="auto"/>
                  <w:vAlign w:val="center"/>
                </w:tcPr>
                <w:p w14:paraId="506E4E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492" w:type="pct"/>
                  <w:shd w:val="clear" w:color="auto" w:fill="auto"/>
                  <w:vAlign w:val="center"/>
                </w:tcPr>
                <w:p w14:paraId="2E6990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493" w:type="pct"/>
                  <w:shd w:val="clear" w:color="auto" w:fill="auto"/>
                  <w:vAlign w:val="center"/>
                </w:tcPr>
                <w:p w14:paraId="1559D7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510" w:type="pct"/>
                  <w:shd w:val="clear" w:color="auto" w:fill="auto"/>
                  <w:vAlign w:val="center"/>
                </w:tcPr>
                <w:p w14:paraId="54C26C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r>
            <w:tr w14:paraId="66F5F6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3" w:type="pct"/>
                  <w:vAlign w:val="center"/>
                </w:tcPr>
                <w:p w14:paraId="59278D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钎入式振捣器</w:t>
                  </w:r>
                </w:p>
              </w:tc>
              <w:tc>
                <w:tcPr>
                  <w:tcW w:w="415" w:type="pct"/>
                  <w:shd w:val="clear" w:color="auto" w:fill="auto"/>
                  <w:vAlign w:val="center"/>
                </w:tcPr>
                <w:p w14:paraId="54D9C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98</w:t>
                  </w:r>
                </w:p>
              </w:tc>
              <w:tc>
                <w:tcPr>
                  <w:tcW w:w="403" w:type="pct"/>
                  <w:shd w:val="clear" w:color="auto" w:fill="auto"/>
                  <w:vAlign w:val="center"/>
                </w:tcPr>
                <w:p w14:paraId="4C1927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84</w:t>
                  </w:r>
                </w:p>
              </w:tc>
              <w:tc>
                <w:tcPr>
                  <w:tcW w:w="420" w:type="pct"/>
                  <w:vAlign w:val="center"/>
                </w:tcPr>
                <w:p w14:paraId="53AD4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420" w:type="pct"/>
                  <w:vAlign w:val="center"/>
                </w:tcPr>
                <w:p w14:paraId="41420B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68</w:t>
                  </w:r>
                </w:p>
              </w:tc>
              <w:tc>
                <w:tcPr>
                  <w:tcW w:w="420" w:type="pct"/>
                  <w:vAlign w:val="center"/>
                </w:tcPr>
                <w:p w14:paraId="25B5AC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500" w:type="pct"/>
                  <w:vAlign w:val="center"/>
                </w:tcPr>
                <w:p w14:paraId="154E8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492" w:type="pct"/>
                  <w:vAlign w:val="center"/>
                </w:tcPr>
                <w:p w14:paraId="64A5D8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493" w:type="pct"/>
                  <w:vAlign w:val="center"/>
                </w:tcPr>
                <w:p w14:paraId="79767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510" w:type="pct"/>
                  <w:vAlign w:val="center"/>
                </w:tcPr>
                <w:p w14:paraId="08BBE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52</w:t>
                  </w:r>
                </w:p>
              </w:tc>
            </w:tr>
            <w:tr w14:paraId="46BCDE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923" w:type="pct"/>
                  <w:vAlign w:val="center"/>
                </w:tcPr>
                <w:p w14:paraId="348C7B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钻孔</w:t>
                  </w:r>
                  <w:r>
                    <w:rPr>
                      <w:rFonts w:hint="eastAsia"/>
                      <w:color w:val="auto"/>
                      <w:sz w:val="21"/>
                      <w:szCs w:val="21"/>
                      <w:highlight w:val="none"/>
                      <w:shd w:val="clear" w:color="auto" w:fill="auto"/>
                      <w:lang w:val="en-US" w:eastAsia="zh-CN"/>
                    </w:rPr>
                    <w:t>机</w:t>
                  </w:r>
                </w:p>
              </w:tc>
              <w:tc>
                <w:tcPr>
                  <w:tcW w:w="415" w:type="pct"/>
                  <w:shd w:val="clear" w:color="auto" w:fill="auto"/>
                  <w:vAlign w:val="center"/>
                </w:tcPr>
                <w:p w14:paraId="30118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109</w:t>
                  </w:r>
                </w:p>
              </w:tc>
              <w:tc>
                <w:tcPr>
                  <w:tcW w:w="403" w:type="pct"/>
                  <w:shd w:val="clear" w:color="auto" w:fill="auto"/>
                  <w:vAlign w:val="center"/>
                </w:tcPr>
                <w:p w14:paraId="540A0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95</w:t>
                  </w:r>
                </w:p>
              </w:tc>
              <w:tc>
                <w:tcPr>
                  <w:tcW w:w="420" w:type="pct"/>
                  <w:shd w:val="clear" w:color="auto" w:fill="auto"/>
                  <w:vAlign w:val="center"/>
                </w:tcPr>
                <w:p w14:paraId="06253C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420" w:type="pct"/>
                  <w:shd w:val="clear" w:color="auto" w:fill="auto"/>
                  <w:vAlign w:val="center"/>
                </w:tcPr>
                <w:p w14:paraId="0D91B9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79</w:t>
                  </w:r>
                </w:p>
              </w:tc>
              <w:tc>
                <w:tcPr>
                  <w:tcW w:w="420" w:type="pct"/>
                  <w:shd w:val="clear" w:color="auto" w:fill="auto"/>
                  <w:vAlign w:val="center"/>
                </w:tcPr>
                <w:p w14:paraId="6BC4F8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500" w:type="pct"/>
                  <w:shd w:val="clear" w:color="auto" w:fill="auto"/>
                  <w:vAlign w:val="center"/>
                </w:tcPr>
                <w:p w14:paraId="0155E3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492" w:type="pct"/>
                  <w:shd w:val="clear" w:color="auto" w:fill="auto"/>
                  <w:vAlign w:val="center"/>
                </w:tcPr>
                <w:p w14:paraId="272628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493" w:type="pct"/>
                  <w:shd w:val="clear" w:color="auto" w:fill="auto"/>
                  <w:vAlign w:val="center"/>
                </w:tcPr>
                <w:p w14:paraId="549324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510" w:type="pct"/>
                  <w:shd w:val="clear" w:color="auto" w:fill="auto"/>
                  <w:vAlign w:val="center"/>
                </w:tcPr>
                <w:p w14:paraId="4B7CF8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r>
          </w:tbl>
          <w:p w14:paraId="6F86ECB7">
            <w:pPr>
              <w:keepNext w:val="0"/>
              <w:keepLines w:val="0"/>
              <w:suppressLineNumbers w:val="0"/>
              <w:shd w:val="clear" w:color="auto" w:fill="auto"/>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eastAsia"/>
                <w:color w:val="auto"/>
                <w:sz w:val="24"/>
                <w:szCs w:val="24"/>
                <w:highlight w:val="none"/>
                <w:shd w:val="clear" w:color="auto" w:fill="auto"/>
              </w:rPr>
              <w:t>根据预测结果，</w:t>
            </w:r>
            <w:r>
              <w:rPr>
                <w:rFonts w:hint="eastAsia"/>
                <w:color w:val="auto"/>
                <w:sz w:val="24"/>
                <w:szCs w:val="24"/>
                <w:highlight w:val="none"/>
                <w:shd w:val="clear" w:color="auto" w:fill="auto"/>
                <w:lang w:val="en-US" w:eastAsia="zh-CN"/>
              </w:rPr>
              <w:t>施工机械中噪声影响较大的设备是</w:t>
            </w:r>
            <w:r>
              <w:rPr>
                <w:rFonts w:hint="eastAsia" w:ascii="宋体" w:hAnsi="宋体" w:eastAsia="宋体" w:cs="宋体"/>
                <w:color w:val="auto"/>
                <w:kern w:val="0"/>
                <w:sz w:val="24"/>
                <w:szCs w:val="24"/>
                <w:highlight w:val="none"/>
                <w:lang w:val="en-US" w:eastAsia="zh-CN" w:bidi="ar"/>
              </w:rPr>
              <w:t>钻孔</w:t>
            </w:r>
            <w:r>
              <w:rPr>
                <w:rFonts w:hint="eastAsia"/>
                <w:color w:val="auto"/>
                <w:sz w:val="24"/>
                <w:szCs w:val="24"/>
                <w:highlight w:val="none"/>
                <w:shd w:val="clear" w:color="auto" w:fill="auto"/>
                <w:lang w:val="en-US" w:eastAsia="zh-CN"/>
              </w:rPr>
              <w:t>机、电焊机等。</w:t>
            </w:r>
            <w:r>
              <w:rPr>
                <w:rFonts w:hint="eastAsia"/>
                <w:color w:val="auto"/>
                <w:sz w:val="24"/>
                <w:szCs w:val="24"/>
                <w:highlight w:val="none"/>
                <w:shd w:val="clear" w:color="auto" w:fill="auto"/>
              </w:rPr>
              <w:t>在不考虑噪声叠加影响的情况下，</w:t>
            </w:r>
            <w:r>
              <w:rPr>
                <w:rFonts w:hint="eastAsia"/>
                <w:color w:val="auto"/>
                <w:sz w:val="24"/>
                <w:szCs w:val="24"/>
                <w:highlight w:val="none"/>
                <w:shd w:val="clear" w:color="auto" w:fill="auto"/>
                <w:lang w:val="en-US" w:eastAsia="zh-CN"/>
              </w:rPr>
              <w:t>单</w:t>
            </w:r>
            <w:r>
              <w:rPr>
                <w:rFonts w:hint="default"/>
                <w:color w:val="auto"/>
                <w:sz w:val="24"/>
                <w:szCs w:val="24"/>
                <w:highlight w:val="none"/>
                <w:shd w:val="clear" w:color="auto" w:fill="auto"/>
              </w:rPr>
              <w:t>台设备运行时，距施工点</w:t>
            </w:r>
            <w:r>
              <w:rPr>
                <w:rFonts w:hint="eastAsia"/>
                <w:color w:val="auto"/>
                <w:sz w:val="24"/>
                <w:szCs w:val="24"/>
                <w:highlight w:val="none"/>
                <w:shd w:val="clear" w:color="auto" w:fill="auto"/>
                <w:lang w:val="en-US" w:eastAsia="zh-CN"/>
              </w:rPr>
              <w:t>100</w:t>
            </w:r>
            <w:r>
              <w:rPr>
                <w:rFonts w:hint="default"/>
                <w:color w:val="auto"/>
                <w:sz w:val="24"/>
                <w:szCs w:val="24"/>
                <w:highlight w:val="none"/>
                <w:shd w:val="clear" w:color="auto" w:fill="auto"/>
              </w:rPr>
              <w:t>m外昼间可达《建筑施工场界环境噪声排放限值》</w:t>
            </w:r>
            <w:r>
              <w:rPr>
                <w:rFonts w:hint="eastAsia"/>
                <w:color w:val="auto"/>
                <w:sz w:val="24"/>
                <w:szCs w:val="24"/>
                <w:highlight w:val="none"/>
                <w:shd w:val="clear" w:color="auto" w:fill="auto"/>
              </w:rPr>
              <w:t>（</w:t>
            </w:r>
            <w:r>
              <w:rPr>
                <w:rFonts w:hint="default"/>
                <w:color w:val="auto"/>
                <w:sz w:val="24"/>
                <w:szCs w:val="24"/>
                <w:highlight w:val="none"/>
                <w:shd w:val="clear" w:color="auto" w:fill="auto"/>
              </w:rPr>
              <w:t>GB12523-2011</w:t>
            </w:r>
            <w:r>
              <w:rPr>
                <w:rFonts w:hint="eastAsia"/>
                <w:color w:val="auto"/>
                <w:sz w:val="24"/>
                <w:szCs w:val="24"/>
                <w:highlight w:val="none"/>
                <w:shd w:val="clear" w:color="auto" w:fill="auto"/>
              </w:rPr>
              <w:t>）</w:t>
            </w:r>
            <w:r>
              <w:rPr>
                <w:rFonts w:hint="default"/>
                <w:color w:val="auto"/>
                <w:sz w:val="24"/>
                <w:szCs w:val="24"/>
                <w:highlight w:val="none"/>
                <w:shd w:val="clear" w:color="auto" w:fill="auto"/>
              </w:rPr>
              <w:t>70dB</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default"/>
                <w:color w:val="auto"/>
                <w:sz w:val="24"/>
                <w:szCs w:val="24"/>
                <w:highlight w:val="none"/>
                <w:shd w:val="clear" w:color="auto" w:fill="auto"/>
              </w:rPr>
              <w:t>的要求，</w:t>
            </w:r>
            <w:r>
              <w:rPr>
                <w:rFonts w:hint="eastAsia"/>
                <w:color w:val="auto"/>
                <w:sz w:val="24"/>
                <w:szCs w:val="24"/>
                <w:highlight w:val="none"/>
                <w:shd w:val="clear" w:color="auto" w:fill="auto"/>
                <w:lang w:val="en-US" w:eastAsia="zh-CN"/>
              </w:rPr>
              <w:t>项目夜间不施工</w:t>
            </w:r>
            <w:r>
              <w:rPr>
                <w:rFonts w:hint="default"/>
                <w:color w:val="auto"/>
                <w:sz w:val="24"/>
                <w:highlight w:val="none"/>
                <w:shd w:val="clear" w:color="auto" w:fill="auto"/>
              </w:rPr>
              <w:t>。</w:t>
            </w:r>
            <w:r>
              <w:rPr>
                <w:rFonts w:hint="default" w:ascii="Times New Roman" w:hAnsi="Times New Roman" w:cs="Times New Roman"/>
                <w:bCs/>
                <w:color w:val="auto"/>
                <w:sz w:val="24"/>
                <w:szCs w:val="24"/>
                <w:highlight w:val="none"/>
              </w:rPr>
              <w:t>项目施工边界</w:t>
            </w:r>
            <w:r>
              <w:rPr>
                <w:rFonts w:hint="eastAsia" w:cs="Times New Roman"/>
                <w:bCs/>
                <w:color w:val="auto"/>
                <w:sz w:val="24"/>
                <w:szCs w:val="24"/>
                <w:highlight w:val="none"/>
                <w:lang w:val="en-US" w:eastAsia="zh-CN"/>
              </w:rPr>
              <w:t>10</w:t>
            </w:r>
            <w:r>
              <w:rPr>
                <w:rFonts w:hint="default" w:ascii="Times New Roman" w:hAnsi="Times New Roman" w:cs="Times New Roman"/>
                <w:bCs/>
                <w:color w:val="auto"/>
                <w:sz w:val="24"/>
                <w:szCs w:val="24"/>
                <w:highlight w:val="none"/>
              </w:rPr>
              <w:t>0m范围内</w:t>
            </w:r>
            <w:r>
              <w:rPr>
                <w:rFonts w:hint="eastAsia" w:cs="Times New Roman"/>
                <w:bCs/>
                <w:color w:val="auto"/>
                <w:sz w:val="24"/>
                <w:szCs w:val="24"/>
                <w:highlight w:val="none"/>
                <w:lang w:val="en-US" w:eastAsia="zh-CN"/>
              </w:rPr>
              <w:t>无敏感点，对周边环境影响小</w:t>
            </w:r>
            <w:r>
              <w:rPr>
                <w:rFonts w:hint="default" w:ascii="Times New Roman" w:hAnsi="Times New Roman" w:cs="Times New Roman"/>
                <w:bCs/>
                <w:color w:val="auto"/>
                <w:sz w:val="24"/>
                <w:szCs w:val="24"/>
                <w:highlight w:val="none"/>
              </w:rPr>
              <w:t>。</w:t>
            </w:r>
          </w:p>
          <w:p w14:paraId="37296065">
            <w:pPr>
              <w:keepNext w:val="0"/>
              <w:keepLines w:val="0"/>
              <w:suppressLineNumbers w:val="0"/>
              <w:adjustRightInd w:val="0"/>
              <w:snapToGrid w:val="0"/>
              <w:spacing w:before="0" w:beforeAutospacing="0" w:after="0" w:afterAutospacing="0"/>
              <w:ind w:left="0" w:right="0" w:firstLine="422" w:firstLineChars="200"/>
              <w:jc w:val="center"/>
              <w:rPr>
                <w:rFonts w:hint="default"/>
                <w:b/>
                <w:color w:val="auto"/>
                <w:kern w:val="0"/>
                <w:szCs w:val="21"/>
                <w:highlight w:val="none"/>
              </w:rPr>
            </w:pPr>
            <w:r>
              <w:rPr>
                <w:rFonts w:hint="default"/>
                <w:b/>
                <w:color w:val="auto"/>
                <w:kern w:val="0"/>
                <w:szCs w:val="21"/>
                <w:highlight w:val="none"/>
              </w:rPr>
              <w:t>表4-</w:t>
            </w:r>
            <w:r>
              <w:rPr>
                <w:rFonts w:hint="eastAsia"/>
                <w:b/>
                <w:color w:val="auto"/>
                <w:kern w:val="0"/>
                <w:szCs w:val="21"/>
                <w:highlight w:val="none"/>
                <w:lang w:val="en-US" w:eastAsia="zh-CN"/>
              </w:rPr>
              <w:t>7</w:t>
            </w:r>
            <w:r>
              <w:rPr>
                <w:rFonts w:hint="default"/>
                <w:b/>
                <w:color w:val="auto"/>
                <w:kern w:val="0"/>
                <w:szCs w:val="21"/>
                <w:highlight w:val="none"/>
              </w:rPr>
              <w:t xml:space="preserve"> </w:t>
            </w:r>
            <w:r>
              <w:rPr>
                <w:rFonts w:hint="eastAsia"/>
                <w:b/>
                <w:color w:val="auto"/>
                <w:kern w:val="0"/>
                <w:szCs w:val="21"/>
                <w:highlight w:val="none"/>
                <w:lang w:val="en-US" w:eastAsia="zh-CN"/>
              </w:rPr>
              <w:t xml:space="preserve"> </w:t>
            </w:r>
            <w:r>
              <w:rPr>
                <w:rFonts w:hint="default"/>
                <w:b/>
                <w:color w:val="auto"/>
                <w:kern w:val="0"/>
                <w:szCs w:val="21"/>
                <w:highlight w:val="none"/>
              </w:rPr>
              <w:t>距声源不同距离处</w:t>
            </w:r>
            <w:r>
              <w:rPr>
                <w:rFonts w:hint="eastAsia"/>
                <w:b/>
                <w:color w:val="auto"/>
                <w:kern w:val="0"/>
                <w:szCs w:val="21"/>
                <w:highlight w:val="none"/>
                <w:lang w:val="en-US" w:eastAsia="zh-CN"/>
              </w:rPr>
              <w:t>多台设备</w:t>
            </w:r>
            <w:r>
              <w:rPr>
                <w:rFonts w:hint="default"/>
                <w:b/>
                <w:color w:val="auto"/>
                <w:kern w:val="0"/>
                <w:szCs w:val="21"/>
                <w:highlight w:val="none"/>
              </w:rPr>
              <w:t>的</w:t>
            </w:r>
            <w:r>
              <w:rPr>
                <w:rFonts w:hint="eastAsia"/>
                <w:b/>
                <w:color w:val="auto"/>
                <w:kern w:val="0"/>
                <w:szCs w:val="21"/>
                <w:highlight w:val="none"/>
                <w:lang w:val="en-US" w:eastAsia="zh-CN"/>
              </w:rPr>
              <w:t>叠加</w:t>
            </w:r>
            <w:r>
              <w:rPr>
                <w:rFonts w:hint="default"/>
                <w:b/>
                <w:color w:val="auto"/>
                <w:kern w:val="0"/>
                <w:szCs w:val="21"/>
                <w:highlight w:val="none"/>
              </w:rPr>
              <w:t>噪声值</w:t>
            </w:r>
            <w:r>
              <w:rPr>
                <w:rFonts w:hint="eastAsia"/>
                <w:b/>
                <w:color w:val="auto"/>
                <w:kern w:val="0"/>
                <w:szCs w:val="21"/>
                <w:highlight w:val="none"/>
              </w:rPr>
              <w:t xml:space="preserve">   单位：</w:t>
            </w:r>
            <w:r>
              <w:rPr>
                <w:rFonts w:hint="default"/>
                <w:b/>
                <w:color w:val="auto"/>
                <w:kern w:val="0"/>
                <w:szCs w:val="21"/>
                <w:highlight w:val="none"/>
              </w:rPr>
              <w:t>dB（A）</w:t>
            </w:r>
          </w:p>
          <w:tbl>
            <w:tblPr>
              <w:tblStyle w:val="41"/>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29"/>
              <w:gridCol w:w="651"/>
              <w:gridCol w:w="619"/>
              <w:gridCol w:w="715"/>
              <w:gridCol w:w="715"/>
              <w:gridCol w:w="577"/>
              <w:gridCol w:w="662"/>
              <w:gridCol w:w="694"/>
              <w:gridCol w:w="713"/>
              <w:gridCol w:w="673"/>
              <w:gridCol w:w="686"/>
            </w:tblGrid>
            <w:tr w14:paraId="255E0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74" w:type="pct"/>
                  <w:noWrap w:val="0"/>
                  <w:vAlign w:val="center"/>
                </w:tcPr>
                <w:p w14:paraId="3E82CDA1">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设备名称</w:t>
                  </w:r>
                </w:p>
              </w:tc>
              <w:tc>
                <w:tcPr>
                  <w:tcW w:w="410" w:type="pct"/>
                  <w:noWrap w:val="0"/>
                  <w:vAlign w:val="center"/>
                </w:tcPr>
                <w:p w14:paraId="58DE8DC2">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lang w:val="en-US" w:eastAsia="zh-CN"/>
                    </w:rPr>
                    <w:t>1</w:t>
                  </w:r>
                  <w:r>
                    <w:rPr>
                      <w:rFonts w:hint="eastAsia"/>
                      <w:b/>
                      <w:color w:val="auto"/>
                      <w:sz w:val="21"/>
                      <w:szCs w:val="21"/>
                      <w:highlight w:val="none"/>
                    </w:rPr>
                    <w:t>m</w:t>
                  </w:r>
                </w:p>
              </w:tc>
              <w:tc>
                <w:tcPr>
                  <w:tcW w:w="390" w:type="pct"/>
                  <w:noWrap w:val="0"/>
                  <w:vAlign w:val="center"/>
                </w:tcPr>
                <w:p w14:paraId="5C8A8DF1">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10m</w:t>
                  </w:r>
                </w:p>
              </w:tc>
              <w:tc>
                <w:tcPr>
                  <w:tcW w:w="450" w:type="pct"/>
                  <w:noWrap w:val="0"/>
                  <w:vAlign w:val="center"/>
                </w:tcPr>
                <w:p w14:paraId="0C927397">
                  <w:pPr>
                    <w:keepNext w:val="0"/>
                    <w:keepLines w:val="0"/>
                    <w:suppressLineNumbers w:val="0"/>
                    <w:spacing w:before="0" w:beforeAutospacing="0" w:after="0" w:afterAutospacing="0"/>
                    <w:ind w:left="0"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20m</w:t>
                  </w:r>
                </w:p>
              </w:tc>
              <w:tc>
                <w:tcPr>
                  <w:tcW w:w="450" w:type="pct"/>
                  <w:noWrap w:val="0"/>
                  <w:vAlign w:val="center"/>
                </w:tcPr>
                <w:p w14:paraId="3EED5259">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lang w:val="en-US" w:eastAsia="zh-CN"/>
                    </w:rPr>
                    <w:t>3</w:t>
                  </w:r>
                  <w:r>
                    <w:rPr>
                      <w:rFonts w:hint="default"/>
                      <w:b/>
                      <w:color w:val="auto"/>
                      <w:sz w:val="21"/>
                      <w:szCs w:val="21"/>
                      <w:highlight w:val="none"/>
                    </w:rPr>
                    <w:t>0m</w:t>
                  </w:r>
                </w:p>
              </w:tc>
              <w:tc>
                <w:tcPr>
                  <w:tcW w:w="363" w:type="pct"/>
                  <w:noWrap w:val="0"/>
                  <w:vAlign w:val="center"/>
                </w:tcPr>
                <w:p w14:paraId="27DE6010">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4</w:t>
                  </w:r>
                  <w:r>
                    <w:rPr>
                      <w:rFonts w:hint="eastAsia"/>
                      <w:b/>
                      <w:color w:val="auto"/>
                      <w:sz w:val="21"/>
                      <w:szCs w:val="21"/>
                      <w:highlight w:val="none"/>
                      <w:lang w:val="en-US" w:eastAsia="zh-CN"/>
                    </w:rPr>
                    <w:t>5</w:t>
                  </w:r>
                  <w:r>
                    <w:rPr>
                      <w:rFonts w:hint="default"/>
                      <w:b/>
                      <w:color w:val="auto"/>
                      <w:sz w:val="21"/>
                      <w:szCs w:val="21"/>
                      <w:highlight w:val="none"/>
                    </w:rPr>
                    <w:t>m</w:t>
                  </w:r>
                </w:p>
              </w:tc>
              <w:tc>
                <w:tcPr>
                  <w:tcW w:w="417" w:type="pct"/>
                  <w:noWrap w:val="0"/>
                  <w:vAlign w:val="center"/>
                </w:tcPr>
                <w:p w14:paraId="6B97C5C1">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lang w:val="en-US" w:eastAsia="zh-CN"/>
                    </w:rPr>
                    <w:t>85</w:t>
                  </w:r>
                  <w:r>
                    <w:rPr>
                      <w:rFonts w:hint="default"/>
                      <w:b/>
                      <w:color w:val="auto"/>
                      <w:sz w:val="21"/>
                      <w:szCs w:val="21"/>
                      <w:highlight w:val="none"/>
                    </w:rPr>
                    <w:t>m</w:t>
                  </w:r>
                </w:p>
              </w:tc>
              <w:tc>
                <w:tcPr>
                  <w:tcW w:w="437" w:type="pct"/>
                  <w:noWrap w:val="0"/>
                  <w:vAlign w:val="center"/>
                </w:tcPr>
                <w:p w14:paraId="7E6947CF">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100m</w:t>
                  </w:r>
                </w:p>
              </w:tc>
              <w:tc>
                <w:tcPr>
                  <w:tcW w:w="449" w:type="pct"/>
                  <w:noWrap w:val="0"/>
                  <w:vAlign w:val="center"/>
                </w:tcPr>
                <w:p w14:paraId="28A61515">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1</w:t>
                  </w:r>
                  <w:r>
                    <w:rPr>
                      <w:rFonts w:hint="eastAsia"/>
                      <w:b/>
                      <w:color w:val="auto"/>
                      <w:sz w:val="21"/>
                      <w:szCs w:val="21"/>
                      <w:highlight w:val="none"/>
                      <w:lang w:val="en-US" w:eastAsia="zh-CN"/>
                    </w:rPr>
                    <w:t>2</w:t>
                  </w:r>
                  <w:r>
                    <w:rPr>
                      <w:rFonts w:hint="default"/>
                      <w:b/>
                      <w:color w:val="auto"/>
                      <w:sz w:val="21"/>
                      <w:szCs w:val="21"/>
                      <w:highlight w:val="none"/>
                    </w:rPr>
                    <w:t>0m</w:t>
                  </w:r>
                </w:p>
              </w:tc>
              <w:tc>
                <w:tcPr>
                  <w:tcW w:w="424" w:type="pct"/>
                  <w:noWrap w:val="0"/>
                  <w:vAlign w:val="center"/>
                </w:tcPr>
                <w:p w14:paraId="4FD60847">
                  <w:pPr>
                    <w:keepNext w:val="0"/>
                    <w:keepLines w:val="0"/>
                    <w:suppressLineNumbers w:val="0"/>
                    <w:spacing w:before="0" w:beforeAutospacing="0" w:after="0" w:afterAutospacing="0"/>
                    <w:ind w:left="0"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170m</w:t>
                  </w:r>
                </w:p>
              </w:tc>
              <w:tc>
                <w:tcPr>
                  <w:tcW w:w="431" w:type="pct"/>
                  <w:noWrap w:val="0"/>
                  <w:vAlign w:val="center"/>
                </w:tcPr>
                <w:p w14:paraId="5D22A448">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200m</w:t>
                  </w:r>
                </w:p>
              </w:tc>
            </w:tr>
            <w:tr w14:paraId="35A7E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74" w:type="pct"/>
                  <w:noWrap w:val="0"/>
                  <w:vAlign w:val="center"/>
                </w:tcPr>
                <w:p w14:paraId="7AF20574">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highlight w:val="none"/>
                      <w:lang w:val="en-US" w:eastAsia="zh-CN" w:bidi="ar-SA"/>
                    </w:rPr>
                  </w:pPr>
                  <w:r>
                    <w:rPr>
                      <w:rFonts w:hint="eastAsia"/>
                      <w:color w:val="auto"/>
                      <w:sz w:val="21"/>
                      <w:szCs w:val="21"/>
                      <w:highlight w:val="none"/>
                      <w:lang w:val="en-US" w:eastAsia="zh-CN"/>
                    </w:rPr>
                    <w:t>钢筋调直机</w:t>
                  </w:r>
                </w:p>
              </w:tc>
              <w:tc>
                <w:tcPr>
                  <w:tcW w:w="410" w:type="pct"/>
                  <w:noWrap w:val="0"/>
                  <w:vAlign w:val="center"/>
                </w:tcPr>
                <w:p w14:paraId="26EE609F">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89</w:t>
                  </w:r>
                </w:p>
              </w:tc>
              <w:tc>
                <w:tcPr>
                  <w:tcW w:w="390" w:type="pct"/>
                  <w:noWrap w:val="0"/>
                  <w:vAlign w:val="center"/>
                </w:tcPr>
                <w:p w14:paraId="56A25A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450" w:type="pct"/>
                  <w:noWrap w:val="0"/>
                  <w:vAlign w:val="center"/>
                </w:tcPr>
                <w:p w14:paraId="762AD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w:t>
                  </w:r>
                </w:p>
              </w:tc>
              <w:tc>
                <w:tcPr>
                  <w:tcW w:w="450" w:type="pct"/>
                  <w:noWrap w:val="0"/>
                  <w:vAlign w:val="center"/>
                </w:tcPr>
                <w:p w14:paraId="3A8214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59.5</w:t>
                  </w:r>
                </w:p>
              </w:tc>
              <w:tc>
                <w:tcPr>
                  <w:tcW w:w="363" w:type="pct"/>
                  <w:noWrap w:val="0"/>
                  <w:vAlign w:val="center"/>
                </w:tcPr>
                <w:p w14:paraId="2AFAB2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417" w:type="pct"/>
                  <w:noWrap w:val="0"/>
                  <w:vAlign w:val="center"/>
                </w:tcPr>
                <w:p w14:paraId="45C51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37" w:type="pct"/>
                  <w:noWrap w:val="0"/>
                  <w:vAlign w:val="center"/>
                </w:tcPr>
                <w:p w14:paraId="2724B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49" w:type="pct"/>
                  <w:noWrap w:val="0"/>
                  <w:vAlign w:val="center"/>
                </w:tcPr>
                <w:p w14:paraId="69A3C7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424" w:type="pct"/>
                  <w:noWrap w:val="0"/>
                  <w:vAlign w:val="center"/>
                </w:tcPr>
                <w:p w14:paraId="12418E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431" w:type="pct"/>
                  <w:noWrap w:val="0"/>
                  <w:vAlign w:val="center"/>
                </w:tcPr>
                <w:p w14:paraId="7844D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14:paraId="0A2E6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74" w:type="pct"/>
                  <w:noWrap w:val="0"/>
                  <w:vAlign w:val="center"/>
                </w:tcPr>
                <w:p w14:paraId="3E9C1E4B">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highlight w:val="none"/>
                      <w:lang w:val="en-US" w:eastAsia="zh-CN" w:bidi="ar-SA"/>
                    </w:rPr>
                  </w:pPr>
                  <w:r>
                    <w:rPr>
                      <w:rFonts w:hint="eastAsia"/>
                      <w:color w:val="auto"/>
                      <w:sz w:val="21"/>
                      <w:szCs w:val="21"/>
                      <w:highlight w:val="none"/>
                      <w:lang w:val="en-US" w:eastAsia="zh-CN"/>
                    </w:rPr>
                    <w:t>钢筋切断机</w:t>
                  </w:r>
                </w:p>
              </w:tc>
              <w:tc>
                <w:tcPr>
                  <w:tcW w:w="410" w:type="pct"/>
                  <w:noWrap w:val="0"/>
                  <w:vAlign w:val="center"/>
                </w:tcPr>
                <w:p w14:paraId="45A72437">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94</w:t>
                  </w:r>
                </w:p>
              </w:tc>
              <w:tc>
                <w:tcPr>
                  <w:tcW w:w="390" w:type="pct"/>
                  <w:noWrap w:val="0"/>
                  <w:vAlign w:val="center"/>
                </w:tcPr>
                <w:p w14:paraId="7CDC0E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450" w:type="pct"/>
                  <w:noWrap w:val="0"/>
                  <w:vAlign w:val="center"/>
                </w:tcPr>
                <w:p w14:paraId="7A870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68</w:t>
                  </w:r>
                </w:p>
              </w:tc>
              <w:tc>
                <w:tcPr>
                  <w:tcW w:w="450" w:type="pct"/>
                  <w:noWrap w:val="0"/>
                  <w:vAlign w:val="center"/>
                </w:tcPr>
                <w:p w14:paraId="0C76E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64.5</w:t>
                  </w:r>
                </w:p>
              </w:tc>
              <w:tc>
                <w:tcPr>
                  <w:tcW w:w="363" w:type="pct"/>
                  <w:noWrap w:val="0"/>
                  <w:vAlign w:val="center"/>
                </w:tcPr>
                <w:p w14:paraId="662F4A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417" w:type="pct"/>
                  <w:noWrap w:val="0"/>
                  <w:vAlign w:val="center"/>
                </w:tcPr>
                <w:p w14:paraId="7BD9D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437" w:type="pct"/>
                  <w:noWrap w:val="0"/>
                  <w:vAlign w:val="center"/>
                </w:tcPr>
                <w:p w14:paraId="59C34D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449" w:type="pct"/>
                  <w:noWrap w:val="0"/>
                  <w:vAlign w:val="center"/>
                </w:tcPr>
                <w:p w14:paraId="4F9D2D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424" w:type="pct"/>
                  <w:noWrap w:val="0"/>
                  <w:vAlign w:val="center"/>
                </w:tcPr>
                <w:p w14:paraId="30F533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31" w:type="pct"/>
                  <w:noWrap w:val="0"/>
                  <w:vAlign w:val="center"/>
                </w:tcPr>
                <w:p w14:paraId="33F155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r>
            <w:tr w14:paraId="360022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74" w:type="pct"/>
                  <w:noWrap w:val="0"/>
                  <w:vAlign w:val="center"/>
                </w:tcPr>
                <w:p w14:paraId="72C47343">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color w:val="auto"/>
                      <w:kern w:val="0"/>
                      <w:sz w:val="21"/>
                      <w:szCs w:val="21"/>
                      <w:highlight w:val="none"/>
                      <w:lang w:val="en-US" w:eastAsia="zh-CN" w:bidi="ar-SA"/>
                    </w:rPr>
                  </w:pPr>
                  <w:r>
                    <w:rPr>
                      <w:rFonts w:hint="eastAsia"/>
                      <w:color w:val="auto"/>
                      <w:sz w:val="21"/>
                      <w:szCs w:val="21"/>
                      <w:highlight w:val="none"/>
                      <w:lang w:val="en-US" w:eastAsia="zh-CN"/>
                    </w:rPr>
                    <w:t>钢筋弯曲机</w:t>
                  </w:r>
                </w:p>
              </w:tc>
              <w:tc>
                <w:tcPr>
                  <w:tcW w:w="410" w:type="pct"/>
                  <w:noWrap w:val="0"/>
                  <w:vAlign w:val="center"/>
                </w:tcPr>
                <w:p w14:paraId="57AC67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89</w:t>
                  </w:r>
                </w:p>
              </w:tc>
              <w:tc>
                <w:tcPr>
                  <w:tcW w:w="390" w:type="pct"/>
                  <w:noWrap w:val="0"/>
                  <w:vAlign w:val="center"/>
                </w:tcPr>
                <w:p w14:paraId="0DF4B6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450" w:type="pct"/>
                  <w:noWrap w:val="0"/>
                  <w:vAlign w:val="center"/>
                </w:tcPr>
                <w:p w14:paraId="6023E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w:t>
                  </w:r>
                </w:p>
              </w:tc>
              <w:tc>
                <w:tcPr>
                  <w:tcW w:w="450" w:type="pct"/>
                  <w:noWrap w:val="0"/>
                  <w:vAlign w:val="center"/>
                </w:tcPr>
                <w:p w14:paraId="631B0C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59.5</w:t>
                  </w:r>
                </w:p>
              </w:tc>
              <w:tc>
                <w:tcPr>
                  <w:tcW w:w="363" w:type="pct"/>
                  <w:noWrap w:val="0"/>
                  <w:vAlign w:val="center"/>
                </w:tcPr>
                <w:p w14:paraId="238F9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417" w:type="pct"/>
                  <w:noWrap w:val="0"/>
                  <w:vAlign w:val="center"/>
                </w:tcPr>
                <w:p w14:paraId="62322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437" w:type="pct"/>
                  <w:noWrap w:val="0"/>
                  <w:vAlign w:val="center"/>
                </w:tcPr>
                <w:p w14:paraId="6553A7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449" w:type="pct"/>
                  <w:noWrap w:val="0"/>
                  <w:vAlign w:val="center"/>
                </w:tcPr>
                <w:p w14:paraId="00BE2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424" w:type="pct"/>
                  <w:noWrap w:val="0"/>
                  <w:vAlign w:val="center"/>
                </w:tcPr>
                <w:p w14:paraId="61D9D1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431" w:type="pct"/>
                  <w:noWrap w:val="0"/>
                  <w:vAlign w:val="center"/>
                </w:tcPr>
                <w:p w14:paraId="41D23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14:paraId="5E4B1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74" w:type="pct"/>
                  <w:noWrap w:val="0"/>
                  <w:vAlign w:val="center"/>
                </w:tcPr>
                <w:p w14:paraId="2427B704">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叠加值</w:t>
                  </w:r>
                </w:p>
              </w:tc>
              <w:tc>
                <w:tcPr>
                  <w:tcW w:w="410" w:type="pct"/>
                  <w:noWrap w:val="0"/>
                  <w:vAlign w:val="top"/>
                </w:tcPr>
                <w:p w14:paraId="6DAE5A94">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96</w:t>
                  </w:r>
                </w:p>
              </w:tc>
              <w:tc>
                <w:tcPr>
                  <w:tcW w:w="390" w:type="pct"/>
                  <w:noWrap w:val="0"/>
                  <w:vAlign w:val="center"/>
                </w:tcPr>
                <w:p w14:paraId="7B984A33">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76</w:t>
                  </w:r>
                </w:p>
              </w:tc>
              <w:tc>
                <w:tcPr>
                  <w:tcW w:w="450" w:type="pct"/>
                  <w:noWrap w:val="0"/>
                  <w:vAlign w:val="center"/>
                </w:tcPr>
                <w:p w14:paraId="0F2B9AD1">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70</w:t>
                  </w:r>
                </w:p>
              </w:tc>
              <w:tc>
                <w:tcPr>
                  <w:tcW w:w="450" w:type="pct"/>
                  <w:noWrap w:val="0"/>
                  <w:vAlign w:val="center"/>
                </w:tcPr>
                <w:p w14:paraId="4838BA83">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66.6</w:t>
                  </w:r>
                </w:p>
              </w:tc>
              <w:tc>
                <w:tcPr>
                  <w:tcW w:w="363" w:type="pct"/>
                  <w:noWrap w:val="0"/>
                  <w:vAlign w:val="center"/>
                </w:tcPr>
                <w:p w14:paraId="724ACD00">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63</w:t>
                  </w:r>
                </w:p>
              </w:tc>
              <w:tc>
                <w:tcPr>
                  <w:tcW w:w="417" w:type="pct"/>
                  <w:noWrap w:val="0"/>
                  <w:vAlign w:val="center"/>
                </w:tcPr>
                <w:p w14:paraId="463A6A4C">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57</w:t>
                  </w:r>
                </w:p>
              </w:tc>
              <w:tc>
                <w:tcPr>
                  <w:tcW w:w="437" w:type="pct"/>
                  <w:noWrap w:val="0"/>
                  <w:vAlign w:val="center"/>
                </w:tcPr>
                <w:p w14:paraId="7E83130E">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56</w:t>
                  </w:r>
                </w:p>
              </w:tc>
              <w:tc>
                <w:tcPr>
                  <w:tcW w:w="449" w:type="pct"/>
                  <w:noWrap w:val="0"/>
                  <w:vAlign w:val="center"/>
                </w:tcPr>
                <w:p w14:paraId="13FB0450">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54</w:t>
                  </w:r>
                </w:p>
              </w:tc>
              <w:tc>
                <w:tcPr>
                  <w:tcW w:w="424" w:type="pct"/>
                  <w:noWrap w:val="0"/>
                  <w:vAlign w:val="center"/>
                </w:tcPr>
                <w:p w14:paraId="2F8C2B22">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51</w:t>
                  </w:r>
                </w:p>
              </w:tc>
              <w:tc>
                <w:tcPr>
                  <w:tcW w:w="431" w:type="pct"/>
                  <w:noWrap w:val="0"/>
                  <w:vAlign w:val="center"/>
                </w:tcPr>
                <w:p w14:paraId="0F278E83">
                  <w:pPr>
                    <w:pStyle w:val="133"/>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50</w:t>
                  </w:r>
                </w:p>
              </w:tc>
            </w:tr>
          </w:tbl>
          <w:p w14:paraId="360E2871">
            <w:pPr>
              <w:keepNext w:val="0"/>
              <w:keepLines w:val="0"/>
              <w:suppressLineNumbers w:val="0"/>
              <w:shd w:val="clear"/>
              <w:spacing w:before="0" w:beforeAutospacing="0" w:after="0" w:afterAutospacing="0" w:line="360" w:lineRule="auto"/>
              <w:ind w:left="0" w:right="0" w:firstLine="480" w:firstLineChars="200"/>
              <w:rPr>
                <w:rFonts w:hint="eastAsia" w:eastAsia="宋体"/>
                <w:color w:val="auto"/>
                <w:sz w:val="24"/>
                <w:highlight w:val="none"/>
                <w:shd w:val="clear" w:color="auto" w:fill="auto"/>
                <w:lang w:eastAsia="zh-CN"/>
              </w:rPr>
            </w:pPr>
            <w:r>
              <w:rPr>
                <w:rFonts w:hint="default" w:ascii="Times New Roman" w:hAnsi="Times New Roman" w:cs="Times New Roman"/>
                <w:bCs/>
                <w:color w:val="auto"/>
                <w:sz w:val="24"/>
                <w:szCs w:val="24"/>
                <w:highlight w:val="none"/>
              </w:rPr>
              <w:t>项目施工</w:t>
            </w:r>
            <w:r>
              <w:rPr>
                <w:rFonts w:hint="eastAsia" w:cs="Times New Roman"/>
                <w:bCs/>
                <w:color w:val="auto"/>
                <w:sz w:val="24"/>
                <w:szCs w:val="24"/>
                <w:highlight w:val="none"/>
                <w:lang w:val="en-US" w:eastAsia="zh-CN"/>
              </w:rPr>
              <w:t>场地</w:t>
            </w:r>
            <w:r>
              <w:rPr>
                <w:rFonts w:hint="default" w:ascii="Times New Roman" w:hAnsi="Times New Roman" w:cs="Times New Roman"/>
                <w:color w:val="auto"/>
                <w:kern w:val="0"/>
                <w:sz w:val="24"/>
                <w:szCs w:val="24"/>
                <w:highlight w:val="none"/>
              </w:rPr>
              <w:t>多台机械设备同时作业时，产生的噪声会叠加</w:t>
            </w:r>
            <w:r>
              <w:rPr>
                <w:rFonts w:hint="eastAsia"/>
                <w:color w:val="auto"/>
                <w:sz w:val="24"/>
                <w:szCs w:val="24"/>
                <w:highlight w:val="none"/>
                <w:lang w:eastAsia="zh-CN"/>
              </w:rPr>
              <w:t>。</w:t>
            </w:r>
            <w:r>
              <w:rPr>
                <w:rFonts w:hint="default" w:ascii="Times New Roman" w:hAnsi="Times New Roman" w:cs="Times New Roman"/>
                <w:color w:val="auto"/>
                <w:kern w:val="0"/>
                <w:sz w:val="24"/>
                <w:szCs w:val="24"/>
                <w:highlight w:val="none"/>
              </w:rPr>
              <w:t>根据预测结果，在考虑噪声叠加影响的情况下，昼间在距施工机械</w:t>
            </w:r>
            <w:r>
              <w:rPr>
                <w:rFonts w:hint="eastAsia"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0m以外的区域可达到《建筑施工场界环境噪声</w:t>
            </w:r>
            <w:r>
              <w:rPr>
                <w:rFonts w:hint="default" w:ascii="Times New Roman" w:hAnsi="Times New Roman" w:cs="Times New Roman"/>
                <w:bCs/>
                <w:color w:val="auto"/>
                <w:sz w:val="24"/>
                <w:szCs w:val="24"/>
                <w:highlight w:val="none"/>
              </w:rPr>
              <w:t>排放标准》（GB12523-2011）的要求。项目施工</w:t>
            </w:r>
            <w:r>
              <w:rPr>
                <w:rFonts w:hint="eastAsia" w:cs="Times New Roman"/>
                <w:bCs/>
                <w:color w:val="auto"/>
                <w:sz w:val="24"/>
                <w:szCs w:val="24"/>
                <w:highlight w:val="none"/>
                <w:lang w:val="en-US" w:eastAsia="zh-CN"/>
              </w:rPr>
              <w:t>营地</w:t>
            </w:r>
            <w:r>
              <w:rPr>
                <w:rFonts w:hint="eastAsia" w:ascii="Times New Roman" w:hAnsi="Times New Roman" w:cs="Times New Roman"/>
                <w:bCs/>
                <w:color w:val="auto"/>
                <w:sz w:val="24"/>
                <w:szCs w:val="24"/>
                <w:highlight w:val="none"/>
                <w:lang w:val="en-US" w:eastAsia="zh-CN"/>
              </w:rPr>
              <w:t>最近的保护目标在</w:t>
            </w:r>
            <w:r>
              <w:rPr>
                <w:rFonts w:hint="eastAsia" w:cs="Times New Roman"/>
                <w:bCs/>
                <w:color w:val="auto"/>
                <w:sz w:val="24"/>
                <w:szCs w:val="24"/>
                <w:highlight w:val="none"/>
                <w:lang w:val="en-US" w:eastAsia="zh-CN"/>
              </w:rPr>
              <w:t>669</w:t>
            </w:r>
            <w:r>
              <w:rPr>
                <w:rFonts w:hint="eastAsia" w:ascii="Times New Roman" w:hAnsi="Times New Roman" w:cs="Times New Roman"/>
                <w:bCs/>
                <w:color w:val="auto"/>
                <w:sz w:val="24"/>
                <w:szCs w:val="24"/>
                <w:highlight w:val="none"/>
                <w:lang w:val="en-US" w:eastAsia="zh-CN"/>
              </w:rPr>
              <w:t>m</w:t>
            </w:r>
            <w:r>
              <w:rPr>
                <w:rFonts w:hint="eastAsia" w:cs="Times New Roman"/>
                <w:bCs/>
                <w:color w:val="auto"/>
                <w:sz w:val="24"/>
                <w:szCs w:val="24"/>
                <w:highlight w:val="none"/>
                <w:lang w:val="en-US" w:eastAsia="zh-CN"/>
              </w:rPr>
              <w:t>以外，</w:t>
            </w:r>
            <w:r>
              <w:rPr>
                <w:rFonts w:hint="eastAsia" w:ascii="Times New Roman" w:hAnsi="Times New Roman" w:cs="Times New Roman"/>
                <w:bCs/>
                <w:color w:val="auto"/>
                <w:sz w:val="24"/>
                <w:szCs w:val="24"/>
                <w:highlight w:val="none"/>
                <w:lang w:val="en-US" w:eastAsia="zh-CN"/>
              </w:rPr>
              <w:t>施工场地的</w:t>
            </w:r>
            <w:r>
              <w:rPr>
                <w:rFonts w:hint="eastAsia"/>
                <w:color w:val="auto"/>
                <w:sz w:val="24"/>
                <w:szCs w:val="24"/>
                <w:highlight w:val="none"/>
                <w:shd w:val="clear" w:color="auto" w:fill="auto"/>
                <w:lang w:eastAsia="zh-CN"/>
              </w:rPr>
              <w:t>施工噪声对周围敏感点的影响较小</w:t>
            </w:r>
            <w:r>
              <w:rPr>
                <w:rFonts w:hint="default" w:ascii="Times New Roman" w:hAnsi="Times New Roman" w:cs="Times New Roman"/>
                <w:bCs/>
                <w:color w:val="auto"/>
                <w:sz w:val="24"/>
                <w:szCs w:val="24"/>
                <w:highlight w:val="none"/>
              </w:rPr>
              <w:t>。</w:t>
            </w:r>
          </w:p>
          <w:p w14:paraId="1FB674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b w:val="0"/>
                <w:bCs w:val="0"/>
                <w:color w:val="auto"/>
                <w:sz w:val="24"/>
                <w:highlight w:val="none"/>
              </w:rPr>
            </w:pPr>
            <w:r>
              <w:rPr>
                <w:rFonts w:hint="eastAsia"/>
                <w:color w:val="auto"/>
                <w:sz w:val="24"/>
                <w:highlight w:val="none"/>
                <w:lang w:val="en-US" w:eastAsia="zh-CN"/>
              </w:rPr>
              <w:t>②</w:t>
            </w:r>
            <w:r>
              <w:rPr>
                <w:rFonts w:hint="eastAsia"/>
                <w:b w:val="0"/>
                <w:bCs w:val="0"/>
                <w:color w:val="auto"/>
                <w:sz w:val="24"/>
                <w:highlight w:val="none"/>
              </w:rPr>
              <w:t>运输噪声影响分析</w:t>
            </w:r>
          </w:p>
          <w:p w14:paraId="57C8C2E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highlight w:val="none"/>
              </w:rPr>
            </w:pPr>
            <w:r>
              <w:rPr>
                <w:rFonts w:hint="eastAsia"/>
                <w:b w:val="0"/>
                <w:bCs w:val="0"/>
                <w:color w:val="auto"/>
                <w:sz w:val="24"/>
                <w:highlight w:val="none"/>
              </w:rPr>
              <w:t>本</w:t>
            </w:r>
            <w:r>
              <w:rPr>
                <w:rFonts w:hint="eastAsia"/>
                <w:b w:val="0"/>
                <w:bCs w:val="0"/>
                <w:color w:val="auto"/>
                <w:sz w:val="24"/>
                <w:highlight w:val="none"/>
                <w:lang w:val="en-US" w:eastAsia="zh-CN"/>
              </w:rPr>
              <w:t>项目</w:t>
            </w:r>
            <w:r>
              <w:rPr>
                <w:rFonts w:hint="eastAsia"/>
                <w:b w:val="0"/>
                <w:bCs w:val="0"/>
                <w:color w:val="auto"/>
                <w:sz w:val="24"/>
                <w:highlight w:val="none"/>
              </w:rPr>
              <w:t>主要运输光伏组件以及</w:t>
            </w:r>
            <w:r>
              <w:rPr>
                <w:rFonts w:hint="eastAsia"/>
                <w:b w:val="0"/>
                <w:bCs w:val="0"/>
                <w:color w:val="auto"/>
                <w:sz w:val="24"/>
                <w:highlight w:val="none"/>
                <w:lang w:val="en-US" w:eastAsia="zh-CN"/>
              </w:rPr>
              <w:t>混凝土、</w:t>
            </w:r>
            <w:r>
              <w:rPr>
                <w:rFonts w:hint="eastAsia"/>
                <w:b w:val="0"/>
                <w:bCs w:val="0"/>
                <w:color w:val="auto"/>
                <w:sz w:val="24"/>
                <w:highlight w:val="none"/>
              </w:rPr>
              <w:t>水泥、钢筋、砂石料等施工材料，运输车辆多为大、中型车，设备、材料运输车辆行驶过程中产生交通噪声，对道路沿线敏感点产生一定的影响。</w:t>
            </w:r>
          </w:p>
          <w:p w14:paraId="30C5474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auto"/>
                <w:sz w:val="24"/>
                <w:highlight w:val="none"/>
              </w:rPr>
            </w:pPr>
            <w:r>
              <w:rPr>
                <w:rFonts w:hint="eastAsia"/>
                <w:b w:val="0"/>
                <w:bCs w:val="0"/>
                <w:color w:val="auto"/>
                <w:sz w:val="24"/>
                <w:highlight w:val="none"/>
              </w:rPr>
              <w:t>本项目物料运输需利用当地村道，从声环境保护目标的分布情况来看，</w:t>
            </w:r>
            <w:r>
              <w:rPr>
                <w:rFonts w:hint="eastAsia"/>
                <w:b w:val="0"/>
                <w:bCs w:val="0"/>
                <w:color w:val="auto"/>
                <w:sz w:val="24"/>
                <w:highlight w:val="none"/>
                <w:lang w:val="en-US" w:eastAsia="zh-CN"/>
              </w:rPr>
              <w:t>小村口紧邻</w:t>
            </w:r>
            <w:r>
              <w:rPr>
                <w:rFonts w:hint="eastAsia"/>
                <w:b w:val="0"/>
                <w:bCs w:val="0"/>
                <w:color w:val="auto"/>
                <w:sz w:val="24"/>
                <w:highlight w:val="none"/>
              </w:rPr>
              <w:t>运输道路一侧，夜间容易受到交通噪声的影响。由于本工程施工运输交通量</w:t>
            </w:r>
            <w:r>
              <w:rPr>
                <w:rFonts w:hint="eastAsia"/>
                <w:b w:val="0"/>
                <w:bCs w:val="0"/>
                <w:color w:val="auto"/>
                <w:sz w:val="24"/>
                <w:highlight w:val="none"/>
                <w:lang w:val="en-US" w:eastAsia="zh-CN"/>
              </w:rPr>
              <w:t>小</w:t>
            </w:r>
            <w:r>
              <w:rPr>
                <w:rFonts w:hint="eastAsia"/>
                <w:b w:val="0"/>
                <w:bCs w:val="0"/>
                <w:color w:val="auto"/>
                <w:sz w:val="24"/>
                <w:highlight w:val="none"/>
              </w:rPr>
              <w:t>，交通噪声影响是短暂、非连续的。施工单位施工时需优化运输时间，物料和设备运输应安排在昼间运输，避免夜间运输；途经沿线居民点时注意控制车速、减速慢行，并禁止鸣笛。由于工程运输车流量不大，且运输噪声为短暂影响，施工结束后影响随即消除，在采取以上防治措施后，运输噪声对沿线敏感点声环境的影响在可接受的范围内。</w:t>
            </w:r>
          </w:p>
          <w:p w14:paraId="5C661C3C">
            <w:pPr>
              <w:keepNext w:val="0"/>
              <w:keepLines w:val="0"/>
              <w:suppressLineNumbers w:val="0"/>
              <w:spacing w:before="0" w:beforeAutospacing="0" w:after="0" w:afterAutospacing="0" w:line="360" w:lineRule="auto"/>
              <w:ind w:left="0" w:right="0" w:firstLine="480" w:firstLineChars="200"/>
              <w:rPr>
                <w:rFonts w:hint="eastAsia"/>
                <w:b w:val="0"/>
                <w:bCs w:val="0"/>
                <w:color w:val="auto"/>
                <w:sz w:val="24"/>
                <w:highlight w:val="none"/>
                <w:lang w:eastAsia="zh-CN"/>
              </w:rPr>
            </w:pPr>
            <w:r>
              <w:rPr>
                <w:rFonts w:hint="eastAsia"/>
                <w:b w:val="0"/>
                <w:bCs w:val="0"/>
                <w:color w:val="auto"/>
                <w:sz w:val="24"/>
                <w:highlight w:val="none"/>
              </w:rPr>
              <w:t>综上，在严格落实本评价所提出的各项施工期噪声污染防治措施后，项目施工期间噪声对外环境及关心点的影响将达到可以接受的程度范围，并将随施工期的结束而结束</w:t>
            </w:r>
            <w:r>
              <w:rPr>
                <w:rFonts w:hint="eastAsia"/>
                <w:b w:val="0"/>
                <w:bCs w:val="0"/>
                <w:color w:val="auto"/>
                <w:sz w:val="24"/>
                <w:highlight w:val="none"/>
                <w:lang w:eastAsia="zh-CN"/>
              </w:rPr>
              <w:t>。</w:t>
            </w:r>
          </w:p>
          <w:p w14:paraId="3B911F0A">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7</w:t>
            </w:r>
            <w:r>
              <w:rPr>
                <w:rFonts w:hint="default"/>
                <w:b/>
                <w:bCs/>
                <w:color w:val="auto"/>
                <w:sz w:val="24"/>
                <w:highlight w:val="none"/>
                <w:shd w:val="clear" w:color="auto" w:fill="auto"/>
              </w:rPr>
              <w:t>）施工期固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0F5E499D">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项目施工期固体废物主要为土石方</w:t>
            </w:r>
            <w:r>
              <w:rPr>
                <w:rFonts w:hint="eastAsia"/>
                <w:color w:val="auto"/>
                <w:sz w:val="24"/>
                <w:highlight w:val="none"/>
                <w:shd w:val="clear" w:color="auto" w:fill="auto"/>
              </w:rPr>
              <w:t>、</w:t>
            </w:r>
            <w:r>
              <w:rPr>
                <w:rFonts w:hint="default"/>
                <w:color w:val="auto"/>
                <w:sz w:val="24"/>
                <w:highlight w:val="none"/>
                <w:shd w:val="clear" w:color="auto" w:fill="auto"/>
              </w:rPr>
              <w:t>建筑垃圾、</w:t>
            </w:r>
            <w:r>
              <w:rPr>
                <w:rFonts w:hint="eastAsia"/>
                <w:color w:val="auto"/>
                <w:sz w:val="24"/>
                <w:highlight w:val="none"/>
              </w:rPr>
              <w:t>废弃设备零件</w:t>
            </w:r>
            <w:r>
              <w:rPr>
                <w:rFonts w:hint="eastAsia"/>
                <w:color w:val="auto"/>
                <w:sz w:val="24"/>
                <w:highlight w:val="none"/>
                <w:lang w:eastAsia="zh-CN"/>
              </w:rPr>
              <w:t>和</w:t>
            </w:r>
            <w:r>
              <w:rPr>
                <w:rFonts w:hint="default"/>
                <w:color w:val="auto"/>
                <w:sz w:val="24"/>
                <w:highlight w:val="none"/>
                <w:shd w:val="clear" w:color="auto" w:fill="auto"/>
              </w:rPr>
              <w:t>生活垃圾等。</w:t>
            </w:r>
          </w:p>
          <w:p w14:paraId="0CBD6CCC">
            <w:pPr>
              <w:keepNext w:val="0"/>
              <w:keepLines w:val="0"/>
              <w:suppressLineNumbers w:val="0"/>
              <w:shd w:val="clear"/>
              <w:spacing w:before="0" w:beforeAutospacing="0" w:after="0" w:afterAutospacing="0" w:line="360" w:lineRule="auto"/>
              <w:ind w:left="0" w:right="0" w:firstLine="480" w:firstLineChars="200"/>
              <w:rPr>
                <w:rFonts w:hint="default"/>
                <w:i w:val="0"/>
                <w:iCs w:val="0"/>
                <w:color w:val="auto"/>
                <w:sz w:val="24"/>
                <w:highlight w:val="none"/>
                <w:shd w:val="clear" w:color="auto" w:fill="auto"/>
              </w:rPr>
            </w:pPr>
            <w:r>
              <w:rPr>
                <w:rFonts w:hint="eastAsia"/>
                <w:i w:val="0"/>
                <w:iCs w:val="0"/>
                <w:color w:val="auto"/>
                <w:sz w:val="24"/>
                <w:highlight w:val="none"/>
                <w:shd w:val="clear" w:color="auto" w:fill="auto"/>
              </w:rPr>
              <w:t>1）</w:t>
            </w:r>
            <w:r>
              <w:rPr>
                <w:rFonts w:hint="default"/>
                <w:i w:val="0"/>
                <w:iCs w:val="0"/>
                <w:color w:val="auto"/>
                <w:sz w:val="24"/>
                <w:highlight w:val="none"/>
                <w:shd w:val="clear" w:color="auto" w:fill="auto"/>
              </w:rPr>
              <w:t>土石方</w:t>
            </w:r>
          </w:p>
          <w:p w14:paraId="429D5CA2">
            <w:pPr>
              <w:keepNext w:val="0"/>
              <w:keepLines w:val="0"/>
              <w:suppressLineNumbers w:val="0"/>
              <w:shd w:val="clear"/>
              <w:spacing w:before="0" w:beforeAutospacing="0" w:after="0" w:afterAutospacing="0" w:line="360" w:lineRule="auto"/>
              <w:ind w:left="0" w:right="0" w:firstLine="480" w:firstLineChars="200"/>
              <w:rPr>
                <w:rFonts w:hint="default"/>
                <w:i w:val="0"/>
                <w:iCs w:val="0"/>
                <w:color w:val="auto"/>
                <w:kern w:val="0"/>
                <w:sz w:val="24"/>
                <w:highlight w:val="none"/>
                <w:shd w:val="clear" w:color="auto" w:fill="auto"/>
              </w:rPr>
            </w:pPr>
            <w:r>
              <w:rPr>
                <w:rFonts w:hint="eastAsia"/>
                <w:i w:val="0"/>
                <w:iCs w:val="0"/>
                <w:color w:val="auto"/>
                <w:sz w:val="24"/>
                <w:szCs w:val="24"/>
                <w:highlight w:val="none"/>
                <w:shd w:val="clear" w:color="auto" w:fill="auto"/>
                <w:lang w:val="en-US" w:eastAsia="zh-CN"/>
              </w:rPr>
              <w:t>根据</w:t>
            </w:r>
            <w:r>
              <w:rPr>
                <w:rFonts w:hint="default"/>
                <w:i w:val="0"/>
                <w:iCs w:val="0"/>
                <w:color w:val="auto"/>
                <w:sz w:val="24"/>
                <w:szCs w:val="24"/>
                <w:highlight w:val="none"/>
                <w:shd w:val="clear" w:color="auto" w:fill="auto"/>
              </w:rPr>
              <w:t>《</w:t>
            </w:r>
            <w:r>
              <w:rPr>
                <w:rFonts w:hint="eastAsia"/>
                <w:i w:val="0"/>
                <w:iCs w:val="0"/>
                <w:color w:val="auto"/>
                <w:sz w:val="24"/>
                <w:szCs w:val="24"/>
                <w:highlight w:val="none"/>
                <w:shd w:val="clear" w:color="auto" w:fill="auto"/>
                <w:lang w:val="en-US" w:eastAsia="zh-CN"/>
              </w:rPr>
              <w:t>梳山光伏发电项目</w:t>
            </w:r>
            <w:r>
              <w:rPr>
                <w:rFonts w:hint="default"/>
                <w:i w:val="0"/>
                <w:iCs w:val="0"/>
                <w:color w:val="auto"/>
                <w:sz w:val="24"/>
                <w:szCs w:val="24"/>
                <w:highlight w:val="none"/>
                <w:shd w:val="clear" w:color="auto" w:fill="auto"/>
              </w:rPr>
              <w:t>水土保持方案报告书》</w:t>
            </w:r>
            <w:r>
              <w:rPr>
                <w:rFonts w:hint="eastAsia"/>
                <w:i w:val="0"/>
                <w:iCs w:val="0"/>
                <w:color w:val="auto"/>
                <w:sz w:val="24"/>
                <w:szCs w:val="24"/>
                <w:highlight w:val="none"/>
                <w:shd w:val="clear" w:color="auto" w:fill="auto"/>
                <w:lang w:eastAsia="zh-CN"/>
              </w:rPr>
              <w:t>，本项目建设过程中共产生开挖土石方</w:t>
            </w:r>
            <w:bookmarkStart w:id="24" w:name="_Hlk98254001"/>
            <w:r>
              <w:rPr>
                <w:rFonts w:hint="eastAsia"/>
                <w:i w:val="0"/>
                <w:iCs w:val="0"/>
                <w:color w:val="auto"/>
                <w:sz w:val="24"/>
                <w:szCs w:val="24"/>
                <w:highlight w:val="none"/>
                <w:shd w:val="clear" w:color="auto" w:fill="auto"/>
                <w:lang w:eastAsia="zh-CN"/>
              </w:rPr>
              <w:t>1.45万m</w:t>
            </w:r>
            <w:r>
              <w:rPr>
                <w:rFonts w:hint="eastAsia"/>
                <w:i w:val="0"/>
                <w:iCs w:val="0"/>
                <w:color w:val="auto"/>
                <w:sz w:val="24"/>
                <w:szCs w:val="24"/>
                <w:highlight w:val="none"/>
                <w:shd w:val="clear" w:color="auto" w:fill="auto"/>
                <w:vertAlign w:val="superscript"/>
                <w:lang w:eastAsia="zh-CN"/>
              </w:rPr>
              <w:t>3</w:t>
            </w:r>
            <w:r>
              <w:rPr>
                <w:rFonts w:hint="eastAsia"/>
                <w:i w:val="0"/>
                <w:iCs w:val="0"/>
                <w:color w:val="auto"/>
                <w:sz w:val="24"/>
                <w:szCs w:val="24"/>
                <w:highlight w:val="none"/>
                <w:shd w:val="clear" w:color="auto" w:fill="auto"/>
                <w:lang w:eastAsia="zh-CN"/>
              </w:rPr>
              <w:t>，回填利用1.45万m</w:t>
            </w:r>
            <w:r>
              <w:rPr>
                <w:rFonts w:hint="eastAsia"/>
                <w:i w:val="0"/>
                <w:iCs w:val="0"/>
                <w:color w:val="auto"/>
                <w:sz w:val="24"/>
                <w:szCs w:val="24"/>
                <w:highlight w:val="none"/>
                <w:shd w:val="clear" w:color="auto" w:fill="auto"/>
                <w:vertAlign w:val="superscript"/>
                <w:lang w:eastAsia="zh-CN"/>
              </w:rPr>
              <w:t>3</w:t>
            </w:r>
            <w:r>
              <w:rPr>
                <w:rFonts w:hint="eastAsia"/>
                <w:i w:val="0"/>
                <w:iCs w:val="0"/>
                <w:color w:val="auto"/>
                <w:sz w:val="24"/>
                <w:szCs w:val="24"/>
                <w:highlight w:val="none"/>
                <w:shd w:val="clear" w:color="auto" w:fill="auto"/>
                <w:lang w:eastAsia="zh-CN"/>
              </w:rPr>
              <w:t>，</w:t>
            </w:r>
            <w:bookmarkEnd w:id="24"/>
            <w:r>
              <w:rPr>
                <w:rFonts w:hint="eastAsia"/>
                <w:i w:val="0"/>
                <w:iCs w:val="0"/>
                <w:color w:val="auto"/>
                <w:sz w:val="24"/>
                <w:szCs w:val="24"/>
                <w:highlight w:val="none"/>
                <w:shd w:val="clear" w:color="auto" w:fill="auto"/>
                <w:lang w:eastAsia="zh-CN"/>
              </w:rPr>
              <w:t>工程建设不产生永久弃渣。</w:t>
            </w:r>
            <w:r>
              <w:rPr>
                <w:rFonts w:hint="eastAsia"/>
                <w:i w:val="0"/>
                <w:iCs w:val="0"/>
                <w:color w:val="auto"/>
                <w:kern w:val="0"/>
                <w:sz w:val="24"/>
                <w:szCs w:val="24"/>
                <w:highlight w:val="none"/>
                <w:shd w:val="clear" w:color="auto" w:fill="auto"/>
              </w:rPr>
              <w:t>土石方平衡及流向见表</w:t>
            </w:r>
            <w:r>
              <w:rPr>
                <w:rFonts w:hint="default"/>
                <w:i w:val="0"/>
                <w:iCs w:val="0"/>
                <w:color w:val="auto"/>
                <w:kern w:val="0"/>
                <w:sz w:val="24"/>
                <w:szCs w:val="24"/>
                <w:highlight w:val="none"/>
                <w:shd w:val="clear" w:color="auto" w:fill="auto"/>
              </w:rPr>
              <w:t>4-</w:t>
            </w:r>
            <w:r>
              <w:rPr>
                <w:rFonts w:hint="eastAsia"/>
                <w:i w:val="0"/>
                <w:iCs w:val="0"/>
                <w:color w:val="auto"/>
                <w:kern w:val="0"/>
                <w:sz w:val="24"/>
                <w:szCs w:val="24"/>
                <w:highlight w:val="none"/>
                <w:shd w:val="clear" w:color="auto" w:fill="auto"/>
                <w:lang w:val="en-US" w:eastAsia="zh-CN"/>
              </w:rPr>
              <w:t>8</w:t>
            </w:r>
            <w:r>
              <w:rPr>
                <w:rFonts w:hint="eastAsia"/>
                <w:i w:val="0"/>
                <w:iCs w:val="0"/>
                <w:color w:val="auto"/>
                <w:kern w:val="0"/>
                <w:sz w:val="24"/>
                <w:szCs w:val="24"/>
                <w:highlight w:val="none"/>
                <w:shd w:val="clear" w:color="auto" w:fill="auto"/>
              </w:rPr>
              <w:t>。</w:t>
            </w:r>
          </w:p>
          <w:p w14:paraId="2393B628">
            <w:pPr>
              <w:keepNext w:val="0"/>
              <w:keepLines w:val="0"/>
              <w:widowControl/>
              <w:suppressLineNumbers w:val="0"/>
              <w:shd w:val="clear"/>
              <w:spacing w:before="0" w:beforeAutospacing="0" w:after="0" w:afterAutospacing="0"/>
              <w:ind w:left="0" w:right="0"/>
              <w:jc w:val="center"/>
              <w:rPr>
                <w:rFonts w:hint="default"/>
                <w:color w:val="auto"/>
                <w:sz w:val="24"/>
                <w:highlight w:val="none"/>
                <w:shd w:val="clear" w:color="auto" w:fill="auto"/>
              </w:rPr>
            </w:pPr>
            <w:r>
              <w:rPr>
                <w:rFonts w:hint="eastAsia" w:ascii="宋体" w:hAnsi="宋体" w:cs="宋体"/>
                <w:b/>
                <w:bCs/>
                <w:color w:val="auto"/>
                <w:kern w:val="0"/>
                <w:szCs w:val="21"/>
                <w:highlight w:val="none"/>
                <w:shd w:val="clear" w:color="auto" w:fill="auto"/>
                <w:lang w:bidi="ar"/>
              </w:rPr>
              <w:t>表</w:t>
            </w:r>
            <w:r>
              <w:rPr>
                <w:rFonts w:hint="default"/>
                <w:b/>
                <w:bCs/>
                <w:color w:val="auto"/>
                <w:kern w:val="0"/>
                <w:szCs w:val="21"/>
                <w:highlight w:val="none"/>
                <w:shd w:val="clear" w:color="auto" w:fill="auto"/>
                <w:lang w:bidi="ar"/>
              </w:rPr>
              <w:t>4-</w:t>
            </w:r>
            <w:r>
              <w:rPr>
                <w:rFonts w:hint="eastAsia"/>
                <w:b/>
                <w:bCs/>
                <w:color w:val="auto"/>
                <w:kern w:val="0"/>
                <w:szCs w:val="21"/>
                <w:highlight w:val="none"/>
                <w:shd w:val="clear" w:color="auto" w:fill="auto"/>
                <w:lang w:val="en-US" w:eastAsia="zh-CN" w:bidi="ar"/>
              </w:rPr>
              <w:t>8</w:t>
            </w:r>
            <w:r>
              <w:rPr>
                <w:rFonts w:hint="eastAsia"/>
                <w:b/>
                <w:bCs/>
                <w:color w:val="auto"/>
                <w:kern w:val="0"/>
                <w:szCs w:val="21"/>
                <w:highlight w:val="none"/>
                <w:shd w:val="clear" w:color="auto" w:fill="auto"/>
                <w:lang w:bidi="ar"/>
              </w:rPr>
              <w:t xml:space="preserve"> </w:t>
            </w:r>
            <w:r>
              <w:rPr>
                <w:rFonts w:hint="default"/>
                <w:b/>
                <w:bCs/>
                <w:color w:val="auto"/>
                <w:kern w:val="0"/>
                <w:szCs w:val="21"/>
                <w:highlight w:val="none"/>
                <w:shd w:val="clear" w:color="auto" w:fill="auto"/>
                <w:lang w:bidi="ar"/>
              </w:rPr>
              <w:t xml:space="preserve"> </w:t>
            </w:r>
            <w:r>
              <w:rPr>
                <w:rFonts w:hint="eastAsia" w:ascii="宋体" w:hAnsi="宋体" w:cs="宋体"/>
                <w:b/>
                <w:bCs/>
                <w:color w:val="auto"/>
                <w:kern w:val="0"/>
                <w:szCs w:val="21"/>
                <w:highlight w:val="none"/>
                <w:shd w:val="clear" w:color="auto" w:fill="auto"/>
                <w:lang w:bidi="ar"/>
              </w:rPr>
              <w:t>土石方平衡及流向一览表  单位：</w:t>
            </w:r>
            <w:r>
              <w:rPr>
                <w:rFonts w:hint="default"/>
                <w:b/>
                <w:bCs/>
                <w:color w:val="auto"/>
                <w:kern w:val="0"/>
                <w:szCs w:val="21"/>
                <w:highlight w:val="none"/>
                <w:shd w:val="clear" w:color="auto" w:fill="auto"/>
                <w:lang w:bidi="ar"/>
              </w:rPr>
              <w:t>万m</w:t>
            </w:r>
            <w:r>
              <w:rPr>
                <w:rFonts w:hint="default"/>
                <w:b/>
                <w:bCs/>
                <w:color w:val="auto"/>
                <w:kern w:val="0"/>
                <w:szCs w:val="21"/>
                <w:highlight w:val="none"/>
                <w:shd w:val="clear" w:color="auto" w:fill="auto"/>
                <w:vertAlign w:val="superscript"/>
                <w:lang w:bidi="ar"/>
              </w:rPr>
              <w:t>3</w:t>
            </w:r>
          </w:p>
          <w:tbl>
            <w:tblPr>
              <w:tblStyle w:val="41"/>
              <w:tblW w:w="7924" w:type="dxa"/>
              <w:tblInd w:w="0" w:type="dxa"/>
              <w:tblLayout w:type="fixed"/>
              <w:tblCellMar>
                <w:top w:w="0" w:type="dxa"/>
                <w:left w:w="108" w:type="dxa"/>
                <w:bottom w:w="0" w:type="dxa"/>
                <w:right w:w="108" w:type="dxa"/>
              </w:tblCellMar>
            </w:tblPr>
            <w:tblGrid>
              <w:gridCol w:w="943"/>
              <w:gridCol w:w="1691"/>
              <w:gridCol w:w="653"/>
              <w:gridCol w:w="764"/>
              <w:gridCol w:w="737"/>
              <w:gridCol w:w="791"/>
              <w:gridCol w:w="1404"/>
              <w:gridCol w:w="941"/>
            </w:tblGrid>
            <w:tr w14:paraId="529483E4">
              <w:tblPrEx>
                <w:tblCellMar>
                  <w:top w:w="0" w:type="dxa"/>
                  <w:left w:w="108" w:type="dxa"/>
                  <w:bottom w:w="0" w:type="dxa"/>
                  <w:right w:w="108" w:type="dxa"/>
                </w:tblCellMar>
              </w:tblPrEx>
              <w:trPr>
                <w:trHeight w:val="270" w:hRule="atLeast"/>
              </w:trPr>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F327">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分区</w:t>
                  </w:r>
                </w:p>
              </w:tc>
              <w:tc>
                <w:tcPr>
                  <w:tcW w:w="10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859E">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分类</w:t>
                  </w:r>
                </w:p>
              </w:tc>
              <w:tc>
                <w:tcPr>
                  <w:tcW w:w="135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9CD8E3">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挖方</w:t>
                  </w:r>
                </w:p>
              </w:tc>
              <w:tc>
                <w:tcPr>
                  <w:tcW w:w="197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558A">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填方</w:t>
                  </w:r>
                </w:p>
              </w:tc>
            </w:tr>
            <w:tr w14:paraId="504A6CB0">
              <w:tblPrEx>
                <w:tblCellMar>
                  <w:top w:w="0" w:type="dxa"/>
                  <w:left w:w="108" w:type="dxa"/>
                  <w:bottom w:w="0" w:type="dxa"/>
                  <w:right w:w="108" w:type="dxa"/>
                </w:tblCellMar>
              </w:tblPrEx>
              <w:trPr>
                <w:trHeight w:val="270" w:hRule="atLeast"/>
              </w:trPr>
              <w:tc>
                <w:tcPr>
                  <w:tcW w:w="595" w:type="pct"/>
                  <w:vMerge w:val="continue"/>
                  <w:tcBorders>
                    <w:top w:val="single" w:color="000000" w:sz="4" w:space="0"/>
                    <w:left w:val="single" w:color="000000" w:sz="4" w:space="0"/>
                    <w:bottom w:val="single" w:color="000000" w:sz="4" w:space="0"/>
                    <w:right w:val="single" w:color="000000" w:sz="4" w:space="0"/>
                  </w:tcBorders>
                  <w:vAlign w:val="center"/>
                </w:tcPr>
                <w:p w14:paraId="375ECBF3">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1067" w:type="pct"/>
                  <w:vMerge w:val="continue"/>
                  <w:tcBorders>
                    <w:top w:val="single" w:color="000000" w:sz="4" w:space="0"/>
                    <w:left w:val="single" w:color="000000" w:sz="4" w:space="0"/>
                    <w:bottom w:val="single" w:color="000000" w:sz="4" w:space="0"/>
                    <w:right w:val="single" w:color="000000" w:sz="4" w:space="0"/>
                  </w:tcBorders>
                  <w:vAlign w:val="center"/>
                </w:tcPr>
                <w:p w14:paraId="6AF5679A">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5C6D">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表土</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B4714">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基础开挖</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7160">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小计</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D76B">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绿化覆土</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CA16">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场平回填</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DBB7">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小计</w:t>
                  </w:r>
                </w:p>
              </w:tc>
            </w:tr>
            <w:tr w14:paraId="1295C36C">
              <w:tblPrEx>
                <w:tblCellMar>
                  <w:top w:w="0" w:type="dxa"/>
                  <w:left w:w="108" w:type="dxa"/>
                  <w:bottom w:w="0" w:type="dxa"/>
                  <w:right w:w="108" w:type="dxa"/>
                </w:tblCellMar>
              </w:tblPrEx>
              <w:trPr>
                <w:trHeight w:val="270" w:hRule="atLeast"/>
              </w:trPr>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B83B">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光伏发电系统</w:t>
                  </w:r>
                </w:p>
              </w:tc>
              <w:tc>
                <w:tcPr>
                  <w:tcW w:w="10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9510">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光伏板支架基础</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CD51">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C9CC">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0.34</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E05E">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0.34</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D08E">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6434">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0.34</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C45B">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0.34</w:t>
                  </w:r>
                </w:p>
              </w:tc>
            </w:tr>
            <w:tr w14:paraId="660DEDCB">
              <w:tblPrEx>
                <w:tblCellMar>
                  <w:top w:w="0" w:type="dxa"/>
                  <w:left w:w="108" w:type="dxa"/>
                  <w:bottom w:w="0" w:type="dxa"/>
                  <w:right w:w="108" w:type="dxa"/>
                </w:tblCellMar>
              </w:tblPrEx>
              <w:trPr>
                <w:trHeight w:val="270" w:hRule="atLeast"/>
              </w:trPr>
              <w:tc>
                <w:tcPr>
                  <w:tcW w:w="595" w:type="pct"/>
                  <w:vMerge w:val="continue"/>
                  <w:tcBorders>
                    <w:top w:val="single" w:color="000000" w:sz="4" w:space="0"/>
                    <w:left w:val="single" w:color="000000" w:sz="4" w:space="0"/>
                    <w:bottom w:val="single" w:color="000000" w:sz="4" w:space="0"/>
                    <w:right w:val="single" w:color="000000" w:sz="4" w:space="0"/>
                  </w:tcBorders>
                  <w:vAlign w:val="center"/>
                </w:tcPr>
                <w:p w14:paraId="7100E263">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10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36145">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接地工程</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24FF">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E66F">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1.09</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BD639">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1.09</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3818">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BA50">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1.09</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F76F">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1.09</w:t>
                  </w:r>
                </w:p>
              </w:tc>
            </w:tr>
            <w:tr w14:paraId="4EFF27CE">
              <w:tblPrEx>
                <w:tblCellMar>
                  <w:top w:w="0" w:type="dxa"/>
                  <w:left w:w="108" w:type="dxa"/>
                  <w:bottom w:w="0" w:type="dxa"/>
                  <w:right w:w="108" w:type="dxa"/>
                </w:tblCellMar>
              </w:tblPrEx>
              <w:trPr>
                <w:trHeight w:val="270" w:hRule="atLeast"/>
              </w:trPr>
              <w:tc>
                <w:tcPr>
                  <w:tcW w:w="595" w:type="pct"/>
                  <w:vMerge w:val="continue"/>
                  <w:tcBorders>
                    <w:top w:val="single" w:color="000000" w:sz="4" w:space="0"/>
                    <w:left w:val="single" w:color="000000" w:sz="4" w:space="0"/>
                    <w:bottom w:val="single" w:color="000000" w:sz="4" w:space="0"/>
                    <w:right w:val="single" w:color="000000" w:sz="4" w:space="0"/>
                  </w:tcBorders>
                  <w:vAlign w:val="center"/>
                </w:tcPr>
                <w:p w14:paraId="35E6458A">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10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448A">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35kv箱变基础</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AEB2">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848E3">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EF24">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DDF0B">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5F79">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2A93">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w:t>
                  </w:r>
                </w:p>
              </w:tc>
            </w:tr>
            <w:tr w14:paraId="5482A08B">
              <w:tblPrEx>
                <w:tblCellMar>
                  <w:top w:w="0" w:type="dxa"/>
                  <w:left w:w="108" w:type="dxa"/>
                  <w:bottom w:w="0" w:type="dxa"/>
                  <w:right w:w="108" w:type="dxa"/>
                </w:tblCellMar>
              </w:tblPrEx>
              <w:trPr>
                <w:trHeight w:val="270" w:hRule="atLeast"/>
              </w:trPr>
              <w:tc>
                <w:tcPr>
                  <w:tcW w:w="166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9C5C">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合计</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A4D1">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2E72">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1.45</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69BD">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1.45</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E481">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A545">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1.45</w:t>
                  </w:r>
                </w:p>
              </w:tc>
              <w:tc>
                <w:tcPr>
                  <w:tcW w:w="5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F0A8">
                  <w:pPr>
                    <w:keepNext w:val="0"/>
                    <w:keepLines w:val="0"/>
                    <w:widowControl/>
                    <w:suppressLineNumbers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1.45</w:t>
                  </w:r>
                </w:p>
              </w:tc>
            </w:tr>
          </w:tbl>
          <w:p w14:paraId="0FE6BA5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shd w:val="clear" w:color="auto" w:fill="auto"/>
              </w:rPr>
            </w:pPr>
            <w:r>
              <w:rPr>
                <w:rFonts w:hint="eastAsia"/>
                <w:color w:val="auto"/>
                <w:sz w:val="24"/>
                <w:highlight w:val="none"/>
                <w:shd w:val="clear" w:color="auto" w:fill="auto"/>
              </w:rPr>
              <w:t>2）</w:t>
            </w:r>
            <w:r>
              <w:rPr>
                <w:rFonts w:hint="default" w:hAnsi="宋体"/>
                <w:color w:val="auto"/>
                <w:sz w:val="24"/>
                <w:highlight w:val="none"/>
                <w:shd w:val="clear" w:color="auto" w:fill="auto"/>
              </w:rPr>
              <w:t>建筑垃圾</w:t>
            </w:r>
          </w:p>
          <w:p w14:paraId="43F70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施工建筑垃圾包括石料、砂、包装袋等；石料、砂等集中收集，运至周边运输道路进行回填；废钢筋、包装袋等回收利用。严格执行《昆明市城市建筑垃圾管理实施办法实施细则（修订）》（</w:t>
            </w:r>
            <w:r>
              <w:rPr>
                <w:rFonts w:hint="default"/>
                <w:color w:val="auto"/>
                <w:sz w:val="24"/>
                <w:lang w:val="en-US" w:eastAsia="zh-CN"/>
              </w:rPr>
              <w:t>2018</w:t>
            </w:r>
            <w:r>
              <w:rPr>
                <w:rFonts w:hint="eastAsia"/>
                <w:color w:val="auto"/>
                <w:sz w:val="24"/>
                <w:lang w:val="en-US" w:eastAsia="zh-CN"/>
              </w:rPr>
              <w:t xml:space="preserve">年），建筑垃圾分类收集，能利用部分外售收购商进行回收利用，不可回收部分委托有资质单位清运至政府部门指定的场所进行处置，禁止乱堆乱倒。 </w:t>
            </w:r>
          </w:p>
          <w:p w14:paraId="69AE53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color w:val="auto"/>
                <w:sz w:val="24"/>
                <w:lang w:val="en-US" w:eastAsia="zh-CN"/>
              </w:rPr>
              <w:t>施工建筑垃圾妥善处置，对周边环境影响较小。</w:t>
            </w:r>
          </w:p>
          <w:p w14:paraId="72A6EDE1">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3）</w:t>
            </w:r>
            <w:r>
              <w:rPr>
                <w:rFonts w:hint="default" w:hAnsi="宋体"/>
                <w:color w:val="auto"/>
                <w:sz w:val="24"/>
                <w:highlight w:val="none"/>
                <w:shd w:val="clear" w:color="auto" w:fill="auto"/>
              </w:rPr>
              <w:t>生活垃圾</w:t>
            </w:r>
          </w:p>
          <w:p w14:paraId="0AAEB053">
            <w:pPr>
              <w:keepNext w:val="0"/>
              <w:keepLines w:val="0"/>
              <w:suppressLineNumbers w:val="0"/>
              <w:adjustRightInd w:val="0"/>
              <w:snapToGrid w:val="0"/>
              <w:spacing w:before="0" w:beforeAutospacing="0" w:after="0" w:afterAutospacing="0" w:line="360" w:lineRule="auto"/>
              <w:ind w:left="0" w:right="0" w:firstLine="480" w:firstLineChars="200"/>
              <w:rPr>
                <w:rFonts w:hint="eastAsia" w:hAnsi="宋体"/>
                <w:color w:val="auto"/>
                <w:sz w:val="24"/>
                <w:highlight w:val="none"/>
              </w:rPr>
            </w:pPr>
            <w:r>
              <w:rPr>
                <w:rFonts w:hint="default" w:hAnsi="宋体"/>
                <w:color w:val="auto"/>
                <w:sz w:val="24"/>
                <w:highlight w:val="none"/>
              </w:rPr>
              <w:t>项目</w:t>
            </w:r>
            <w:r>
              <w:rPr>
                <w:rFonts w:hint="eastAsia" w:hAnsi="宋体"/>
                <w:color w:val="auto"/>
                <w:sz w:val="24"/>
                <w:highlight w:val="none"/>
              </w:rPr>
              <w:t>施工高峰期</w:t>
            </w:r>
            <w:r>
              <w:rPr>
                <w:rFonts w:hint="default" w:hAnsi="宋体"/>
                <w:color w:val="auto"/>
                <w:sz w:val="24"/>
                <w:highlight w:val="none"/>
              </w:rPr>
              <w:t>施工人员为</w:t>
            </w:r>
            <w:r>
              <w:rPr>
                <w:rFonts w:hint="eastAsia" w:hAnsi="宋体"/>
                <w:color w:val="auto"/>
                <w:sz w:val="24"/>
                <w:highlight w:val="none"/>
                <w:lang w:val="en-US" w:eastAsia="zh-CN"/>
              </w:rPr>
              <w:t>250</w:t>
            </w:r>
            <w:r>
              <w:rPr>
                <w:rFonts w:hint="default" w:hAnsi="宋体"/>
                <w:color w:val="auto"/>
                <w:sz w:val="24"/>
                <w:highlight w:val="none"/>
              </w:rPr>
              <w:t>人，</w:t>
            </w:r>
            <w:r>
              <w:rPr>
                <w:rFonts w:hint="eastAsia" w:hAnsi="宋体"/>
                <w:color w:val="auto"/>
                <w:sz w:val="24"/>
                <w:highlight w:val="none"/>
                <w:lang w:eastAsia="zh-CN"/>
              </w:rPr>
              <w:t>不</w:t>
            </w:r>
            <w:r>
              <w:rPr>
                <w:rFonts w:hint="default"/>
                <w:color w:val="auto"/>
                <w:sz w:val="24"/>
                <w:highlight w:val="none"/>
              </w:rPr>
              <w:t>在</w:t>
            </w:r>
            <w:r>
              <w:rPr>
                <w:rFonts w:hint="eastAsia"/>
                <w:color w:val="auto"/>
                <w:sz w:val="24"/>
                <w:highlight w:val="none"/>
                <w:lang w:val="en-US" w:eastAsia="zh-CN"/>
              </w:rPr>
              <w:t>施工区</w:t>
            </w:r>
            <w:r>
              <w:rPr>
                <w:rFonts w:hint="default"/>
                <w:color w:val="auto"/>
                <w:sz w:val="24"/>
                <w:highlight w:val="none"/>
              </w:rPr>
              <w:t>食宿</w:t>
            </w:r>
            <w:r>
              <w:rPr>
                <w:rFonts w:hint="eastAsia"/>
                <w:color w:val="auto"/>
                <w:sz w:val="24"/>
                <w:highlight w:val="none"/>
                <w:lang w:eastAsia="zh-CN"/>
              </w:rPr>
              <w:t>，</w:t>
            </w:r>
            <w:r>
              <w:rPr>
                <w:rFonts w:hint="eastAsia" w:cs="Times New Roman"/>
                <w:color w:val="auto"/>
                <w:sz w:val="24"/>
                <w:szCs w:val="24"/>
                <w:highlight w:val="none"/>
                <w:lang w:val="en-US" w:eastAsia="zh-CN"/>
              </w:rPr>
              <w:t>施工人员用餐、饮水通过周边村镇购买送入</w:t>
            </w:r>
            <w:r>
              <w:rPr>
                <w:rFonts w:hint="eastAsia"/>
                <w:color w:val="auto"/>
                <w:sz w:val="24"/>
                <w:highlight w:val="none"/>
                <w:lang w:eastAsia="zh-CN"/>
              </w:rPr>
              <w:t>，</w:t>
            </w:r>
            <w:r>
              <w:rPr>
                <w:rFonts w:hint="eastAsia" w:hAnsi="宋体"/>
                <w:color w:val="auto"/>
                <w:sz w:val="24"/>
                <w:highlight w:val="none"/>
                <w:lang w:val="en-US" w:eastAsia="zh-CN"/>
              </w:rPr>
              <w:t>生活垃圾</w:t>
            </w:r>
            <w:r>
              <w:rPr>
                <w:rFonts w:hint="eastAsia" w:hAnsi="宋体"/>
                <w:color w:val="auto"/>
                <w:sz w:val="24"/>
                <w:highlight w:val="none"/>
              </w:rPr>
              <w:t>按</w:t>
            </w:r>
            <w:r>
              <w:rPr>
                <w:rFonts w:hint="default" w:hAnsi="宋体"/>
                <w:color w:val="auto"/>
                <w:sz w:val="24"/>
                <w:highlight w:val="none"/>
              </w:rPr>
              <w:t>0.5kg/人·d估算，则项目施工期生活垃圾产生</w:t>
            </w:r>
            <w:r>
              <w:rPr>
                <w:rFonts w:hint="eastAsia" w:hAnsi="宋体"/>
                <w:color w:val="auto"/>
                <w:sz w:val="24"/>
                <w:highlight w:val="none"/>
              </w:rPr>
              <w:t>量</w:t>
            </w:r>
            <w:r>
              <w:rPr>
                <w:rFonts w:hint="default" w:hAnsi="宋体"/>
                <w:color w:val="auto"/>
                <w:sz w:val="24"/>
                <w:highlight w:val="none"/>
              </w:rPr>
              <w:t>为</w:t>
            </w:r>
            <w:r>
              <w:rPr>
                <w:rFonts w:hint="eastAsia" w:hAnsi="宋体"/>
                <w:color w:val="auto"/>
                <w:sz w:val="24"/>
                <w:highlight w:val="none"/>
                <w:lang w:val="en-US" w:eastAsia="zh-CN"/>
              </w:rPr>
              <w:t>125kg</w:t>
            </w:r>
            <w:r>
              <w:rPr>
                <w:rFonts w:hint="default" w:hAnsi="宋体"/>
                <w:color w:val="auto"/>
                <w:sz w:val="24"/>
                <w:highlight w:val="none"/>
              </w:rPr>
              <w:t>/d。</w:t>
            </w:r>
            <w:r>
              <w:rPr>
                <w:rFonts w:hint="default" w:ascii="Times New Roman" w:hAnsi="Times New Roman" w:eastAsia="宋体" w:cs="Times New Roman"/>
                <w:color w:val="auto"/>
                <w:sz w:val="24"/>
                <w:szCs w:val="24"/>
                <w:highlight w:val="none"/>
                <w:shd w:val="clear" w:color="auto" w:fill="auto"/>
              </w:rPr>
              <w:t>该部分垃圾</w:t>
            </w:r>
            <w:r>
              <w:rPr>
                <w:rFonts w:hint="default" w:ascii="Times New Roman" w:hAnsi="Times New Roman" w:eastAsia="宋体" w:cs="Times New Roman"/>
                <w:color w:val="auto"/>
                <w:sz w:val="24"/>
                <w:szCs w:val="24"/>
                <w:highlight w:val="none"/>
                <w:lang w:val="en-US" w:eastAsia="zh-CN"/>
              </w:rPr>
              <w:t>分类收集后</w:t>
            </w:r>
            <w:r>
              <w:rPr>
                <w:rFonts w:hint="eastAsia" w:ascii="宋体" w:hAnsi="宋体" w:eastAsia="宋体" w:cs="宋体"/>
                <w:color w:val="auto"/>
                <w:sz w:val="24"/>
                <w:szCs w:val="24"/>
                <w:highlight w:val="none"/>
                <w:shd w:val="clear" w:color="auto" w:fill="auto"/>
              </w:rPr>
              <w:t>实行“日产日清”，</w:t>
            </w:r>
            <w:r>
              <w:rPr>
                <w:rFonts w:hint="default" w:ascii="Times New Roman" w:hAnsi="Times New Roman" w:eastAsia="宋体" w:cs="Times New Roman"/>
                <w:color w:val="auto"/>
                <w:sz w:val="24"/>
                <w:szCs w:val="24"/>
                <w:highlight w:val="none"/>
                <w:shd w:val="clear" w:color="auto" w:fill="auto"/>
                <w:lang w:val="en-US" w:eastAsia="zh-CN"/>
              </w:rPr>
              <w:t>自行</w:t>
            </w:r>
            <w:r>
              <w:rPr>
                <w:rFonts w:hint="default" w:ascii="Times New Roman" w:hAnsi="Times New Roman" w:eastAsia="宋体" w:cs="Times New Roman"/>
                <w:color w:val="auto"/>
                <w:sz w:val="24"/>
                <w:szCs w:val="24"/>
                <w:highlight w:val="none"/>
                <w:shd w:val="clear" w:color="auto" w:fill="auto"/>
              </w:rPr>
              <w:t>转运至</w:t>
            </w:r>
            <w:r>
              <w:rPr>
                <w:rFonts w:hint="eastAsia" w:cs="Times New Roman"/>
                <w:color w:val="auto"/>
                <w:sz w:val="24"/>
                <w:szCs w:val="24"/>
                <w:highlight w:val="none"/>
                <w:shd w:val="clear" w:color="auto" w:fill="auto"/>
                <w:lang w:val="en-US" w:eastAsia="zh-CN"/>
              </w:rPr>
              <w:t>附近</w:t>
            </w:r>
            <w:r>
              <w:rPr>
                <w:rFonts w:hint="eastAsia" w:hAnsi="宋体"/>
                <w:color w:val="auto"/>
                <w:sz w:val="24"/>
                <w:highlight w:val="none"/>
                <w:shd w:val="clear" w:color="auto" w:fill="auto"/>
                <w:lang w:val="en-US" w:eastAsia="zh-CN"/>
              </w:rPr>
              <w:t>乡镇</w:t>
            </w:r>
            <w:r>
              <w:rPr>
                <w:rFonts w:hint="eastAsia"/>
                <w:color w:val="auto"/>
                <w:sz w:val="24"/>
                <w:highlight w:val="none"/>
              </w:rPr>
              <w:t>垃圾收集点统一处置</w:t>
            </w:r>
            <w:r>
              <w:rPr>
                <w:rFonts w:hint="eastAsia" w:hAnsi="宋体"/>
                <w:color w:val="auto"/>
                <w:sz w:val="24"/>
                <w:highlight w:val="none"/>
              </w:rPr>
              <w:t>。</w:t>
            </w:r>
          </w:p>
          <w:p w14:paraId="398F97AB">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shd w:val="clear" w:color="auto" w:fill="auto"/>
              </w:rPr>
              <w:t>4）</w:t>
            </w:r>
            <w:r>
              <w:rPr>
                <w:rFonts w:hint="eastAsia"/>
                <w:color w:val="auto"/>
                <w:sz w:val="24"/>
                <w:highlight w:val="none"/>
              </w:rPr>
              <w:t>废弃设备零件</w:t>
            </w:r>
          </w:p>
          <w:p w14:paraId="04BE18D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rPr>
              <w:t>项目在光伏组件安装、电气设备安装过程中，会产生少量废弃设备零件，该部分废弃设备零件经收集后，可回收利用。</w:t>
            </w:r>
          </w:p>
          <w:p w14:paraId="6D2E9FD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eastAsia"/>
                <w:color w:val="auto"/>
                <w:sz w:val="24"/>
                <w:highlight w:val="none"/>
                <w:shd w:val="clear" w:color="auto" w:fill="auto"/>
              </w:rPr>
              <w:t>综上，建设单位按环评要求管理处置施工期固废后，施工期产生的固体废物能得到妥善处置，本项目施工期产生的固体废物对外环境影响较小。</w:t>
            </w:r>
          </w:p>
        </w:tc>
      </w:tr>
      <w:tr w14:paraId="3890E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1" w:hRule="atLeast"/>
          <w:jc w:val="center"/>
        </w:trPr>
        <w:tc>
          <w:tcPr>
            <w:tcW w:w="166" w:type="pct"/>
            <w:tcMar>
              <w:left w:w="28" w:type="dxa"/>
              <w:right w:w="28" w:type="dxa"/>
            </w:tcMar>
            <w:vAlign w:val="center"/>
          </w:tcPr>
          <w:p w14:paraId="0292996E">
            <w:pPr>
              <w:pStyle w:val="38"/>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spacing w:val="10"/>
                <w:kern w:val="2"/>
                <w:highlight w:val="none"/>
                <w:shd w:val="clear" w:color="auto" w:fill="auto"/>
              </w:rPr>
              <w:t>运营期生态环境影响分析</w:t>
            </w:r>
          </w:p>
        </w:tc>
        <w:tc>
          <w:tcPr>
            <w:tcW w:w="4833" w:type="pct"/>
          </w:tcPr>
          <w:p w14:paraId="256E14DF">
            <w:pPr>
              <w:keepNext w:val="0"/>
              <w:keepLines w:val="0"/>
              <w:suppressLineNumbers w:val="0"/>
              <w:shd w:val="clear"/>
              <w:adjustRightInd w:val="0"/>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default"/>
                <w:b/>
                <w:bCs/>
                <w:color w:val="auto"/>
                <w:sz w:val="24"/>
                <w:highlight w:val="none"/>
                <w:shd w:val="clear" w:color="auto" w:fill="auto"/>
              </w:rPr>
              <w:t>1、运营期工艺流程</w:t>
            </w:r>
            <w:r>
              <w:rPr>
                <w:rFonts w:hint="eastAsia"/>
                <w:b/>
                <w:bCs/>
                <w:color w:val="auto"/>
                <w:sz w:val="24"/>
                <w:highlight w:val="none"/>
                <w:shd w:val="clear" w:color="auto" w:fill="auto"/>
              </w:rPr>
              <w:t>和</w:t>
            </w:r>
            <w:r>
              <w:rPr>
                <w:rFonts w:hint="default"/>
                <w:b/>
                <w:bCs/>
                <w:color w:val="auto"/>
                <w:sz w:val="24"/>
                <w:highlight w:val="none"/>
                <w:shd w:val="clear" w:color="auto" w:fill="auto"/>
              </w:rPr>
              <w:t>产污环节</w:t>
            </w:r>
          </w:p>
          <w:p w14:paraId="3C73D7CD">
            <w:pPr>
              <w:keepNext w:val="0"/>
              <w:keepLines w:val="0"/>
              <w:suppressLineNumbers w:val="0"/>
              <w:shd w:val="clear"/>
              <w:spacing w:before="0" w:beforeAutospacing="0" w:after="0" w:afterAutospacing="0" w:line="360" w:lineRule="auto"/>
              <w:ind w:left="0" w:right="0" w:firstLine="480" w:firstLineChars="200"/>
              <w:rPr>
                <w:rFonts w:hint="default"/>
                <w:color w:val="auto"/>
                <w:highlight w:val="none"/>
                <w:shd w:val="clear" w:color="auto" w:fill="auto"/>
              </w:rPr>
            </w:pPr>
            <w:r>
              <w:rPr>
                <w:rFonts w:hint="default"/>
                <w:color w:val="auto"/>
                <w:sz w:val="24"/>
                <w:highlight w:val="none"/>
                <w:shd w:val="clear" w:color="auto" w:fill="auto"/>
              </w:rPr>
              <w:t>本项目属清洁能源，运营期</w:t>
            </w:r>
            <w:r>
              <w:rPr>
                <w:rFonts w:hint="eastAsia"/>
                <w:color w:val="auto"/>
                <w:sz w:val="24"/>
                <w:highlight w:val="none"/>
                <w:shd w:val="clear" w:color="auto" w:fill="auto"/>
                <w:lang w:val="en-US" w:eastAsia="zh-CN"/>
              </w:rPr>
              <w:t>光伏电站</w:t>
            </w:r>
            <w:r>
              <w:rPr>
                <w:rFonts w:hint="default"/>
                <w:color w:val="auto"/>
                <w:sz w:val="24"/>
                <w:highlight w:val="none"/>
                <w:shd w:val="clear" w:color="auto" w:fill="auto"/>
              </w:rPr>
              <w:t>主要污染物如下图所示。</w:t>
            </w:r>
          </w:p>
          <w:p w14:paraId="57A97290">
            <w:pPr>
              <w:keepNext w:val="0"/>
              <w:keepLines w:val="0"/>
              <w:suppressLineNumbers w:val="0"/>
              <w:shd w:val="clear"/>
              <w:spacing w:before="0" w:beforeAutospacing="0" w:after="0" w:afterAutospacing="0" w:line="360" w:lineRule="auto"/>
              <w:ind w:left="0" w:right="0"/>
              <w:jc w:val="center"/>
              <w:rPr>
                <w:rFonts w:hint="default"/>
                <w:color w:val="auto"/>
                <w:highlight w:val="none"/>
                <w:shd w:val="clear" w:color="auto" w:fill="auto"/>
              </w:rPr>
            </w:pPr>
            <w:r>
              <w:rPr>
                <w:rFonts w:hint="eastAsia"/>
                <w:b/>
                <w:color w:val="auto"/>
                <w:szCs w:val="21"/>
                <w:highlight w:val="none"/>
                <w:shd w:val="clear" w:color="auto" w:fill="auto"/>
              </w:rPr>
              <w:object>
                <v:shape id="_x0000_i1026" o:spt="75" type="#_x0000_t75" style="height:132.75pt;width:395.2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3351B7E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color w:val="auto"/>
                <w:szCs w:val="21"/>
                <w:highlight w:val="none"/>
                <w:shd w:val="clear" w:color="auto" w:fill="auto"/>
              </w:rPr>
            </w:pPr>
            <w:r>
              <w:rPr>
                <w:rFonts w:hint="eastAsia"/>
                <w:b/>
                <w:color w:val="auto"/>
                <w:szCs w:val="21"/>
                <w:highlight w:val="none"/>
                <w:shd w:val="clear" w:color="auto" w:fill="auto"/>
              </w:rPr>
              <w:t>图4-</w:t>
            </w:r>
            <w:r>
              <w:rPr>
                <w:rFonts w:hint="eastAsia"/>
                <w:b/>
                <w:color w:val="auto"/>
                <w:szCs w:val="21"/>
                <w:highlight w:val="none"/>
                <w:shd w:val="clear" w:color="auto" w:fill="auto"/>
                <w:lang w:val="en-US" w:eastAsia="zh-CN"/>
              </w:rPr>
              <w:t xml:space="preserve">3 </w:t>
            </w:r>
            <w:r>
              <w:rPr>
                <w:rFonts w:hint="eastAsia"/>
                <w:b/>
                <w:color w:val="auto"/>
                <w:szCs w:val="21"/>
                <w:highlight w:val="none"/>
                <w:shd w:val="clear" w:color="auto" w:fill="auto"/>
              </w:rPr>
              <w:t xml:space="preserve"> 运营期产污环节示意图</w:t>
            </w:r>
          </w:p>
          <w:p w14:paraId="29A18957">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kern w:val="0"/>
                <w:sz w:val="24"/>
                <w:highlight w:val="none"/>
                <w:shd w:val="clear" w:color="auto" w:fill="auto"/>
              </w:rPr>
            </w:pPr>
            <w:r>
              <w:rPr>
                <w:rFonts w:hint="eastAsia"/>
                <w:b/>
                <w:bCs/>
                <w:color w:val="auto"/>
                <w:kern w:val="0"/>
                <w:sz w:val="24"/>
                <w:highlight w:val="none"/>
                <w:shd w:val="clear" w:color="auto" w:fill="auto"/>
              </w:rPr>
              <w:t>工艺流程简述：</w:t>
            </w:r>
          </w:p>
          <w:p w14:paraId="35595F78">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val="0"/>
                <w:bCs/>
                <w:color w:val="auto"/>
                <w:sz w:val="24"/>
                <w:highlight w:val="none"/>
                <w:shd w:val="clear" w:color="auto" w:fill="auto"/>
              </w:rPr>
            </w:pPr>
            <w:r>
              <w:rPr>
                <w:rFonts w:hint="eastAsia"/>
                <w:color w:val="auto"/>
                <w:kern w:val="0"/>
                <w:sz w:val="24"/>
                <w:highlight w:val="none"/>
                <w:shd w:val="clear" w:color="auto" w:fill="auto"/>
              </w:rPr>
              <w:t>在集中式并网光伏电站中，使太阳能通过电池组成的光伏阵列转换成直流电，经过逆变器转换成电压较低的交流电，再通过升压变压器转换成符合公共电网电压要求的交流电，并直接接入公共电网，供公共电网用电设备使用和远程调配。逆变器、升压变压器均设有数据采集系统，数据通过监控显示系统输出数据，可实现值班人员抄录数据和远程监控系统同步运行。</w:t>
            </w:r>
          </w:p>
          <w:p w14:paraId="3AC67075">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2、运营期</w:t>
            </w:r>
            <w:r>
              <w:rPr>
                <w:rFonts w:hint="eastAsia"/>
                <w:b/>
                <w:color w:val="auto"/>
                <w:sz w:val="24"/>
                <w:highlight w:val="none"/>
                <w:shd w:val="clear" w:color="auto" w:fill="auto"/>
              </w:rPr>
              <w:t>环境影响分析</w:t>
            </w:r>
          </w:p>
          <w:p w14:paraId="6B637E5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1</w:t>
            </w:r>
            <w:r>
              <w:rPr>
                <w:rFonts w:hint="default"/>
                <w:b/>
                <w:color w:val="auto"/>
                <w:sz w:val="24"/>
                <w:highlight w:val="none"/>
                <w:shd w:val="clear" w:color="auto" w:fill="auto"/>
              </w:rPr>
              <w:t>）生态环境</w:t>
            </w:r>
          </w:p>
          <w:p w14:paraId="1BA6D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对地表植被的影响分析</w:t>
            </w:r>
          </w:p>
          <w:p w14:paraId="32B58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项目运营期对植被的影响主要体现在光伏板架设后在地面产生阴影，阴影影响区域内的植被受到的日照减少，将对植物的生长产生一定程度的影响。</w:t>
            </w:r>
          </w:p>
          <w:p w14:paraId="0FD4E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w:t>
            </w:r>
            <w:r>
              <w:rPr>
                <w:rFonts w:hint="eastAsia" w:cs="Times New Roman"/>
                <w:color w:val="auto"/>
                <w:kern w:val="0"/>
                <w:sz w:val="24"/>
                <w:szCs w:val="24"/>
                <w:highlight w:val="none"/>
                <w:lang w:val="en-US" w:eastAsia="zh-CN"/>
              </w:rPr>
              <w:t>项目</w:t>
            </w:r>
            <w:r>
              <w:rPr>
                <w:rFonts w:hint="eastAsia"/>
                <w:color w:val="auto"/>
                <w:spacing w:val="0"/>
                <w:sz w:val="24"/>
                <w:szCs w:val="24"/>
                <w:highlight w:val="none"/>
                <w:shd w:val="clear" w:color="auto" w:fill="auto"/>
              </w:rPr>
              <w:t>光伏组件按最低离地2.5m、桩基间列间距大于4m、行间距大于6.5m</w:t>
            </w:r>
            <w:r>
              <w:rPr>
                <w:rFonts w:hint="eastAsia"/>
                <w:color w:val="auto"/>
                <w:spacing w:val="0"/>
                <w:sz w:val="24"/>
                <w:szCs w:val="24"/>
                <w:highlight w:val="none"/>
                <w:shd w:val="clear" w:color="auto" w:fill="auto"/>
                <w:lang w:eastAsia="zh-CN"/>
              </w:rPr>
              <w:t>，</w:t>
            </w:r>
            <w:r>
              <w:rPr>
                <w:rFonts w:hint="eastAsia"/>
                <w:color w:val="auto"/>
                <w:spacing w:val="0"/>
                <w:sz w:val="24"/>
                <w:szCs w:val="24"/>
                <w:highlight w:val="none"/>
                <w:shd w:val="clear" w:color="auto" w:fill="auto"/>
                <w:lang w:val="en-US" w:eastAsia="zh-CN"/>
              </w:rPr>
              <w:t>且</w:t>
            </w:r>
            <w:r>
              <w:rPr>
                <w:rFonts w:hint="default"/>
                <w:color w:val="auto"/>
                <w:spacing w:val="0"/>
                <w:sz w:val="24"/>
                <w:szCs w:val="24"/>
                <w:highlight w:val="none"/>
                <w:shd w:val="clear" w:color="auto" w:fill="auto"/>
              </w:rPr>
              <w:t>光伏支架最低点应高于灌木高度1米以上，</w:t>
            </w:r>
            <w:r>
              <w:rPr>
                <w:rFonts w:hint="default" w:ascii="Times New Roman" w:hAnsi="Times New Roman" w:eastAsia="宋体" w:cs="Times New Roman"/>
                <w:color w:val="auto"/>
                <w:sz w:val="24"/>
                <w:szCs w:val="24"/>
                <w:highlight w:val="none"/>
                <w:lang w:val="en-US" w:eastAsia="zh-CN"/>
              </w:rPr>
              <w:t>支架结构较高，基本满足植物的生长需要。对于喜阳植物而言，该光照度可能不足以满足植物个体的健康生长需要、造成其无法繁殖甚至死亡；但对于耐阴植物来说，其影响不是很大，甚至适宜于喜阴作物的生长。</w:t>
            </w:r>
          </w:p>
          <w:p w14:paraId="514D1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项目光伏场区现状主要植被是受强烈的人为活动干扰后形成的次生植被类型</w:t>
            </w:r>
            <w:r>
              <w:rPr>
                <w:rFonts w:hint="eastAsia" w:cs="Times New Roman"/>
                <w:color w:val="auto"/>
                <w:sz w:val="24"/>
                <w:szCs w:val="24"/>
                <w:lang w:val="en-US" w:eastAsia="zh-CN"/>
              </w:rPr>
              <w:t>和区域内原有灌木林</w:t>
            </w:r>
            <w:r>
              <w:rPr>
                <w:rFonts w:hint="default" w:ascii="Times New Roman" w:hAnsi="Times New Roman" w:eastAsia="宋体" w:cs="Times New Roman"/>
                <w:color w:val="auto"/>
                <w:sz w:val="24"/>
                <w:szCs w:val="24"/>
                <w:lang w:val="en-US" w:eastAsia="zh-CN"/>
              </w:rPr>
              <w:t>，且在地区广泛分布。项目建设后</w:t>
            </w:r>
            <w:r>
              <w:rPr>
                <w:rFonts w:hint="eastAsia" w:cs="Times New Roman"/>
                <w:color w:val="auto"/>
                <w:sz w:val="24"/>
                <w:szCs w:val="24"/>
                <w:lang w:val="en-US" w:eastAsia="zh-CN"/>
              </w:rPr>
              <w:t>占用林地部分</w:t>
            </w:r>
            <w:r>
              <w:rPr>
                <w:rFonts w:hint="default" w:ascii="Times New Roman" w:hAnsi="Times New Roman" w:eastAsia="宋体" w:cs="Times New Roman"/>
                <w:color w:val="auto"/>
                <w:sz w:val="24"/>
                <w:szCs w:val="24"/>
                <w:lang w:val="en-US" w:eastAsia="zh-CN"/>
              </w:rPr>
              <w:t>将实施</w:t>
            </w:r>
            <w:r>
              <w:rPr>
                <w:rFonts w:hint="eastAsia" w:cs="Times New Roman"/>
                <w:color w:val="auto"/>
                <w:sz w:val="24"/>
                <w:szCs w:val="24"/>
                <w:lang w:val="en-US" w:eastAsia="zh-CN"/>
              </w:rPr>
              <w:t>林光互补</w:t>
            </w:r>
            <w:r>
              <w:rPr>
                <w:rFonts w:hint="default" w:ascii="Times New Roman" w:hAnsi="Times New Roman" w:eastAsia="宋体" w:cs="Times New Roman"/>
                <w:color w:val="auto"/>
                <w:sz w:val="24"/>
                <w:szCs w:val="24"/>
                <w:lang w:val="en-US" w:eastAsia="zh-CN"/>
              </w:rPr>
              <w:t>工程，选取适宜的林草植被进行播种，重新种植的植物将选取喜阴作物，可充分适应板下环境特征，辅以人工养护后，可健康生长。通过林光互补工程，在一定程度上，项目实施后地区的植被覆盖度及生物多样性要优于现状。</w:t>
            </w:r>
          </w:p>
          <w:p w14:paraId="2CCC9A3D">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2</w:t>
            </w:r>
            <w:r>
              <w:rPr>
                <w:rFonts w:hint="eastAsia" w:ascii="宋体" w:hAnsi="宋体"/>
                <w:bCs/>
                <w:color w:val="auto"/>
                <w:sz w:val="24"/>
                <w:highlight w:val="none"/>
              </w:rPr>
              <w:t>）</w:t>
            </w:r>
            <w:r>
              <w:rPr>
                <w:rFonts w:hint="default"/>
                <w:bCs/>
                <w:color w:val="auto"/>
                <w:sz w:val="24"/>
                <w:highlight w:val="none"/>
              </w:rPr>
              <w:t>对当地动物的影响</w:t>
            </w:r>
          </w:p>
          <w:p w14:paraId="5DEBD2BE">
            <w:pPr>
              <w:keepNext w:val="0"/>
              <w:keepLines w:val="0"/>
              <w:suppressLineNumbers w:val="0"/>
              <w:adjustRightInd w:val="0"/>
              <w:snapToGrid w:val="0"/>
              <w:spacing w:before="0" w:beforeAutospacing="0" w:after="0" w:afterAutospacing="0" w:line="360" w:lineRule="auto"/>
              <w:ind w:left="0" w:right="0" w:firstLine="480"/>
              <w:rPr>
                <w:rFonts w:hint="eastAsia"/>
                <w:bCs/>
                <w:color w:val="auto"/>
                <w:sz w:val="24"/>
                <w:highlight w:val="none"/>
              </w:rPr>
            </w:pPr>
            <w:r>
              <w:rPr>
                <w:rFonts w:hint="eastAsia"/>
                <w:bCs/>
                <w:color w:val="auto"/>
                <w:sz w:val="24"/>
                <w:highlight w:val="none"/>
              </w:rPr>
              <w:t>本项目建设用地区域周边有村庄分布，现状人为活动频繁，原有生境一般，不属于野生动物活动集中的地带。本项目运行后，对动物的影响主要为项目光伏片区占地（主要为</w:t>
            </w:r>
            <w:r>
              <w:rPr>
                <w:rFonts w:hint="eastAsia"/>
                <w:bCs/>
                <w:color w:val="auto"/>
                <w:sz w:val="24"/>
                <w:highlight w:val="none"/>
                <w:lang w:val="en-US" w:eastAsia="zh-CN"/>
              </w:rPr>
              <w:t>其他草地</w:t>
            </w:r>
            <w:r>
              <w:rPr>
                <w:rFonts w:hint="eastAsia"/>
                <w:bCs/>
                <w:color w:val="auto"/>
                <w:sz w:val="24"/>
                <w:highlight w:val="none"/>
              </w:rPr>
              <w:t>和林地），将减少地面动物的活动区域。在这些生境中生活的野生动物种类相对匮乏，以常见的一般鸟类和小型啮齿类动物为主，各种群数量也相对较少，且该类动物普遍对环境的要求不高、</w:t>
            </w:r>
            <w:r>
              <w:rPr>
                <w:rFonts w:hint="eastAsia"/>
                <w:bCs/>
                <w:color w:val="auto"/>
                <w:sz w:val="24"/>
                <w:highlight w:val="none"/>
                <w:lang w:eastAsia="zh-CN"/>
              </w:rPr>
              <w:t>适应</w:t>
            </w:r>
            <w:r>
              <w:rPr>
                <w:rFonts w:hint="eastAsia"/>
                <w:bCs/>
                <w:color w:val="auto"/>
                <w:sz w:val="24"/>
                <w:highlight w:val="none"/>
              </w:rPr>
              <w:t>人居生活。且这些小型啮齿类动物因活动能力较强，受到影响后会远离项目区至其他山体进行觅食；而鸟类具有较强的趋避能力，活动范围广，会飞离项目区迁移到周边新的适宜生境内。根据现场调查情况，项目区周边类似生境分布较广，项目区动物在受到干扰后，一般可迁移到周边适宜的生境内。同时项目在设计时充分考虑了反射光的影响，即太阳能电池板组件产品中采用的晶体硅是经过刻槽处理的，同时加了ZVA材料，最大限度的起到了吸收太阳光的作用，防止反射的同时充分吸收太阳光，即阳光照射后的反光强度大大减弱，对可能通过项目区域上空的鸟类影响</w:t>
            </w:r>
            <w:r>
              <w:rPr>
                <w:rFonts w:hint="eastAsia"/>
                <w:bCs/>
                <w:color w:val="auto"/>
                <w:sz w:val="24"/>
                <w:highlight w:val="none"/>
                <w:lang w:val="en-US" w:eastAsia="zh-CN"/>
              </w:rPr>
              <w:t>小</w:t>
            </w:r>
            <w:r>
              <w:rPr>
                <w:rFonts w:hint="eastAsia"/>
                <w:bCs/>
                <w:color w:val="auto"/>
                <w:sz w:val="24"/>
                <w:highlight w:val="none"/>
              </w:rPr>
              <w:t>。</w:t>
            </w:r>
          </w:p>
          <w:p w14:paraId="297E0B72">
            <w:pPr>
              <w:keepNext w:val="0"/>
              <w:keepLines w:val="0"/>
              <w:suppressLineNumbers w:val="0"/>
              <w:adjustRightInd w:val="0"/>
              <w:snapToGrid w:val="0"/>
              <w:spacing w:before="0" w:beforeAutospacing="0" w:after="0" w:afterAutospacing="0" w:line="360" w:lineRule="auto"/>
              <w:ind w:left="0" w:right="0" w:firstLine="480"/>
              <w:rPr>
                <w:rFonts w:hint="eastAsia" w:ascii="宋体" w:hAnsi="宋体" w:eastAsia="宋体" w:cs="宋体"/>
                <w:i w:val="0"/>
                <w:iCs w:val="0"/>
                <w:caps w:val="0"/>
                <w:color w:val="auto"/>
                <w:spacing w:val="0"/>
                <w:sz w:val="24"/>
                <w:szCs w:val="24"/>
                <w:highlight w:val="none"/>
                <w:shd w:val="clear" w:color="auto" w:fill="FFFFFF"/>
              </w:rPr>
            </w:pPr>
            <w:r>
              <w:rPr>
                <w:rFonts w:hint="eastAsia" w:ascii="宋体" w:hAnsi="宋体" w:eastAsia="宋体" w:cs="宋体"/>
                <w:i w:val="0"/>
                <w:iCs w:val="0"/>
                <w:caps w:val="0"/>
                <w:color w:val="auto"/>
                <w:spacing w:val="0"/>
                <w:sz w:val="24"/>
                <w:szCs w:val="24"/>
                <w:highlight w:val="none"/>
                <w:shd w:val="clear" w:color="auto" w:fill="FFFFFF"/>
              </w:rPr>
              <w:t>本项目建成后，项目区域设置围栏，以及光伏列阵的支架占用部分地面，将减少地面动物的活动区域，但围栏遮挡以及支架使用的面积较小，影响范围小；本项目声源少，噪声值较低，噪声源产生的噪声经光伏组件隔声和距离衰减后，不会对地面上动物的日常迁徙及鸟类正常活动造成影响。</w:t>
            </w:r>
          </w:p>
          <w:p w14:paraId="17596741">
            <w:pPr>
              <w:keepNext w:val="0"/>
              <w:keepLines w:val="0"/>
              <w:suppressLineNumbers w:val="0"/>
              <w:spacing w:before="0" w:beforeAutospacing="0" w:after="0" w:afterAutospacing="0" w:line="360" w:lineRule="auto"/>
              <w:ind w:left="0" w:right="0" w:firstLine="360" w:firstLineChars="150"/>
              <w:rPr>
                <w:rFonts w:hint="eastAsia" w:ascii="宋体" w:hAnsi="宋体" w:cs="宋体"/>
                <w:color w:val="auto"/>
                <w:sz w:val="24"/>
                <w:highlight w:val="none"/>
                <w:shd w:val="clear" w:color="auto" w:fill="FFFFFF"/>
                <w:lang w:val="en-US" w:eastAsia="zh-CN"/>
              </w:rPr>
            </w:pPr>
            <w:r>
              <w:rPr>
                <w:rFonts w:hint="default" w:ascii="Times New Roman" w:hAnsi="Times New Roman" w:eastAsia="宋体" w:cs="Times New Roman"/>
                <w:color w:val="auto"/>
                <w:sz w:val="24"/>
                <w:szCs w:val="24"/>
                <w:lang w:val="en-US" w:eastAsia="zh-CN"/>
              </w:rPr>
              <w:t>根据查阅相关资料和对当地林业部门的走访，项目评价范围内</w:t>
            </w:r>
            <w:r>
              <w:rPr>
                <w:rFonts w:hint="eastAsia" w:cs="Times New Roman"/>
                <w:color w:val="auto"/>
                <w:sz w:val="24"/>
                <w:szCs w:val="24"/>
                <w:lang w:val="en-US" w:eastAsia="zh-CN"/>
              </w:rPr>
              <w:t>不涉及</w:t>
            </w:r>
            <w:r>
              <w:rPr>
                <w:rFonts w:hint="default" w:ascii="Times New Roman" w:hAnsi="Times New Roman" w:cs="Times New Roman"/>
                <w:color w:val="auto"/>
                <w:sz w:val="24"/>
                <w:szCs w:val="24"/>
              </w:rPr>
              <w:t>野生动物重要栖息地，珍稀濒危和极小种群野生植物重要原生境</w:t>
            </w:r>
            <w:r>
              <w:rPr>
                <w:rFonts w:hint="eastAsia" w:ascii="Times New Roman" w:hAnsi="Times New Roman" w:cs="Times New Roman"/>
                <w:color w:val="auto"/>
                <w:sz w:val="24"/>
                <w:szCs w:val="24"/>
                <w:lang w:eastAsia="zh-CN"/>
              </w:rPr>
              <w:t>，</w:t>
            </w:r>
            <w:r>
              <w:rPr>
                <w:rFonts w:hint="eastAsia" w:ascii="宋体" w:hAnsi="宋体" w:cs="宋体"/>
                <w:color w:val="auto"/>
                <w:sz w:val="24"/>
                <w:shd w:val="clear" w:color="auto" w:fill="FFFFFF"/>
                <w:lang w:val="en-US" w:eastAsia="zh-CN"/>
              </w:rPr>
              <w:t>工程区附近栖息的动物种类有限，</w:t>
            </w:r>
            <w:r>
              <w:rPr>
                <w:rFonts w:hint="eastAsia" w:ascii="宋体" w:hAnsi="宋体" w:cs="宋体"/>
                <w:color w:val="auto"/>
                <w:sz w:val="24"/>
                <w:highlight w:val="none"/>
                <w:shd w:val="clear" w:color="auto" w:fill="FFFFFF"/>
                <w:lang w:val="en-US" w:eastAsia="zh-CN"/>
              </w:rPr>
              <w:t>人类生产生活对生态环境干扰比较明显。工程运营期间，应加强对场区的巡视工作，密切关注评价区内的鸟类死亡情况，一旦发现异常应及时与林业主管部门联系，将受伤鸟类交由其妥善处理，</w:t>
            </w:r>
            <w:r>
              <w:rPr>
                <w:rFonts w:hint="default" w:ascii="宋体" w:hAnsi="宋体" w:eastAsia="宋体" w:cs="宋体"/>
                <w:color w:val="auto"/>
                <w:sz w:val="24"/>
                <w:szCs w:val="24"/>
                <w:highlight w:val="none"/>
              </w:rPr>
              <w:t>必要时采取驱赶措施，降低光伏板对鸟类的影响</w:t>
            </w:r>
            <w:r>
              <w:rPr>
                <w:rFonts w:hint="eastAsia" w:ascii="宋体" w:hAnsi="宋体" w:cs="宋体"/>
                <w:color w:val="auto"/>
                <w:sz w:val="24"/>
                <w:highlight w:val="none"/>
                <w:shd w:val="clear" w:color="auto" w:fill="FFFFFF"/>
                <w:lang w:val="en-US" w:eastAsia="zh-CN"/>
              </w:rPr>
              <w:t>。</w:t>
            </w:r>
          </w:p>
          <w:p w14:paraId="69F60D89">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highlight w:val="none"/>
              </w:rPr>
            </w:pPr>
            <w:r>
              <w:rPr>
                <w:rFonts w:hint="eastAsia" w:cs="Times New Roman"/>
                <w:bCs/>
                <w:color w:val="auto"/>
                <w:sz w:val="24"/>
                <w:highlight w:val="none"/>
                <w:lang w:val="en-US" w:eastAsia="zh-CN"/>
              </w:rPr>
              <w:t>3</w:t>
            </w:r>
            <w:r>
              <w:rPr>
                <w:rFonts w:hint="eastAsia" w:ascii="Times New Roman" w:hAnsi="Times New Roman" w:eastAsia="宋体" w:cs="Times New Roman"/>
                <w:bCs/>
                <w:color w:val="auto"/>
                <w:sz w:val="24"/>
                <w:highlight w:val="none"/>
                <w:lang w:val="en-US" w:eastAsia="zh-CN"/>
              </w:rPr>
              <w:t>）对</w:t>
            </w:r>
            <w:r>
              <w:rPr>
                <w:rFonts w:hint="eastAsia"/>
                <w:bCs/>
                <w:color w:val="auto"/>
                <w:sz w:val="24"/>
                <w:highlight w:val="none"/>
              </w:rPr>
              <w:t>区域景观的影响分析</w:t>
            </w:r>
          </w:p>
          <w:p w14:paraId="1B51C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color w:val="auto"/>
                <w:sz w:val="24"/>
                <w:szCs w:val="24"/>
                <w:highlight w:val="none"/>
              </w:rPr>
              <w:t>项目实施</w:t>
            </w:r>
            <w:r>
              <w:rPr>
                <w:rFonts w:hint="default"/>
                <w:color w:val="auto"/>
                <w:sz w:val="24"/>
                <w:szCs w:val="24"/>
                <w:highlight w:val="none"/>
              </w:rPr>
              <w:t>后，</w:t>
            </w:r>
            <w:r>
              <w:rPr>
                <w:rFonts w:hint="eastAsia"/>
                <w:color w:val="auto"/>
                <w:sz w:val="24"/>
                <w:szCs w:val="24"/>
                <w:highlight w:val="none"/>
              </w:rPr>
              <w:t>将</w:t>
            </w:r>
            <w:r>
              <w:rPr>
                <w:rFonts w:hint="default"/>
                <w:color w:val="auto"/>
                <w:sz w:val="24"/>
                <w:szCs w:val="24"/>
                <w:highlight w:val="none"/>
              </w:rPr>
              <w:t>安装大量的太阳能电池组件，占地面积较大</w:t>
            </w:r>
            <w:r>
              <w:rPr>
                <w:rFonts w:hint="eastAsia"/>
                <w:color w:val="auto"/>
                <w:sz w:val="24"/>
                <w:szCs w:val="24"/>
                <w:highlight w:val="none"/>
              </w:rPr>
              <w:t>，且颜色、样式单一，</w:t>
            </w:r>
            <w:r>
              <w:rPr>
                <w:rFonts w:hint="default"/>
                <w:color w:val="auto"/>
                <w:sz w:val="24"/>
                <w:szCs w:val="24"/>
                <w:highlight w:val="none"/>
              </w:rPr>
              <w:t>改变了原有的生态景观，</w:t>
            </w:r>
            <w:r>
              <w:rPr>
                <w:rFonts w:hint="eastAsia"/>
                <w:color w:val="auto"/>
                <w:sz w:val="24"/>
                <w:szCs w:val="24"/>
                <w:highlight w:val="none"/>
              </w:rPr>
              <w:t>将造成区域视觉景观单一化</w:t>
            </w:r>
            <w:r>
              <w:rPr>
                <w:rFonts w:hint="default"/>
                <w:color w:val="auto"/>
                <w:sz w:val="24"/>
                <w:szCs w:val="24"/>
                <w:highlight w:val="none"/>
              </w:rPr>
              <w:t>。</w:t>
            </w:r>
            <w:r>
              <w:rPr>
                <w:rFonts w:hint="eastAsia"/>
                <w:color w:val="auto"/>
                <w:sz w:val="24"/>
                <w:szCs w:val="24"/>
                <w:highlight w:val="none"/>
              </w:rPr>
              <w:t>本</w:t>
            </w:r>
            <w:r>
              <w:rPr>
                <w:rFonts w:hint="eastAsia"/>
                <w:color w:val="auto"/>
                <w:sz w:val="24"/>
                <w:szCs w:val="24"/>
                <w:highlight w:val="none"/>
                <w:lang w:eastAsia="zh-CN"/>
              </w:rPr>
              <w:t>项目</w:t>
            </w:r>
            <w:r>
              <w:rPr>
                <w:rFonts w:hint="eastAsia"/>
                <w:color w:val="auto"/>
                <w:sz w:val="24"/>
                <w:szCs w:val="24"/>
                <w:highlight w:val="none"/>
              </w:rPr>
              <w:t>在设计</w:t>
            </w:r>
            <w:r>
              <w:rPr>
                <w:rFonts w:hint="default"/>
                <w:color w:val="auto"/>
                <w:sz w:val="24"/>
                <w:szCs w:val="24"/>
                <w:highlight w:val="none"/>
              </w:rPr>
              <w:t>光伏组件的布局</w:t>
            </w:r>
            <w:r>
              <w:rPr>
                <w:rFonts w:hint="eastAsia"/>
                <w:color w:val="auto"/>
                <w:sz w:val="24"/>
                <w:szCs w:val="24"/>
                <w:highlight w:val="none"/>
              </w:rPr>
              <w:t>时，</w:t>
            </w:r>
            <w:r>
              <w:rPr>
                <w:rFonts w:hint="default"/>
                <w:color w:val="auto"/>
                <w:sz w:val="24"/>
                <w:szCs w:val="24"/>
                <w:highlight w:val="none"/>
              </w:rPr>
              <w:t>在满足设计要求的同时，</w:t>
            </w:r>
            <w:r>
              <w:rPr>
                <w:rFonts w:hint="eastAsia"/>
                <w:color w:val="auto"/>
                <w:sz w:val="24"/>
                <w:szCs w:val="24"/>
                <w:highlight w:val="none"/>
              </w:rPr>
              <w:t>将</w:t>
            </w:r>
            <w:r>
              <w:rPr>
                <w:rFonts w:hint="default"/>
                <w:color w:val="auto"/>
                <w:sz w:val="24"/>
                <w:szCs w:val="24"/>
                <w:highlight w:val="none"/>
              </w:rPr>
              <w:t>尽量依山势布置，</w:t>
            </w:r>
            <w:r>
              <w:rPr>
                <w:rFonts w:hint="eastAsia"/>
                <w:color w:val="auto"/>
                <w:sz w:val="24"/>
                <w:szCs w:val="24"/>
                <w:highlight w:val="none"/>
              </w:rPr>
              <w:t>加上太阳能光伏板朝向天空，安装倾角不面向地面，</w:t>
            </w:r>
            <w:r>
              <w:rPr>
                <w:rFonts w:hint="eastAsia"/>
                <w:color w:val="auto"/>
                <w:sz w:val="24"/>
                <w:szCs w:val="24"/>
                <w:highlight w:val="none"/>
                <w:lang w:val="en-US" w:eastAsia="zh-CN"/>
              </w:rPr>
              <w:t>光伏板不会发光</w:t>
            </w:r>
            <w:r>
              <w:rPr>
                <w:rFonts w:hint="eastAsia"/>
                <w:color w:val="auto"/>
                <w:sz w:val="24"/>
                <w:szCs w:val="24"/>
                <w:highlight w:val="none"/>
              </w:rPr>
              <w:t>，</w:t>
            </w:r>
            <w:r>
              <w:rPr>
                <w:rFonts w:hint="eastAsia"/>
                <w:color w:val="auto"/>
                <w:sz w:val="24"/>
                <w:szCs w:val="24"/>
                <w:highlight w:val="none"/>
                <w:lang w:val="en-US" w:eastAsia="zh-CN"/>
              </w:rPr>
              <w:t>且项目</w:t>
            </w:r>
            <w:r>
              <w:rPr>
                <w:rFonts w:hint="eastAsia" w:ascii="Times New Roman" w:hAnsi="Times New Roman" w:eastAsia="宋体" w:cs="Times New Roman"/>
                <w:snapToGrid w:val="0"/>
                <w:color w:val="auto"/>
                <w:kern w:val="0"/>
                <w:sz w:val="24"/>
                <w:szCs w:val="24"/>
                <w:highlight w:val="none"/>
                <w:lang w:val="en-US" w:eastAsia="zh-CN" w:bidi="ar-SA"/>
              </w:rPr>
              <w:t>周边没有风景名胜区和特殊景点，因此，运营期对区域景观影响较小。</w:t>
            </w:r>
          </w:p>
          <w:p w14:paraId="0BB34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snapToGrid w:val="0"/>
                <w:color w:val="auto"/>
                <w:kern w:val="0"/>
                <w:sz w:val="24"/>
                <w:szCs w:val="28"/>
                <w:highlight w:val="none"/>
                <w:lang w:val="en-US" w:eastAsia="zh-CN" w:bidi="ar-SA"/>
              </w:rPr>
            </w:pPr>
            <w:r>
              <w:rPr>
                <w:rFonts w:hint="eastAsia" w:ascii="Times New Roman" w:hAnsi="Times New Roman" w:eastAsia="宋体" w:cs="Times New Roman"/>
                <w:snapToGrid w:val="0"/>
                <w:color w:val="auto"/>
                <w:kern w:val="0"/>
                <w:sz w:val="24"/>
                <w:szCs w:val="28"/>
                <w:highlight w:val="none"/>
                <w:lang w:val="en-US" w:eastAsia="zh-CN" w:bidi="ar-SA"/>
              </w:rPr>
              <w:t>由于本工程位于山区，远离城镇，低海拔处有较多林地，从山脚公路处不易看见光伏板。因此，光伏建设对区域景观影响较小。</w:t>
            </w:r>
          </w:p>
          <w:p w14:paraId="13FF4B8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snapToGrid w:val="0"/>
                <w:color w:val="auto"/>
                <w:kern w:val="0"/>
                <w:sz w:val="24"/>
                <w:szCs w:val="28"/>
                <w:highlight w:val="none"/>
                <w:lang w:val="en-US" w:eastAsia="zh-CN" w:bidi="ar-SA"/>
              </w:rPr>
            </w:pPr>
            <w:r>
              <w:rPr>
                <w:rFonts w:hint="eastAsia" w:cs="Times New Roman"/>
                <w:snapToGrid w:val="0"/>
                <w:color w:val="auto"/>
                <w:kern w:val="0"/>
                <w:sz w:val="24"/>
                <w:szCs w:val="28"/>
                <w:highlight w:val="none"/>
                <w:lang w:val="en-US" w:eastAsia="zh-CN" w:bidi="ar-SA"/>
              </w:rPr>
              <w:t>4）对社会效益的影响分析</w:t>
            </w:r>
          </w:p>
          <w:p w14:paraId="76D9A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光伏电站的建设可以带动当地的经济增长和就业。光伏电站项目的开发和建设，可促进地区相关产业，如建材、交通运输业的大力发展，对扩大就业和发展第三产业将起到显著作用，从而带动和促进地区国民经济的全面发展和社会进步。随着光伏电厂的相继开发、建设和运营，光伏发电将成为地区又一大产业，为地方经济开辟新的增长点，拉动地方经济的发展。</w:t>
            </w:r>
          </w:p>
          <w:p w14:paraId="48F979E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光伏产业的发展让未来世界变得更清洁、更安全，能源利用更丰富。太阳能是一种取之不尽，用之不竭的清洁可再生能源，具有独特的优势和巨大的发展潜力。充分利用太阳能对节能减排、保护环境和地方经济有着重大的意义，同时为全球能源的可持续发展做出贡献。</w:t>
            </w:r>
          </w:p>
          <w:p w14:paraId="0E03308F">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rPr>
              <w:t>2</w:t>
            </w:r>
            <w:r>
              <w:rPr>
                <w:rFonts w:hint="default"/>
                <w:b/>
                <w:color w:val="auto"/>
                <w:sz w:val="24"/>
                <w:highlight w:val="none"/>
                <w:shd w:val="clear" w:color="auto" w:fill="auto"/>
              </w:rPr>
              <w:t>）</w:t>
            </w:r>
            <w:r>
              <w:rPr>
                <w:rFonts w:hint="eastAsia"/>
                <w:b/>
                <w:color w:val="auto"/>
                <w:sz w:val="24"/>
                <w:highlight w:val="none"/>
                <w:shd w:val="clear" w:color="auto" w:fill="auto"/>
              </w:rPr>
              <w:t>废气</w:t>
            </w:r>
          </w:p>
          <w:p w14:paraId="5C15256F">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eastAsia"/>
                <w:color w:val="auto"/>
                <w:sz w:val="24"/>
                <w:highlight w:val="none"/>
                <w:shd w:val="clear" w:color="auto" w:fill="auto"/>
              </w:rPr>
              <w:t>项目发电过程不产生工业废气，产生的废气主要是车辆进入厂区产生的尾气、路边扬尘。</w:t>
            </w:r>
          </w:p>
          <w:p w14:paraId="705DF9AC">
            <w:pPr>
              <w:keepNext w:val="0"/>
              <w:keepLines w:val="0"/>
              <w:widowControl/>
              <w:suppressLineNumbers w:val="0"/>
              <w:shd w:val="clear"/>
              <w:spacing w:before="0" w:beforeAutospacing="0" w:after="0" w:afterAutospacing="0" w:line="360" w:lineRule="auto"/>
              <w:ind w:left="0" w:right="0" w:firstLine="480" w:firstLineChars="200"/>
              <w:jc w:val="left"/>
              <w:rPr>
                <w:rFonts w:hint="eastAsia" w:ascii="宋体" w:hAnsi="宋体" w:cs="宋体"/>
                <w:color w:val="auto"/>
                <w:kern w:val="0"/>
                <w:sz w:val="24"/>
                <w:highlight w:val="none"/>
                <w:shd w:val="clear" w:color="auto" w:fill="auto"/>
                <w:lang w:bidi="ar"/>
              </w:rPr>
            </w:pPr>
            <w:r>
              <w:rPr>
                <w:rFonts w:hint="eastAsia"/>
                <w:color w:val="auto"/>
                <w:sz w:val="24"/>
                <w:highlight w:val="none"/>
                <w:shd w:val="clear" w:color="auto" w:fill="auto"/>
              </w:rPr>
              <w:t>车辆进入</w:t>
            </w:r>
            <w:r>
              <w:rPr>
                <w:rFonts w:hint="eastAsia"/>
                <w:color w:val="auto"/>
                <w:sz w:val="24"/>
                <w:highlight w:val="none"/>
                <w:shd w:val="clear" w:color="auto" w:fill="auto"/>
                <w:lang w:eastAsia="zh-CN"/>
              </w:rPr>
              <w:t>厂区内</w:t>
            </w:r>
            <w:r>
              <w:rPr>
                <w:rFonts w:hint="eastAsia"/>
                <w:color w:val="auto"/>
                <w:sz w:val="24"/>
                <w:highlight w:val="none"/>
                <w:shd w:val="clear" w:color="auto" w:fill="auto"/>
              </w:rPr>
              <w:t>产生的尾气和路边扬尘为无组织间歇性排放，</w:t>
            </w:r>
            <w:r>
              <w:rPr>
                <w:rFonts w:hint="eastAsia" w:ascii="宋体" w:hAnsi="宋体" w:cs="宋体"/>
                <w:color w:val="auto"/>
                <w:kern w:val="0"/>
                <w:sz w:val="24"/>
                <w:highlight w:val="none"/>
                <w:shd w:val="clear" w:color="auto" w:fill="auto"/>
                <w:lang w:bidi="ar"/>
              </w:rPr>
              <w:t>由于项目内车辆排放尾气的时间短，而且国家对汽车尾气排放有严格的规定，加上停车多为自备车辆，车型偏小，因此，汽车尾气不会形成较大的集中污染源，对环境影响较小。</w:t>
            </w:r>
          </w:p>
          <w:p w14:paraId="5E465B2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eastAsia" w:eastAsia="宋体"/>
                <w:color w:val="auto"/>
                <w:highlight w:val="none"/>
                <w:lang w:eastAsia="zh-CN"/>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3</w:t>
            </w:r>
            <w:r>
              <w:rPr>
                <w:rFonts w:hint="default"/>
                <w:b/>
                <w:color w:val="auto"/>
                <w:sz w:val="24"/>
                <w:highlight w:val="none"/>
                <w:shd w:val="clear" w:color="auto" w:fill="auto"/>
              </w:rPr>
              <w:t>）</w:t>
            </w:r>
            <w:r>
              <w:rPr>
                <w:rFonts w:hint="eastAsia"/>
                <w:b/>
                <w:color w:val="auto"/>
                <w:sz w:val="24"/>
                <w:highlight w:val="none"/>
                <w:shd w:val="clear" w:color="auto" w:fill="auto"/>
              </w:rPr>
              <w:t>废</w:t>
            </w:r>
            <w:r>
              <w:rPr>
                <w:rFonts w:hint="eastAsia"/>
                <w:b/>
                <w:color w:val="auto"/>
                <w:sz w:val="24"/>
                <w:highlight w:val="none"/>
                <w:shd w:val="clear" w:color="auto" w:fill="auto"/>
                <w:lang w:eastAsia="zh-CN"/>
              </w:rPr>
              <w:t>水</w:t>
            </w:r>
          </w:p>
          <w:p w14:paraId="07DAC954">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项目运营期</w:t>
            </w:r>
            <w:r>
              <w:rPr>
                <w:rFonts w:hint="eastAsia"/>
                <w:color w:val="auto"/>
                <w:sz w:val="24"/>
                <w:highlight w:val="none"/>
                <w:lang w:val="en-US" w:eastAsia="zh-CN"/>
              </w:rPr>
              <w:t>依托</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ascii="Times New Roman" w:hAnsi="Times New Roman" w:eastAsia="宋体" w:cs="Times New Roman"/>
                <w:color w:val="auto"/>
                <w:sz w:val="24"/>
                <w:szCs w:val="24"/>
                <w:highlight w:val="none"/>
                <w:shd w:val="clear" w:color="auto" w:fill="auto"/>
                <w:lang w:val="en-US" w:eastAsia="zh-CN"/>
              </w:rPr>
              <w:t>人员进行管理，</w:t>
            </w:r>
            <w:r>
              <w:rPr>
                <w:rFonts w:hint="eastAsia"/>
                <w:color w:val="auto"/>
                <w:sz w:val="24"/>
                <w:highlight w:val="none"/>
                <w:lang w:val="en-US" w:eastAsia="zh-CN"/>
              </w:rPr>
              <w:t>未新增劳动定员。</w:t>
            </w:r>
            <w:r>
              <w:rPr>
                <w:rFonts w:hint="default"/>
                <w:color w:val="auto"/>
                <w:sz w:val="24"/>
                <w:highlight w:val="none"/>
              </w:rPr>
              <w:t>废水主要是少量的</w:t>
            </w:r>
            <w:r>
              <w:rPr>
                <w:rFonts w:hint="eastAsia"/>
                <w:bCs/>
                <w:color w:val="auto"/>
                <w:sz w:val="24"/>
                <w:highlight w:val="none"/>
                <w:lang w:val="en-US" w:eastAsia="zh-CN"/>
              </w:rPr>
              <w:t>太阳能</w:t>
            </w:r>
            <w:r>
              <w:rPr>
                <w:rFonts w:hint="default"/>
                <w:color w:val="auto"/>
                <w:sz w:val="24"/>
                <w:highlight w:val="none"/>
              </w:rPr>
              <w:t>电池板清</w:t>
            </w:r>
            <w:r>
              <w:rPr>
                <w:rFonts w:hint="eastAsia"/>
                <w:color w:val="auto"/>
                <w:sz w:val="24"/>
                <w:highlight w:val="none"/>
                <w:lang w:val="en-US" w:eastAsia="zh-CN"/>
              </w:rPr>
              <w:t>洁</w:t>
            </w:r>
            <w:r>
              <w:rPr>
                <w:rFonts w:hint="default"/>
                <w:color w:val="auto"/>
                <w:sz w:val="24"/>
                <w:highlight w:val="none"/>
              </w:rPr>
              <w:t>废水</w:t>
            </w:r>
            <w:r>
              <w:rPr>
                <w:rFonts w:hint="eastAsia"/>
                <w:color w:val="auto"/>
                <w:sz w:val="24"/>
                <w:highlight w:val="none"/>
                <w:lang w:eastAsia="zh-CN"/>
              </w:rPr>
              <w:t>，</w:t>
            </w:r>
            <w:r>
              <w:rPr>
                <w:rFonts w:hint="eastAsia"/>
                <w:bCs/>
                <w:color w:val="auto"/>
                <w:sz w:val="24"/>
                <w:highlight w:val="none"/>
                <w:lang w:val="en-US" w:eastAsia="zh-CN"/>
              </w:rPr>
              <w:t>太阳能</w:t>
            </w:r>
            <w:r>
              <w:rPr>
                <w:rFonts w:hint="default"/>
                <w:color w:val="auto"/>
                <w:sz w:val="24"/>
                <w:highlight w:val="none"/>
              </w:rPr>
              <w:t>电池板安装均为螺栓固定式，各逆变器</w:t>
            </w:r>
            <w:r>
              <w:rPr>
                <w:rFonts w:hint="eastAsia"/>
                <w:color w:val="auto"/>
                <w:sz w:val="24"/>
                <w:highlight w:val="none"/>
                <w:lang w:eastAsia="zh-CN"/>
              </w:rPr>
              <w:t>电气设备</w:t>
            </w:r>
            <w:r>
              <w:rPr>
                <w:rFonts w:hint="default"/>
                <w:color w:val="auto"/>
                <w:sz w:val="24"/>
                <w:highlight w:val="none"/>
              </w:rPr>
              <w:t>在维修时，不会产生维修废水。</w:t>
            </w:r>
          </w:p>
          <w:p w14:paraId="24A420E9">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太阳</w:t>
            </w:r>
            <w:r>
              <w:rPr>
                <w:rFonts w:hint="eastAsia"/>
                <w:color w:val="auto"/>
                <w:sz w:val="24"/>
                <w:highlight w:val="none"/>
                <w:lang w:val="en-US" w:eastAsia="zh-CN"/>
              </w:rPr>
              <w:t>能</w:t>
            </w:r>
            <w:r>
              <w:rPr>
                <w:rFonts w:hint="default"/>
                <w:color w:val="auto"/>
                <w:sz w:val="24"/>
                <w:highlight w:val="none"/>
              </w:rPr>
              <w:t>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eastAsia"/>
                <w:color w:val="auto"/>
                <w:sz w:val="24"/>
                <w:highlight w:val="none"/>
              </w:rPr>
              <w:t>为保证太阳能电池的发电效率，电站运行期间平均</w:t>
            </w:r>
            <w:r>
              <w:rPr>
                <w:rFonts w:hint="eastAsia"/>
                <w:color w:val="auto"/>
                <w:sz w:val="24"/>
                <w:highlight w:val="none"/>
                <w:lang w:val="en-US" w:eastAsia="zh-CN"/>
              </w:rPr>
              <w:t>每半年</w:t>
            </w:r>
            <w:r>
              <w:rPr>
                <w:rFonts w:hint="eastAsia"/>
                <w:color w:val="auto"/>
                <w:sz w:val="24"/>
                <w:highlight w:val="none"/>
              </w:rPr>
              <w:t>对组件进行一次清</w:t>
            </w:r>
            <w:r>
              <w:rPr>
                <w:rFonts w:hint="eastAsia"/>
                <w:color w:val="auto"/>
                <w:sz w:val="24"/>
                <w:highlight w:val="none"/>
                <w:lang w:val="en-US" w:eastAsia="zh-CN"/>
              </w:rPr>
              <w:t>洁</w:t>
            </w:r>
            <w:r>
              <w:rPr>
                <w:rFonts w:hint="eastAsia"/>
                <w:color w:val="auto"/>
                <w:sz w:val="24"/>
                <w:highlight w:val="none"/>
              </w:rPr>
              <w:t>。清</w:t>
            </w:r>
            <w:r>
              <w:rPr>
                <w:rFonts w:hint="eastAsia"/>
                <w:color w:val="auto"/>
                <w:sz w:val="24"/>
                <w:highlight w:val="none"/>
                <w:lang w:val="en-US" w:eastAsia="zh-CN"/>
              </w:rPr>
              <w:t>洁</w:t>
            </w:r>
            <w:r>
              <w:rPr>
                <w:rFonts w:hint="eastAsia"/>
                <w:color w:val="auto"/>
                <w:sz w:val="24"/>
                <w:highlight w:val="none"/>
              </w:rPr>
              <w:t>用水采用</w:t>
            </w:r>
            <w:r>
              <w:rPr>
                <w:rFonts w:hint="eastAsia" w:ascii="Times New Roman" w:hAnsi="Times New Roman" w:eastAsia="宋体" w:cs="Times New Roman"/>
                <w:color w:val="auto"/>
                <w:kern w:val="0"/>
                <w:sz w:val="24"/>
                <w:szCs w:val="24"/>
                <w:highlight w:val="none"/>
                <w:lang w:eastAsia="zh-CN"/>
              </w:rPr>
              <w:t>运水车运送至各电池组件处</w:t>
            </w:r>
            <w:r>
              <w:rPr>
                <w:rFonts w:hint="eastAsia"/>
                <w:color w:val="auto"/>
                <w:sz w:val="24"/>
                <w:highlight w:val="none"/>
              </w:rPr>
              <w:t>。</w:t>
            </w:r>
          </w:p>
          <w:p w14:paraId="68B03DD1">
            <w:pPr>
              <w:keepNext w:val="0"/>
              <w:keepLines w:val="0"/>
              <w:suppressLineNumbers w:val="0"/>
              <w:spacing w:before="0" w:beforeAutospacing="0" w:after="0" w:afterAutospacing="0" w:line="360" w:lineRule="auto"/>
              <w:ind w:left="0" w:right="0" w:firstLine="480"/>
              <w:rPr>
                <w:rFonts w:hint="default"/>
                <w:color w:val="auto"/>
                <w:sz w:val="24"/>
                <w:szCs w:val="24"/>
                <w:highlight w:val="none"/>
              </w:rPr>
            </w:pPr>
            <w:r>
              <w:rPr>
                <w:rFonts w:hint="eastAsia"/>
                <w:color w:val="auto"/>
                <w:sz w:val="24"/>
                <w:szCs w:val="24"/>
                <w:highlight w:val="none"/>
              </w:rPr>
              <w:t>本项目共有太阳能电池组件</w:t>
            </w:r>
            <w:r>
              <w:rPr>
                <w:rFonts w:hint="eastAsia"/>
                <w:color w:val="auto"/>
                <w:sz w:val="24"/>
                <w:szCs w:val="24"/>
                <w:highlight w:val="none"/>
                <w:lang w:val="en-US" w:eastAsia="zh-CN"/>
              </w:rPr>
              <w:t>108888</w:t>
            </w:r>
            <w:r>
              <w:rPr>
                <w:rFonts w:hint="eastAsia"/>
                <w:color w:val="auto"/>
                <w:sz w:val="24"/>
                <w:szCs w:val="24"/>
                <w:highlight w:val="none"/>
              </w:rPr>
              <w:t>块，组件尺寸为</w:t>
            </w:r>
            <w:r>
              <w:rPr>
                <w:rFonts w:hint="eastAsia" w:ascii="Times New Roman" w:hAnsi="Times New Roman" w:eastAsia="宋体" w:cs="Times New Roman"/>
                <w:color w:val="auto"/>
                <w:kern w:val="2"/>
                <w:sz w:val="24"/>
                <w:szCs w:val="24"/>
                <w:highlight w:val="none"/>
                <w:lang w:val="en-US" w:eastAsia="zh-CN" w:bidi="ar-SA"/>
              </w:rPr>
              <w:t>2</w:t>
            </w:r>
            <w:r>
              <w:rPr>
                <w:rFonts w:hint="eastAsia" w:cs="Times New Roman"/>
                <w:color w:val="auto"/>
                <w:kern w:val="2"/>
                <w:sz w:val="24"/>
                <w:szCs w:val="24"/>
                <w:highlight w:val="none"/>
                <w:lang w:val="en-US" w:eastAsia="zh-CN" w:bidi="ar-SA"/>
              </w:rPr>
              <w:t>278</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1134</w:t>
            </w:r>
            <w:r>
              <w:rPr>
                <w:rFonts w:hint="eastAsia" w:ascii="Times New Roman" w:hAnsi="Times New Roman" w:eastAsia="宋体" w:cs="Times New Roman"/>
                <w:color w:val="auto"/>
                <w:kern w:val="2"/>
                <w:sz w:val="24"/>
                <w:szCs w:val="24"/>
                <w:highlight w:val="none"/>
                <w:lang w:val="en-US" w:eastAsia="zh-CN" w:bidi="ar-SA"/>
              </w:rPr>
              <w:t>×3</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mm</w:t>
            </w:r>
            <w:r>
              <w:rPr>
                <w:rFonts w:hint="eastAsia"/>
                <w:color w:val="auto"/>
                <w:sz w:val="24"/>
                <w:szCs w:val="24"/>
                <w:highlight w:val="none"/>
              </w:rPr>
              <w:t>即每块组件面积为</w:t>
            </w:r>
            <w:r>
              <w:rPr>
                <w:rFonts w:hint="eastAsia"/>
                <w:color w:val="auto"/>
                <w:sz w:val="24"/>
                <w:szCs w:val="24"/>
                <w:highlight w:val="none"/>
                <w:lang w:val="en-US" w:eastAsia="zh-CN"/>
              </w:rPr>
              <w:t>2.583</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。组件清</w:t>
            </w:r>
            <w:r>
              <w:rPr>
                <w:rFonts w:hint="eastAsia"/>
                <w:color w:val="auto"/>
                <w:sz w:val="24"/>
                <w:szCs w:val="24"/>
                <w:highlight w:val="none"/>
                <w:lang w:val="en-US" w:eastAsia="zh-CN"/>
              </w:rPr>
              <w:t>洁</w:t>
            </w:r>
            <w:r>
              <w:rPr>
                <w:rFonts w:hint="eastAsia"/>
                <w:color w:val="auto"/>
                <w:sz w:val="24"/>
                <w:szCs w:val="24"/>
                <w:highlight w:val="none"/>
              </w:rPr>
              <w:t>用水量以经验数据</w:t>
            </w:r>
            <w:r>
              <w:rPr>
                <w:rFonts w:hint="eastAsia"/>
                <w:color w:val="auto"/>
                <w:sz w:val="24"/>
                <w:szCs w:val="24"/>
                <w:highlight w:val="none"/>
                <w:lang w:val="en-US" w:eastAsia="zh-CN"/>
              </w:rPr>
              <w:t>0.5</w:t>
            </w:r>
            <w:r>
              <w:rPr>
                <w:rFonts w:hint="eastAsia"/>
                <w:color w:val="auto"/>
                <w:sz w:val="24"/>
                <w:szCs w:val="24"/>
                <w:highlight w:val="none"/>
              </w:rPr>
              <w:t>L/</w:t>
            </w:r>
            <w:r>
              <w:rPr>
                <w:rFonts w:hint="eastAsia"/>
                <w:color w:val="auto"/>
                <w:sz w:val="24"/>
                <w:szCs w:val="24"/>
                <w:highlight w:val="none"/>
                <w:lang w:eastAsia="zh-CN"/>
              </w:rPr>
              <w:t>（</w:t>
            </w:r>
            <w:r>
              <w:rPr>
                <w:rFonts w:hint="eastAsia"/>
                <w:color w:val="auto"/>
                <w:sz w:val="24"/>
                <w:szCs w:val="24"/>
                <w:highlight w:val="none"/>
              </w:rPr>
              <w:t>m</w:t>
            </w:r>
            <w:r>
              <w:rPr>
                <w:rFonts w:hint="eastAsia"/>
                <w:color w:val="auto"/>
                <w:sz w:val="24"/>
                <w:szCs w:val="24"/>
                <w:highlight w:val="none"/>
                <w:vertAlign w:val="superscript"/>
              </w:rPr>
              <w:t>2</w:t>
            </w:r>
            <w:r>
              <w:rPr>
                <w:rFonts w:hint="eastAsia"/>
                <w:color w:val="auto"/>
                <w:sz w:val="24"/>
                <w:szCs w:val="24"/>
                <w:highlight w:val="none"/>
              </w:rPr>
              <w:t>·次</w:t>
            </w:r>
            <w:r>
              <w:rPr>
                <w:rFonts w:hint="eastAsia"/>
                <w:color w:val="auto"/>
                <w:sz w:val="24"/>
                <w:szCs w:val="24"/>
                <w:highlight w:val="none"/>
                <w:lang w:eastAsia="zh-CN"/>
              </w:rPr>
              <w:t>）</w:t>
            </w:r>
            <w:r>
              <w:rPr>
                <w:rFonts w:hint="eastAsia"/>
                <w:color w:val="auto"/>
                <w:sz w:val="24"/>
                <w:szCs w:val="24"/>
                <w:highlight w:val="none"/>
              </w:rPr>
              <w:t>计，则每块电池组件清</w:t>
            </w:r>
            <w:r>
              <w:rPr>
                <w:rFonts w:hint="eastAsia"/>
                <w:color w:val="auto"/>
                <w:sz w:val="24"/>
                <w:highlight w:val="none"/>
                <w:lang w:val="en-US" w:eastAsia="zh-CN"/>
              </w:rPr>
              <w:t>洁</w:t>
            </w:r>
            <w:r>
              <w:rPr>
                <w:rFonts w:hint="eastAsia"/>
                <w:color w:val="auto"/>
                <w:sz w:val="24"/>
                <w:szCs w:val="24"/>
                <w:highlight w:val="none"/>
              </w:rPr>
              <w:t>用水量约</w:t>
            </w:r>
            <w:r>
              <w:rPr>
                <w:rFonts w:hint="eastAsia"/>
                <w:color w:val="auto"/>
                <w:sz w:val="24"/>
                <w:szCs w:val="24"/>
                <w:highlight w:val="none"/>
                <w:lang w:val="en-US" w:eastAsia="zh-CN"/>
              </w:rPr>
              <w:t>1.29</w:t>
            </w:r>
            <w:r>
              <w:rPr>
                <w:rFonts w:hint="eastAsia"/>
                <w:color w:val="auto"/>
                <w:sz w:val="24"/>
                <w:szCs w:val="24"/>
                <w:highlight w:val="none"/>
              </w:rPr>
              <w:t>L/次，全场所有电池组件</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一次总用水量约为</w:t>
            </w:r>
            <w:r>
              <w:rPr>
                <w:rFonts w:hint="eastAsia"/>
                <w:color w:val="auto"/>
                <w:sz w:val="24"/>
                <w:szCs w:val="24"/>
                <w:highlight w:val="none"/>
                <w:lang w:val="en-US" w:eastAsia="zh-CN"/>
              </w:rPr>
              <w:t>140.465</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，年</w:t>
            </w:r>
            <w:r>
              <w:rPr>
                <w:rFonts w:hint="eastAsia"/>
                <w:color w:val="auto"/>
                <w:sz w:val="24"/>
                <w:highlight w:val="none"/>
              </w:rPr>
              <w:t>清</w:t>
            </w:r>
            <w:r>
              <w:rPr>
                <w:rFonts w:hint="eastAsia"/>
                <w:color w:val="auto"/>
                <w:sz w:val="24"/>
                <w:highlight w:val="none"/>
                <w:lang w:val="en-US" w:eastAsia="zh-CN"/>
              </w:rPr>
              <w:t>洁</w:t>
            </w:r>
            <w:r>
              <w:rPr>
                <w:rFonts w:hint="eastAsia"/>
                <w:color w:val="auto"/>
                <w:sz w:val="24"/>
                <w:szCs w:val="24"/>
                <w:highlight w:val="none"/>
              </w:rPr>
              <w:t>用水量</w:t>
            </w:r>
            <w:r>
              <w:rPr>
                <w:rFonts w:hint="eastAsia"/>
                <w:color w:val="auto"/>
                <w:sz w:val="24"/>
                <w:szCs w:val="24"/>
                <w:highlight w:val="none"/>
                <w:lang w:val="en-US" w:eastAsia="zh-CN"/>
              </w:rPr>
              <w:t>280.93</w:t>
            </w:r>
            <w:r>
              <w:rPr>
                <w:rFonts w:hint="eastAsia"/>
                <w:color w:val="auto"/>
                <w:sz w:val="24"/>
                <w:szCs w:val="24"/>
                <w:highlight w:val="none"/>
              </w:rPr>
              <w:t>m</w:t>
            </w:r>
            <w:r>
              <w:rPr>
                <w:rFonts w:hint="eastAsia"/>
                <w:color w:val="auto"/>
                <w:sz w:val="24"/>
                <w:szCs w:val="24"/>
                <w:highlight w:val="none"/>
                <w:vertAlign w:val="superscript"/>
                <w:lang w:val="en-US" w:eastAsia="zh-CN"/>
              </w:rPr>
              <w:t>3</w:t>
            </w:r>
            <w:r>
              <w:rPr>
                <w:rFonts w:hint="eastAsia"/>
                <w:color w:val="auto"/>
                <w:sz w:val="24"/>
                <w:szCs w:val="24"/>
                <w:highlight w:val="none"/>
              </w:rPr>
              <w:t>/a。</w:t>
            </w:r>
          </w:p>
          <w:p w14:paraId="2C0A0DCA">
            <w:pPr>
              <w:keepNext w:val="0"/>
              <w:keepLines w:val="0"/>
              <w:suppressLineNumbers w:val="0"/>
              <w:spacing w:before="0" w:beforeAutospacing="0" w:after="0" w:afterAutospacing="0" w:line="360" w:lineRule="auto"/>
              <w:ind w:left="0" w:right="0" w:firstLine="480"/>
              <w:rPr>
                <w:rFonts w:hint="eastAsia"/>
                <w:color w:val="auto"/>
                <w:sz w:val="24"/>
                <w:szCs w:val="24"/>
                <w:highlight w:val="none"/>
                <w:shd w:val="clear" w:color="auto" w:fill="auto"/>
              </w:rPr>
            </w:pPr>
            <w:r>
              <w:rPr>
                <w:rFonts w:hint="eastAsia"/>
                <w:color w:val="auto"/>
                <w:sz w:val="24"/>
                <w:highlight w:val="none"/>
              </w:rPr>
              <w:t>组件清</w:t>
            </w:r>
            <w:r>
              <w:rPr>
                <w:rFonts w:hint="eastAsia"/>
                <w:color w:val="auto"/>
                <w:sz w:val="24"/>
                <w:highlight w:val="none"/>
                <w:lang w:val="en-US" w:eastAsia="zh-CN"/>
              </w:rPr>
              <w:t>洁</w:t>
            </w:r>
            <w:r>
              <w:rPr>
                <w:rFonts w:hint="eastAsia"/>
                <w:color w:val="auto"/>
                <w:sz w:val="24"/>
                <w:highlight w:val="none"/>
              </w:rPr>
              <w:t>过程中，部分水分蒸发进入大气，废水产生系数按0.9计，则废水产生量约为</w:t>
            </w:r>
            <w:r>
              <w:rPr>
                <w:rFonts w:hint="eastAsia"/>
                <w:color w:val="auto"/>
                <w:sz w:val="24"/>
                <w:highlight w:val="none"/>
                <w:lang w:val="en-US" w:eastAsia="zh-CN"/>
              </w:rPr>
              <w:t>126.42</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/次，</w:t>
            </w:r>
            <w:r>
              <w:rPr>
                <w:rFonts w:hint="eastAsia"/>
                <w:color w:val="auto"/>
                <w:sz w:val="24"/>
                <w:highlight w:val="none"/>
                <w:lang w:val="en-US" w:eastAsia="zh-CN"/>
              </w:rPr>
              <w:t>252.84</w:t>
            </w:r>
            <w:r>
              <w:rPr>
                <w:rFonts w:hint="eastAsia"/>
                <w:color w:val="auto"/>
                <w:sz w:val="24"/>
                <w:highlight w:val="none"/>
              </w:rPr>
              <w:t>m</w:t>
            </w:r>
            <w:r>
              <w:rPr>
                <w:rFonts w:hint="eastAsia"/>
                <w:color w:val="auto"/>
                <w:sz w:val="24"/>
                <w:highlight w:val="none"/>
                <w:vertAlign w:val="superscript"/>
                <w:lang w:val="en-US" w:eastAsia="zh-CN"/>
              </w:rPr>
              <w:t>3</w:t>
            </w:r>
            <w:r>
              <w:rPr>
                <w:rFonts w:hint="eastAsia"/>
                <w:color w:val="auto"/>
                <w:sz w:val="24"/>
                <w:highlight w:val="none"/>
              </w:rPr>
              <w:t>/a。产生的废水顺电池组件倾斜角度直接淋洒于下方林草植被上，用于植被生长。从水质情况看，由于组件清</w:t>
            </w:r>
            <w:r>
              <w:rPr>
                <w:rFonts w:hint="eastAsia"/>
                <w:color w:val="auto"/>
                <w:sz w:val="24"/>
                <w:highlight w:val="none"/>
                <w:lang w:val="en-US" w:eastAsia="zh-CN"/>
              </w:rPr>
              <w:t>洁</w:t>
            </w:r>
            <w:r>
              <w:rPr>
                <w:rFonts w:hint="eastAsia"/>
                <w:color w:val="auto"/>
                <w:sz w:val="24"/>
                <w:highlight w:val="none"/>
              </w:rPr>
              <w:t>过程中不添加清</w:t>
            </w:r>
            <w:r>
              <w:rPr>
                <w:rFonts w:hint="eastAsia"/>
                <w:color w:val="auto"/>
                <w:sz w:val="24"/>
                <w:highlight w:val="none"/>
                <w:lang w:val="en-US" w:eastAsia="zh-CN"/>
              </w:rPr>
              <w:t>洁</w:t>
            </w:r>
            <w:r>
              <w:rPr>
                <w:rFonts w:hint="eastAsia"/>
                <w:color w:val="auto"/>
                <w:sz w:val="24"/>
                <w:highlight w:val="none"/>
              </w:rPr>
              <w:t>剂，产生的废水无特殊污染物，主要为SS，用于植被浇洒不会对植物生长造成不良影响。从废水产生量的角度，由于组件</w:t>
            </w:r>
            <w:r>
              <w:rPr>
                <w:rFonts w:hint="default"/>
                <w:color w:val="auto"/>
                <w:sz w:val="24"/>
                <w:highlight w:val="none"/>
              </w:rPr>
              <w:t>清</w:t>
            </w:r>
            <w:r>
              <w:rPr>
                <w:rFonts w:hint="eastAsia"/>
                <w:color w:val="auto"/>
                <w:sz w:val="24"/>
                <w:highlight w:val="none"/>
                <w:lang w:val="en-US" w:eastAsia="zh-CN"/>
              </w:rPr>
              <w:t>洁</w:t>
            </w:r>
            <w:r>
              <w:rPr>
                <w:rFonts w:hint="eastAsia"/>
                <w:color w:val="auto"/>
                <w:sz w:val="24"/>
                <w:highlight w:val="none"/>
              </w:rPr>
              <w:t>废水是分散产生的，每平方米组件清</w:t>
            </w:r>
            <w:r>
              <w:rPr>
                <w:rFonts w:hint="eastAsia"/>
                <w:color w:val="auto"/>
                <w:sz w:val="24"/>
                <w:highlight w:val="none"/>
                <w:lang w:val="en-US" w:eastAsia="zh-CN"/>
              </w:rPr>
              <w:t>洁</w:t>
            </w:r>
            <w:r>
              <w:rPr>
                <w:rFonts w:hint="eastAsia"/>
                <w:color w:val="auto"/>
                <w:sz w:val="24"/>
                <w:highlight w:val="none"/>
              </w:rPr>
              <w:t>用水量仅</w:t>
            </w:r>
            <w:r>
              <w:rPr>
                <w:rFonts w:hint="eastAsia"/>
                <w:color w:val="auto"/>
                <w:sz w:val="24"/>
                <w:highlight w:val="none"/>
                <w:lang w:val="en-US" w:eastAsia="zh-CN"/>
              </w:rPr>
              <w:t>0.5</w:t>
            </w:r>
            <w:r>
              <w:rPr>
                <w:rFonts w:hint="eastAsia"/>
                <w:color w:val="auto"/>
                <w:sz w:val="24"/>
                <w:highlight w:val="none"/>
              </w:rPr>
              <w:t>L/次，而参照《云南省地方标准用水定额》</w:t>
            </w:r>
            <w:r>
              <w:rPr>
                <w:rFonts w:hint="eastAsia"/>
                <w:color w:val="auto"/>
                <w:sz w:val="24"/>
                <w:highlight w:val="none"/>
                <w:lang w:eastAsia="zh-CN"/>
              </w:rPr>
              <w:t>（</w:t>
            </w:r>
            <w:r>
              <w:rPr>
                <w:rFonts w:hint="eastAsia"/>
                <w:color w:val="auto"/>
                <w:sz w:val="24"/>
                <w:highlight w:val="none"/>
              </w:rPr>
              <w:t>DB53/T168-2019</w:t>
            </w:r>
            <w:r>
              <w:rPr>
                <w:rFonts w:hint="eastAsia"/>
                <w:color w:val="auto"/>
                <w:sz w:val="24"/>
                <w:highlight w:val="none"/>
                <w:lang w:eastAsia="zh-CN"/>
              </w:rPr>
              <w:t>）</w:t>
            </w:r>
            <w:r>
              <w:rPr>
                <w:rFonts w:hint="eastAsia"/>
                <w:color w:val="auto"/>
                <w:sz w:val="24"/>
                <w:highlight w:val="none"/>
              </w:rPr>
              <w:t>，绿化灌溉用水量定额为3</w:t>
            </w:r>
            <w:r>
              <w:rPr>
                <w:rFonts w:hint="default"/>
                <w:bCs/>
                <w:color w:val="auto"/>
                <w:sz w:val="24"/>
                <w:highlight w:val="none"/>
              </w:rPr>
              <w:t>L/</w:t>
            </w:r>
            <w:r>
              <w:rPr>
                <w:rFonts w:hint="eastAsia"/>
                <w:color w:val="auto"/>
                <w:sz w:val="24"/>
                <w:highlight w:val="none"/>
                <w:lang w:eastAsia="zh-CN"/>
              </w:rPr>
              <w:t>（</w:t>
            </w:r>
            <w:r>
              <w:rPr>
                <w:rFonts w:hint="default"/>
                <w:bCs/>
                <w:color w:val="auto"/>
                <w:sz w:val="24"/>
                <w:highlight w:val="none"/>
              </w:rPr>
              <w:t>m</w:t>
            </w:r>
            <w:r>
              <w:rPr>
                <w:rFonts w:hint="default"/>
                <w:bCs/>
                <w:color w:val="auto"/>
                <w:sz w:val="24"/>
                <w:highlight w:val="none"/>
                <w:vertAlign w:val="superscript"/>
              </w:rPr>
              <w:t>2</w:t>
            </w:r>
            <w:r>
              <w:rPr>
                <w:rFonts w:hint="default"/>
                <w:bCs/>
                <w:color w:val="auto"/>
                <w:sz w:val="24"/>
                <w:highlight w:val="none"/>
              </w:rPr>
              <w:t>·次</w:t>
            </w:r>
            <w:r>
              <w:rPr>
                <w:rFonts w:hint="eastAsia"/>
                <w:color w:val="auto"/>
                <w:sz w:val="24"/>
                <w:highlight w:val="none"/>
                <w:lang w:eastAsia="zh-CN"/>
              </w:rPr>
              <w:t>）</w:t>
            </w:r>
            <w:r>
              <w:rPr>
                <w:rFonts w:hint="eastAsia"/>
                <w:color w:val="auto"/>
                <w:sz w:val="24"/>
                <w:highlight w:val="none"/>
              </w:rPr>
              <w:t>，光伏组件清</w:t>
            </w:r>
            <w:r>
              <w:rPr>
                <w:rFonts w:hint="eastAsia"/>
                <w:color w:val="auto"/>
                <w:sz w:val="24"/>
                <w:highlight w:val="none"/>
                <w:lang w:val="en-US" w:eastAsia="zh-CN"/>
              </w:rPr>
              <w:t>洁</w:t>
            </w:r>
            <w:r>
              <w:rPr>
                <w:rFonts w:hint="eastAsia"/>
                <w:color w:val="auto"/>
                <w:sz w:val="24"/>
                <w:highlight w:val="none"/>
              </w:rPr>
              <w:t>仅在非雨天进行，故清</w:t>
            </w:r>
            <w:r>
              <w:rPr>
                <w:rFonts w:hint="eastAsia"/>
                <w:color w:val="auto"/>
                <w:sz w:val="24"/>
                <w:highlight w:val="none"/>
                <w:lang w:val="en-US" w:eastAsia="zh-CN"/>
              </w:rPr>
              <w:t>洁</w:t>
            </w:r>
            <w:r>
              <w:rPr>
                <w:rFonts w:hint="eastAsia"/>
                <w:color w:val="auto"/>
                <w:sz w:val="24"/>
                <w:highlight w:val="none"/>
              </w:rPr>
              <w:t>水淋于下方林草植被上，被植物吸收，不会在地面形成径流，对外环境影响很小。</w:t>
            </w:r>
          </w:p>
          <w:p w14:paraId="0FAB10E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（4）对地表水环境的影响分析</w:t>
            </w:r>
          </w:p>
          <w:p w14:paraId="6E593E5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项目用地涉及</w:t>
            </w:r>
            <w:r>
              <w:rPr>
                <w:rFonts w:hint="eastAsia" w:cs="Times New Roman"/>
                <w:color w:val="auto"/>
                <w:kern w:val="0"/>
                <w:sz w:val="24"/>
                <w:szCs w:val="24"/>
                <w:highlight w:val="none"/>
                <w:lang w:val="en-US" w:eastAsia="zh-CN" w:bidi="ar-SA"/>
              </w:rPr>
              <w:t>长地</w:t>
            </w:r>
            <w:r>
              <w:rPr>
                <w:rFonts w:hint="eastAsia" w:ascii="Times New Roman" w:hAnsi="Times New Roman" w:eastAsia="宋体" w:cs="Times New Roman"/>
                <w:color w:val="auto"/>
                <w:kern w:val="0"/>
                <w:sz w:val="24"/>
                <w:szCs w:val="24"/>
                <w:highlight w:val="none"/>
                <w:lang w:val="en-US" w:eastAsia="zh-CN" w:bidi="ar-SA"/>
              </w:rPr>
              <w:t>沟</w:t>
            </w:r>
            <w:r>
              <w:rPr>
                <w:rFonts w:hint="eastAsia" w:cs="Times New Roman"/>
                <w:color w:val="auto"/>
                <w:kern w:val="0"/>
                <w:sz w:val="24"/>
                <w:szCs w:val="24"/>
                <w:highlight w:val="none"/>
                <w:lang w:val="en-US" w:eastAsia="zh-CN" w:bidi="ar-SA"/>
              </w:rPr>
              <w:t>、干河、牛栏江</w:t>
            </w:r>
            <w:r>
              <w:rPr>
                <w:rFonts w:hint="default" w:ascii="Times New Roman" w:hAnsi="Times New Roman" w:eastAsia="宋体" w:cs="Times New Roman"/>
                <w:color w:val="auto"/>
                <w:sz w:val="24"/>
                <w:szCs w:val="24"/>
                <w:highlight w:val="none"/>
                <w:lang w:val="en-US" w:eastAsia="zh-CN"/>
              </w:rPr>
              <w:t>，项目运营期废水来源于光伏板</w:t>
            </w:r>
            <w:r>
              <w:rPr>
                <w:rFonts w:hint="eastAsia" w:ascii="Times New Roman" w:hAnsi="Times New Roman" w:eastAsia="宋体" w:cs="Times New Roman"/>
                <w:color w:val="auto"/>
                <w:sz w:val="24"/>
                <w:szCs w:val="24"/>
                <w:highlight w:val="none"/>
                <w:lang w:val="en-US" w:eastAsia="zh-CN"/>
              </w:rPr>
              <w:t>清洗</w:t>
            </w:r>
            <w:r>
              <w:rPr>
                <w:rFonts w:hint="default" w:ascii="Times New Roman" w:hAnsi="Times New Roman" w:eastAsia="宋体" w:cs="Times New Roman"/>
                <w:color w:val="auto"/>
                <w:sz w:val="24"/>
                <w:szCs w:val="24"/>
                <w:highlight w:val="none"/>
                <w:lang w:val="en-US" w:eastAsia="zh-CN"/>
              </w:rPr>
              <w:t>废水，光伏板</w:t>
            </w:r>
            <w:r>
              <w:rPr>
                <w:rFonts w:hint="eastAsia" w:ascii="Times New Roman" w:hAnsi="Times New Roman" w:eastAsia="宋体" w:cs="Times New Roman"/>
                <w:color w:val="auto"/>
                <w:sz w:val="24"/>
                <w:szCs w:val="24"/>
                <w:highlight w:val="none"/>
                <w:lang w:val="en-US" w:eastAsia="zh-CN"/>
              </w:rPr>
              <w:t>清洗</w:t>
            </w:r>
            <w:r>
              <w:rPr>
                <w:rFonts w:hint="default" w:ascii="Times New Roman" w:hAnsi="Times New Roman" w:eastAsia="宋体" w:cs="Times New Roman"/>
                <w:color w:val="auto"/>
                <w:sz w:val="24"/>
                <w:szCs w:val="24"/>
                <w:highlight w:val="none"/>
                <w:lang w:val="en-US" w:eastAsia="zh-CN"/>
              </w:rPr>
              <w:t>废水回用于光伏板下</w:t>
            </w:r>
            <w:r>
              <w:rPr>
                <w:rFonts w:hint="eastAsia" w:ascii="Times New Roman" w:hAnsi="Times New Roman" w:eastAsia="宋体" w:cs="Times New Roman"/>
                <w:color w:val="auto"/>
                <w:sz w:val="24"/>
                <w:szCs w:val="24"/>
                <w:highlight w:val="none"/>
                <w:lang w:val="en-US" w:eastAsia="zh-CN"/>
              </w:rPr>
              <w:t>植被</w:t>
            </w:r>
            <w:r>
              <w:rPr>
                <w:rFonts w:hint="default" w:ascii="Times New Roman" w:hAnsi="Times New Roman" w:eastAsia="宋体" w:cs="Times New Roman"/>
                <w:color w:val="auto"/>
                <w:sz w:val="24"/>
                <w:szCs w:val="24"/>
                <w:highlight w:val="none"/>
                <w:lang w:val="en-US" w:eastAsia="zh-CN"/>
              </w:rPr>
              <w:t>洒水，废水产生量较小，产生的废水不会汇入到</w:t>
            </w:r>
            <w:r>
              <w:rPr>
                <w:rFonts w:hint="eastAsia" w:cs="Times New Roman"/>
                <w:color w:val="auto"/>
                <w:kern w:val="0"/>
                <w:sz w:val="24"/>
                <w:szCs w:val="24"/>
                <w:highlight w:val="none"/>
                <w:lang w:val="en-US" w:eastAsia="zh-CN" w:bidi="ar-SA"/>
              </w:rPr>
              <w:t>长地</w:t>
            </w:r>
            <w:r>
              <w:rPr>
                <w:rFonts w:hint="eastAsia" w:ascii="Times New Roman" w:hAnsi="Times New Roman" w:eastAsia="宋体" w:cs="Times New Roman"/>
                <w:color w:val="auto"/>
                <w:kern w:val="0"/>
                <w:sz w:val="24"/>
                <w:szCs w:val="24"/>
                <w:highlight w:val="none"/>
                <w:lang w:val="en-US" w:eastAsia="zh-CN" w:bidi="ar-SA"/>
              </w:rPr>
              <w:t>沟</w:t>
            </w:r>
            <w:r>
              <w:rPr>
                <w:rFonts w:hint="eastAsia" w:cs="Times New Roman"/>
                <w:color w:val="auto"/>
                <w:kern w:val="0"/>
                <w:sz w:val="24"/>
                <w:szCs w:val="24"/>
                <w:highlight w:val="none"/>
                <w:lang w:val="en-US" w:eastAsia="zh-CN" w:bidi="ar-SA"/>
              </w:rPr>
              <w:t>、干河、牛栏江</w:t>
            </w:r>
            <w:r>
              <w:rPr>
                <w:rFonts w:hint="default" w:ascii="Times New Roman" w:hAnsi="Times New Roman" w:eastAsia="宋体" w:cs="Times New Roman"/>
                <w:color w:val="auto"/>
                <w:sz w:val="24"/>
                <w:szCs w:val="24"/>
                <w:highlight w:val="none"/>
                <w:lang w:val="en-US" w:eastAsia="zh-CN"/>
              </w:rPr>
              <w:t xml:space="preserve">内，通过采取上述措施后，对周围地表水环境影响较小。 </w:t>
            </w:r>
          </w:p>
          <w:p w14:paraId="35D03A8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z w:val="24"/>
                <w:highlight w:val="none"/>
              </w:rPr>
            </w:pPr>
            <w:r>
              <w:rPr>
                <w:rFonts w:hint="default" w:ascii="Times New Roman" w:hAnsi="Times New Roman" w:eastAsia="宋体" w:cs="Times New Roman"/>
                <w:color w:val="auto"/>
                <w:sz w:val="24"/>
                <w:szCs w:val="24"/>
                <w:highlight w:val="none"/>
                <w:lang w:val="en-US" w:eastAsia="zh-CN"/>
              </w:rPr>
              <w:t>综上所述，项目产生的废水可以得到妥善处理，对周围地表水体影响较小</w:t>
            </w:r>
            <w:r>
              <w:rPr>
                <w:rFonts w:hint="eastAsia" w:ascii="Times New Roman" w:hAnsi="Times New Roman" w:eastAsia="宋体" w:cs="Times New Roman"/>
                <w:color w:val="auto"/>
                <w:sz w:val="24"/>
                <w:szCs w:val="24"/>
                <w:highlight w:val="none"/>
                <w:lang w:val="en-US" w:eastAsia="zh-CN"/>
              </w:rPr>
              <w:t>。</w:t>
            </w:r>
          </w:p>
          <w:p w14:paraId="0E95D5A5">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eastAsia"/>
                <w:color w:val="auto"/>
                <w:sz w:val="24"/>
                <w:highlight w:val="none"/>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5</w:t>
            </w:r>
            <w:r>
              <w:rPr>
                <w:rFonts w:hint="default"/>
                <w:b/>
                <w:color w:val="auto"/>
                <w:sz w:val="24"/>
                <w:highlight w:val="none"/>
                <w:shd w:val="clear" w:color="auto" w:fill="auto"/>
              </w:rPr>
              <w:t>）噪声</w:t>
            </w:r>
          </w:p>
          <w:p w14:paraId="55D22337">
            <w:pPr>
              <w:keepNext w:val="0"/>
              <w:keepLines w:val="0"/>
              <w:suppressLineNumbers w:val="0"/>
              <w:spacing w:before="0" w:beforeAutospacing="0" w:after="0" w:afterAutospacing="0" w:line="360" w:lineRule="auto"/>
              <w:ind w:left="0" w:right="0" w:firstLine="480"/>
              <w:rPr>
                <w:rFonts w:hint="eastAsia"/>
                <w:color w:val="auto"/>
                <w:sz w:val="24"/>
                <w:highlight w:val="none"/>
              </w:rPr>
            </w:pPr>
            <w:r>
              <w:rPr>
                <w:rFonts w:hint="eastAsia"/>
                <w:color w:val="auto"/>
                <w:sz w:val="24"/>
                <w:highlight w:val="none"/>
              </w:rPr>
              <w:t>运行期噪声主要包括光伏电场区箱</w:t>
            </w:r>
            <w:r>
              <w:rPr>
                <w:rFonts w:hint="eastAsia"/>
                <w:color w:val="auto"/>
                <w:sz w:val="24"/>
                <w:highlight w:val="none"/>
                <w:lang w:val="en-US" w:eastAsia="zh-CN"/>
              </w:rPr>
              <w:t>式</w:t>
            </w:r>
            <w:r>
              <w:rPr>
                <w:rFonts w:hint="eastAsia"/>
                <w:color w:val="auto"/>
                <w:sz w:val="24"/>
                <w:highlight w:val="none"/>
              </w:rPr>
              <w:t>变压器、逆变器噪声。</w:t>
            </w:r>
          </w:p>
          <w:p w14:paraId="15D40A13">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val="en-US" w:eastAsia="zh-CN"/>
              </w:rPr>
              <w:t>光伏发电本身没有机械传动机构或运动部件，在太阳能转变成电能的过程中，光伏场区噪音主要是通过逆变器将直流电转换为交流电过程中产生的噪声以及项目箱变产生的噪声。逆变器和箱变在光伏场区分布较为分散，箱变均设置在集装箱式房内，</w:t>
            </w:r>
            <w:r>
              <w:rPr>
                <w:rFonts w:hint="eastAsia"/>
                <w:color w:val="auto"/>
                <w:sz w:val="24"/>
                <w:lang w:val="en-US" w:eastAsia="zh-CN"/>
              </w:rPr>
              <w:t>逆变器和箱变</w:t>
            </w:r>
            <w:r>
              <w:rPr>
                <w:rFonts w:hint="default"/>
                <w:color w:val="auto"/>
                <w:sz w:val="24"/>
                <w:lang w:val="en-US" w:eastAsia="zh-CN"/>
              </w:rPr>
              <w:t>1m</w:t>
            </w:r>
            <w:r>
              <w:rPr>
                <w:rFonts w:hint="eastAsia"/>
                <w:color w:val="auto"/>
                <w:sz w:val="24"/>
                <w:lang w:val="en-US" w:eastAsia="zh-CN"/>
              </w:rPr>
              <w:t>处噪声级一般在</w:t>
            </w:r>
            <w:r>
              <w:rPr>
                <w:rFonts w:hint="default"/>
                <w:color w:val="auto"/>
                <w:sz w:val="24"/>
                <w:lang w:val="en-US" w:eastAsia="zh-CN"/>
              </w:rPr>
              <w:t>50dB</w:t>
            </w:r>
            <w:r>
              <w:rPr>
                <w:rFonts w:hint="eastAsia"/>
                <w:color w:val="auto"/>
                <w:sz w:val="24"/>
                <w:lang w:val="en-US" w:eastAsia="zh-CN"/>
              </w:rPr>
              <w:t>（</w:t>
            </w:r>
            <w:r>
              <w:rPr>
                <w:rFonts w:hint="default"/>
                <w:color w:val="auto"/>
                <w:sz w:val="24"/>
                <w:lang w:val="en-US" w:eastAsia="zh-CN"/>
              </w:rPr>
              <w:t>A</w:t>
            </w:r>
            <w:r>
              <w:rPr>
                <w:rFonts w:hint="eastAsia"/>
                <w:color w:val="auto"/>
                <w:sz w:val="24"/>
                <w:lang w:val="en-US" w:eastAsia="zh-CN"/>
              </w:rPr>
              <w:t>）左右</w:t>
            </w:r>
            <w:r>
              <w:rPr>
                <w:rFonts w:hint="eastAsia"/>
                <w:color w:val="auto"/>
                <w:sz w:val="24"/>
                <w:highlight w:val="none"/>
                <w:lang w:val="en-US" w:eastAsia="zh-CN"/>
              </w:rPr>
              <w:t>。</w:t>
            </w:r>
            <w:r>
              <w:rPr>
                <w:rFonts w:hint="eastAsia"/>
                <w:color w:val="auto"/>
                <w:sz w:val="24"/>
                <w:lang w:val="en-US" w:eastAsia="zh-CN"/>
              </w:rPr>
              <w:t>本次评价按最不利情况考虑，即有箱变和逆变器布置在同一位置，预测其噪声叠加后对环境的影响。预测结果见表</w:t>
            </w:r>
            <w:r>
              <w:rPr>
                <w:rFonts w:hint="default"/>
                <w:color w:val="auto"/>
                <w:sz w:val="24"/>
                <w:lang w:val="en-US" w:eastAsia="zh-CN"/>
              </w:rPr>
              <w:t>4-</w:t>
            </w:r>
            <w:r>
              <w:rPr>
                <w:rFonts w:hint="eastAsia"/>
                <w:color w:val="auto"/>
                <w:sz w:val="24"/>
                <w:lang w:val="en-US" w:eastAsia="zh-CN"/>
              </w:rPr>
              <w:t xml:space="preserve">9。 </w:t>
            </w:r>
          </w:p>
          <w:p w14:paraId="1D6DBC26">
            <w:pPr>
              <w:keepNext w:val="0"/>
              <w:keepLines w:val="0"/>
              <w:widowControl/>
              <w:suppressLineNumbers w:val="0"/>
              <w:spacing w:before="0" w:beforeAutospacing="0" w:after="0" w:afterAutospacing="0"/>
              <w:ind w:left="0" w:right="0"/>
              <w:jc w:val="center"/>
              <w:rPr>
                <w:rFonts w:hint="default"/>
                <w:color w:val="auto"/>
                <w:highlight w:val="none"/>
              </w:rPr>
            </w:pPr>
            <w:r>
              <w:rPr>
                <w:rFonts w:hint="eastAsia" w:ascii="宋体" w:hAnsi="宋体" w:eastAsia="宋体" w:cs="宋体"/>
                <w:b/>
                <w:bCs/>
                <w:color w:val="auto"/>
                <w:kern w:val="0"/>
                <w:sz w:val="21"/>
                <w:szCs w:val="21"/>
                <w:highlight w:val="none"/>
                <w:lang w:val="en-US" w:eastAsia="zh-CN" w:bidi="ar"/>
              </w:rPr>
              <w:t>表</w:t>
            </w:r>
            <w:r>
              <w:rPr>
                <w:rFonts w:hint="default" w:ascii="Times New Roman" w:hAnsi="Times New Roman" w:eastAsia="宋体" w:cs="Times New Roman"/>
                <w:b/>
                <w:bCs/>
                <w:color w:val="auto"/>
                <w:kern w:val="0"/>
                <w:sz w:val="21"/>
                <w:szCs w:val="21"/>
                <w:highlight w:val="none"/>
                <w:lang w:val="en-US" w:eastAsia="zh-CN" w:bidi="ar"/>
              </w:rPr>
              <w:t>4-</w:t>
            </w:r>
            <w:r>
              <w:rPr>
                <w:rFonts w:hint="eastAsia" w:cs="Times New Roman"/>
                <w:b/>
                <w:bCs/>
                <w:color w:val="auto"/>
                <w:kern w:val="0"/>
                <w:sz w:val="21"/>
                <w:szCs w:val="21"/>
                <w:highlight w:val="none"/>
                <w:lang w:val="en-US" w:eastAsia="zh-CN" w:bidi="ar"/>
              </w:rPr>
              <w:t>9</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宋体" w:hAnsi="宋体" w:eastAsia="宋体" w:cs="宋体"/>
                <w:b/>
                <w:bCs/>
                <w:color w:val="auto"/>
                <w:kern w:val="0"/>
                <w:sz w:val="21"/>
                <w:szCs w:val="21"/>
                <w:highlight w:val="none"/>
                <w:lang w:val="en-US" w:eastAsia="zh-CN" w:bidi="ar"/>
              </w:rPr>
              <w:t>光伏场区箱式变压器、逆变器噪声衰减计算结果 单位：</w:t>
            </w:r>
            <w:r>
              <w:rPr>
                <w:rFonts w:hint="default" w:ascii="Times New Roman" w:hAnsi="Times New Roman" w:eastAsia="宋体" w:cs="Times New Roman"/>
                <w:b/>
                <w:bCs/>
                <w:color w:val="auto"/>
                <w:kern w:val="0"/>
                <w:sz w:val="21"/>
                <w:szCs w:val="21"/>
                <w:highlight w:val="none"/>
                <w:lang w:val="en-US" w:eastAsia="zh-CN" w:bidi="ar"/>
              </w:rPr>
              <w:t>dB</w:t>
            </w:r>
            <w:r>
              <w:rPr>
                <w:rFonts w:hint="eastAsia"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A</w:t>
            </w:r>
            <w:r>
              <w:rPr>
                <w:rFonts w:hint="eastAsia" w:cs="Times New Roman"/>
                <w:b/>
                <w:bCs/>
                <w:color w:val="auto"/>
                <w:kern w:val="0"/>
                <w:sz w:val="21"/>
                <w:szCs w:val="21"/>
                <w:highlight w:val="none"/>
                <w:lang w:val="en-US" w:eastAsia="zh-CN" w:bidi="ar"/>
              </w:rPr>
              <w:t>）</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975"/>
              <w:gridCol w:w="776"/>
              <w:gridCol w:w="884"/>
              <w:gridCol w:w="990"/>
              <w:gridCol w:w="990"/>
              <w:gridCol w:w="992"/>
              <w:gridCol w:w="1003"/>
            </w:tblGrid>
            <w:tr w14:paraId="7F4C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vAlign w:val="center"/>
                </w:tcPr>
                <w:p w14:paraId="0014963B">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声源名称</w:t>
                  </w:r>
                </w:p>
              </w:tc>
              <w:tc>
                <w:tcPr>
                  <w:tcW w:w="615" w:type="pct"/>
                  <w:vMerge w:val="restart"/>
                  <w:vAlign w:val="center"/>
                </w:tcPr>
                <w:p w14:paraId="06B84665">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噪声强度</w:t>
                  </w:r>
                </w:p>
              </w:tc>
              <w:tc>
                <w:tcPr>
                  <w:tcW w:w="3551" w:type="pct"/>
                  <w:gridSpan w:val="6"/>
                  <w:vAlign w:val="center"/>
                </w:tcPr>
                <w:p w14:paraId="28C48385">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距声源不同距离处的噪声预测值</w:t>
                  </w:r>
                </w:p>
              </w:tc>
            </w:tr>
            <w:tr w14:paraId="708A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vAlign w:val="center"/>
                </w:tcPr>
                <w:p w14:paraId="21A95A5A">
                  <w:pPr>
                    <w:keepNext w:val="0"/>
                    <w:keepLines w:val="0"/>
                    <w:suppressLineNumbers w:val="0"/>
                    <w:spacing w:before="0" w:beforeAutospacing="0" w:after="0" w:afterAutospacing="0" w:line="240" w:lineRule="auto"/>
                    <w:ind w:left="0" w:right="0"/>
                    <w:jc w:val="center"/>
                    <w:rPr>
                      <w:rFonts w:hint="eastAsia"/>
                      <w:color w:val="auto"/>
                      <w:sz w:val="21"/>
                      <w:szCs w:val="21"/>
                      <w:highlight w:val="none"/>
                      <w:vertAlign w:val="baseline"/>
                    </w:rPr>
                  </w:pPr>
                </w:p>
              </w:tc>
              <w:tc>
                <w:tcPr>
                  <w:tcW w:w="615" w:type="pct"/>
                  <w:vMerge w:val="continue"/>
                  <w:vAlign w:val="center"/>
                </w:tcPr>
                <w:p w14:paraId="506A9AB1">
                  <w:pPr>
                    <w:keepNext w:val="0"/>
                    <w:keepLines w:val="0"/>
                    <w:suppressLineNumbers w:val="0"/>
                    <w:spacing w:before="0" w:beforeAutospacing="0" w:after="0" w:afterAutospacing="0" w:line="240" w:lineRule="auto"/>
                    <w:ind w:left="0" w:right="0"/>
                    <w:jc w:val="center"/>
                    <w:rPr>
                      <w:rFonts w:hint="eastAsia"/>
                      <w:color w:val="auto"/>
                      <w:sz w:val="21"/>
                      <w:szCs w:val="21"/>
                      <w:highlight w:val="none"/>
                      <w:vertAlign w:val="baseline"/>
                    </w:rPr>
                  </w:pPr>
                </w:p>
              </w:tc>
              <w:tc>
                <w:tcPr>
                  <w:tcW w:w="489" w:type="pct"/>
                  <w:vAlign w:val="center"/>
                </w:tcPr>
                <w:p w14:paraId="055DC958">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5m</w:t>
                  </w:r>
                </w:p>
              </w:tc>
              <w:tc>
                <w:tcPr>
                  <w:tcW w:w="557" w:type="pct"/>
                  <w:vAlign w:val="center"/>
                </w:tcPr>
                <w:p w14:paraId="1D8C3222">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10m</w:t>
                  </w:r>
                </w:p>
              </w:tc>
              <w:tc>
                <w:tcPr>
                  <w:tcW w:w="624" w:type="pct"/>
                  <w:vAlign w:val="center"/>
                </w:tcPr>
                <w:p w14:paraId="5CA4CD6C">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20m</w:t>
                  </w:r>
                </w:p>
              </w:tc>
              <w:tc>
                <w:tcPr>
                  <w:tcW w:w="624" w:type="pct"/>
                  <w:vAlign w:val="center"/>
                </w:tcPr>
                <w:p w14:paraId="4CDDAE77">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50m</w:t>
                  </w:r>
                </w:p>
              </w:tc>
              <w:tc>
                <w:tcPr>
                  <w:tcW w:w="625" w:type="pct"/>
                  <w:vAlign w:val="center"/>
                </w:tcPr>
                <w:p w14:paraId="1AD530B8">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100m</w:t>
                  </w:r>
                </w:p>
              </w:tc>
              <w:tc>
                <w:tcPr>
                  <w:tcW w:w="631" w:type="pct"/>
                  <w:vAlign w:val="center"/>
                </w:tcPr>
                <w:p w14:paraId="1E8DD2E9">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200m</w:t>
                  </w:r>
                </w:p>
              </w:tc>
            </w:tr>
            <w:tr w14:paraId="7858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63F07AC2">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箱式变压器</w:t>
                  </w:r>
                </w:p>
              </w:tc>
              <w:tc>
                <w:tcPr>
                  <w:tcW w:w="975" w:type="dxa"/>
                  <w:vAlign w:val="center"/>
                </w:tcPr>
                <w:p w14:paraId="3F447B8A">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50</w:t>
                  </w:r>
                </w:p>
              </w:tc>
              <w:tc>
                <w:tcPr>
                  <w:tcW w:w="776" w:type="dxa"/>
                  <w:vAlign w:val="center"/>
                </w:tcPr>
                <w:p w14:paraId="06C63C7C">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36.4</w:t>
                  </w:r>
                </w:p>
              </w:tc>
              <w:tc>
                <w:tcPr>
                  <w:tcW w:w="884" w:type="dxa"/>
                  <w:vAlign w:val="center"/>
                </w:tcPr>
                <w:p w14:paraId="7018F756">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30</w:t>
                  </w:r>
                </w:p>
              </w:tc>
              <w:tc>
                <w:tcPr>
                  <w:tcW w:w="990" w:type="dxa"/>
                  <w:vAlign w:val="center"/>
                </w:tcPr>
                <w:p w14:paraId="57DB4B8F">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24.5</w:t>
                  </w:r>
                </w:p>
              </w:tc>
              <w:tc>
                <w:tcPr>
                  <w:tcW w:w="990" w:type="dxa"/>
                  <w:vAlign w:val="center"/>
                </w:tcPr>
                <w:p w14:paraId="684BEF72">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16</w:t>
                  </w:r>
                </w:p>
              </w:tc>
              <w:tc>
                <w:tcPr>
                  <w:tcW w:w="992" w:type="dxa"/>
                  <w:vAlign w:val="center"/>
                </w:tcPr>
                <w:p w14:paraId="1D6E38A4">
                  <w:pPr>
                    <w:keepNext w:val="0"/>
                    <w:keepLines w:val="0"/>
                    <w:suppressLineNumbers w:val="0"/>
                    <w:spacing w:before="0" w:beforeAutospacing="0" w:after="0" w:afterAutospacing="0" w:line="240" w:lineRule="auto"/>
                    <w:ind w:left="0" w:leftChars="0" w:right="0" w:rightChars="0"/>
                    <w:jc w:val="center"/>
                    <w:rPr>
                      <w:rFonts w:hint="eastAsia" w:eastAsia="宋体"/>
                      <w:color w:val="auto"/>
                      <w:sz w:val="21"/>
                      <w:szCs w:val="21"/>
                      <w:highlight w:val="none"/>
                      <w:vertAlign w:val="baseline"/>
                      <w:lang w:val="en-US" w:eastAsia="zh-CN"/>
                    </w:rPr>
                  </w:pPr>
                  <w:r>
                    <w:rPr>
                      <w:rFonts w:hint="eastAsia"/>
                      <w:color w:val="auto"/>
                      <w:sz w:val="21"/>
                      <w:szCs w:val="21"/>
                      <w:vertAlign w:val="baseline"/>
                      <w:lang w:val="en-US" w:eastAsia="zh-CN"/>
                    </w:rPr>
                    <w:t>10</w:t>
                  </w:r>
                </w:p>
              </w:tc>
              <w:tc>
                <w:tcPr>
                  <w:tcW w:w="1003" w:type="dxa"/>
                  <w:vAlign w:val="center"/>
                </w:tcPr>
                <w:p w14:paraId="1C2C4AAD">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4</w:t>
                  </w:r>
                </w:p>
              </w:tc>
            </w:tr>
            <w:tr w14:paraId="37CD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494354A3">
                  <w:pPr>
                    <w:keepNext w:val="0"/>
                    <w:keepLines w:val="0"/>
                    <w:suppressLineNumbers w:val="0"/>
                    <w:spacing w:before="0" w:beforeAutospacing="0" w:after="0" w:afterAutospacing="0" w:line="240" w:lineRule="auto"/>
                    <w:ind w:left="0" w:right="0"/>
                    <w:jc w:val="center"/>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逆变器</w:t>
                  </w:r>
                </w:p>
              </w:tc>
              <w:tc>
                <w:tcPr>
                  <w:tcW w:w="975" w:type="dxa"/>
                  <w:vAlign w:val="center"/>
                </w:tcPr>
                <w:p w14:paraId="0226ED42">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50</w:t>
                  </w:r>
                </w:p>
              </w:tc>
              <w:tc>
                <w:tcPr>
                  <w:tcW w:w="776" w:type="dxa"/>
                  <w:vAlign w:val="center"/>
                </w:tcPr>
                <w:p w14:paraId="64607813">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36.4</w:t>
                  </w:r>
                </w:p>
              </w:tc>
              <w:tc>
                <w:tcPr>
                  <w:tcW w:w="884" w:type="dxa"/>
                  <w:vAlign w:val="center"/>
                </w:tcPr>
                <w:p w14:paraId="6A520AC5">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30</w:t>
                  </w:r>
                </w:p>
              </w:tc>
              <w:tc>
                <w:tcPr>
                  <w:tcW w:w="990" w:type="dxa"/>
                  <w:vAlign w:val="center"/>
                </w:tcPr>
                <w:p w14:paraId="00B7287F">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24.5</w:t>
                  </w:r>
                </w:p>
              </w:tc>
              <w:tc>
                <w:tcPr>
                  <w:tcW w:w="990" w:type="dxa"/>
                  <w:vAlign w:val="center"/>
                </w:tcPr>
                <w:p w14:paraId="207EDB30">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16</w:t>
                  </w:r>
                </w:p>
              </w:tc>
              <w:tc>
                <w:tcPr>
                  <w:tcW w:w="992" w:type="dxa"/>
                  <w:vAlign w:val="center"/>
                </w:tcPr>
                <w:p w14:paraId="5E406A5E">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10</w:t>
                  </w:r>
                </w:p>
              </w:tc>
              <w:tc>
                <w:tcPr>
                  <w:tcW w:w="1003" w:type="dxa"/>
                  <w:vAlign w:val="center"/>
                </w:tcPr>
                <w:p w14:paraId="7FB381F8">
                  <w:pPr>
                    <w:keepNext w:val="0"/>
                    <w:keepLines w:val="0"/>
                    <w:suppressLineNumbers w:val="0"/>
                    <w:spacing w:before="0" w:beforeAutospacing="0" w:after="0" w:afterAutospacing="0" w:line="240" w:lineRule="auto"/>
                    <w:ind w:left="0" w:leftChars="0" w:right="0" w:rightChars="0"/>
                    <w:jc w:val="center"/>
                    <w:rPr>
                      <w:rFonts w:hint="eastAsia" w:eastAsia="宋体"/>
                      <w:color w:val="auto"/>
                      <w:sz w:val="21"/>
                      <w:szCs w:val="21"/>
                      <w:highlight w:val="none"/>
                      <w:vertAlign w:val="baseline"/>
                      <w:lang w:val="en-US" w:eastAsia="zh-CN"/>
                    </w:rPr>
                  </w:pPr>
                  <w:r>
                    <w:rPr>
                      <w:rFonts w:hint="eastAsia"/>
                      <w:color w:val="auto"/>
                      <w:sz w:val="21"/>
                      <w:szCs w:val="21"/>
                      <w:vertAlign w:val="baseline"/>
                      <w:lang w:val="en-US" w:eastAsia="zh-CN"/>
                    </w:rPr>
                    <w:t>4</w:t>
                  </w:r>
                </w:p>
              </w:tc>
            </w:tr>
            <w:tr w14:paraId="6307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14:paraId="3B3331FC">
                  <w:pPr>
                    <w:keepNext w:val="0"/>
                    <w:keepLines w:val="0"/>
                    <w:suppressLineNumbers w:val="0"/>
                    <w:spacing w:before="0" w:beforeAutospacing="0" w:after="0" w:afterAutospacing="0" w:line="240" w:lineRule="auto"/>
                    <w:ind w:left="0" w:right="0"/>
                    <w:jc w:val="center"/>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叠加值</w:t>
                  </w:r>
                </w:p>
              </w:tc>
              <w:tc>
                <w:tcPr>
                  <w:tcW w:w="975" w:type="dxa"/>
                  <w:vAlign w:val="center"/>
                </w:tcPr>
                <w:p w14:paraId="2085D969">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53</w:t>
                  </w:r>
                </w:p>
              </w:tc>
              <w:tc>
                <w:tcPr>
                  <w:tcW w:w="776" w:type="dxa"/>
                  <w:vAlign w:val="center"/>
                </w:tcPr>
                <w:p w14:paraId="1E9EADC3">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39.4</w:t>
                  </w:r>
                </w:p>
              </w:tc>
              <w:tc>
                <w:tcPr>
                  <w:tcW w:w="884" w:type="dxa"/>
                  <w:vAlign w:val="center"/>
                </w:tcPr>
                <w:p w14:paraId="6904AEFC">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33</w:t>
                  </w:r>
                </w:p>
              </w:tc>
              <w:tc>
                <w:tcPr>
                  <w:tcW w:w="990" w:type="dxa"/>
                  <w:vAlign w:val="center"/>
                </w:tcPr>
                <w:p w14:paraId="041A0887">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27.5</w:t>
                  </w:r>
                </w:p>
              </w:tc>
              <w:tc>
                <w:tcPr>
                  <w:tcW w:w="990" w:type="dxa"/>
                  <w:vAlign w:val="center"/>
                </w:tcPr>
                <w:p w14:paraId="3BC472FC">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19</w:t>
                  </w:r>
                </w:p>
              </w:tc>
              <w:tc>
                <w:tcPr>
                  <w:tcW w:w="992" w:type="dxa"/>
                  <w:vAlign w:val="center"/>
                </w:tcPr>
                <w:p w14:paraId="7D7E4A07">
                  <w:pPr>
                    <w:keepNext w:val="0"/>
                    <w:keepLines w:val="0"/>
                    <w:suppressLineNumbers w:val="0"/>
                    <w:spacing w:before="0" w:beforeAutospacing="0" w:after="0" w:afterAutospacing="0" w:line="240" w:lineRule="auto"/>
                    <w:ind w:left="0" w:leftChars="0" w:right="0" w:rightChars="0"/>
                    <w:jc w:val="center"/>
                    <w:rPr>
                      <w:rFonts w:hint="eastAsia"/>
                      <w:color w:val="auto"/>
                      <w:sz w:val="21"/>
                      <w:szCs w:val="21"/>
                      <w:highlight w:val="none"/>
                      <w:vertAlign w:val="baseline"/>
                    </w:rPr>
                  </w:pPr>
                  <w:r>
                    <w:rPr>
                      <w:rFonts w:hint="eastAsia"/>
                      <w:color w:val="auto"/>
                      <w:sz w:val="21"/>
                      <w:szCs w:val="21"/>
                      <w:vertAlign w:val="baseline"/>
                      <w:lang w:val="en-US" w:eastAsia="zh-CN"/>
                    </w:rPr>
                    <w:t>13</w:t>
                  </w:r>
                </w:p>
              </w:tc>
              <w:tc>
                <w:tcPr>
                  <w:tcW w:w="1003" w:type="dxa"/>
                  <w:vAlign w:val="center"/>
                </w:tcPr>
                <w:p w14:paraId="507D5652">
                  <w:pPr>
                    <w:keepNext w:val="0"/>
                    <w:keepLines w:val="0"/>
                    <w:suppressLineNumbers w:val="0"/>
                    <w:spacing w:before="0" w:beforeAutospacing="0" w:after="0" w:afterAutospacing="0" w:line="240" w:lineRule="auto"/>
                    <w:ind w:left="0" w:leftChars="0" w:right="0" w:rightChars="0"/>
                    <w:jc w:val="center"/>
                    <w:rPr>
                      <w:rFonts w:hint="default" w:eastAsia="宋体"/>
                      <w:color w:val="auto"/>
                      <w:sz w:val="21"/>
                      <w:szCs w:val="21"/>
                      <w:highlight w:val="none"/>
                      <w:vertAlign w:val="baseline"/>
                      <w:lang w:val="en-US" w:eastAsia="zh-CN"/>
                    </w:rPr>
                  </w:pPr>
                  <w:r>
                    <w:rPr>
                      <w:rFonts w:hint="eastAsia"/>
                      <w:color w:val="auto"/>
                      <w:sz w:val="21"/>
                      <w:szCs w:val="21"/>
                      <w:vertAlign w:val="baseline"/>
                      <w:lang w:val="en-US" w:eastAsia="zh-CN"/>
                    </w:rPr>
                    <w:t>7</w:t>
                  </w:r>
                </w:p>
              </w:tc>
            </w:tr>
          </w:tbl>
          <w:p w14:paraId="36CFC6A2">
            <w:pPr>
              <w:keepNext w:val="0"/>
              <w:keepLines w:val="0"/>
              <w:suppressLineNumbers w:val="0"/>
              <w:shd w:val="clear"/>
              <w:spacing w:before="0" w:beforeAutospacing="0" w:after="0" w:afterAutospacing="0" w:line="360" w:lineRule="auto"/>
              <w:ind w:left="0" w:right="0" w:firstLine="480" w:firstLineChars="200"/>
              <w:rPr>
                <w:rFonts w:hint="eastAsia"/>
                <w:color w:val="auto"/>
                <w:sz w:val="24"/>
                <w:highlight w:val="none"/>
                <w:shd w:val="clear" w:color="auto" w:fill="auto"/>
              </w:rPr>
            </w:pPr>
            <w:r>
              <w:rPr>
                <w:rFonts w:hint="eastAsia"/>
                <w:color w:val="auto"/>
                <w:sz w:val="24"/>
                <w:highlight w:val="none"/>
              </w:rPr>
              <w:t>根据上表预测结果显示，在最不利的情况下（箱变和逆变器布置在同一位置）在距离声源1m处的噪声叠加值为</w:t>
            </w:r>
            <w:r>
              <w:rPr>
                <w:rFonts w:hint="eastAsia"/>
                <w:color w:val="auto"/>
                <w:sz w:val="24"/>
                <w:highlight w:val="none"/>
                <w:lang w:val="en-US" w:eastAsia="zh-CN"/>
              </w:rPr>
              <w:t>53</w:t>
            </w:r>
            <w:r>
              <w:rPr>
                <w:rFonts w:hint="eastAsia"/>
                <w:color w:val="auto"/>
                <w:sz w:val="24"/>
                <w:highlight w:val="none"/>
              </w:rPr>
              <w:t>dB（A），昼间能满足《工业企业厂界环境噪声排放标准》（GB12348-2008）</w:t>
            </w:r>
            <w:r>
              <w:rPr>
                <w:rFonts w:hint="eastAsia"/>
                <w:color w:val="auto"/>
                <w:sz w:val="24"/>
                <w:highlight w:val="none"/>
                <w:lang w:val="en-US" w:eastAsia="zh-CN"/>
              </w:rPr>
              <w:t>1</w:t>
            </w:r>
            <w:r>
              <w:rPr>
                <w:rFonts w:hint="eastAsia"/>
                <w:color w:val="auto"/>
                <w:sz w:val="24"/>
                <w:highlight w:val="none"/>
              </w:rPr>
              <w:t>类标准要求，</w:t>
            </w:r>
            <w:r>
              <w:rPr>
                <w:rFonts w:hint="eastAsia"/>
                <w:color w:val="auto"/>
                <w:sz w:val="24"/>
                <w:highlight w:val="none"/>
                <w:lang w:val="en-US" w:eastAsia="zh-CN"/>
              </w:rPr>
              <w:t>项目箱式变压器和逆变器距离最近敏感点在383m外，且</w:t>
            </w:r>
            <w:r>
              <w:rPr>
                <w:rFonts w:hint="eastAsia"/>
                <w:color w:val="auto"/>
                <w:sz w:val="24"/>
                <w:highlight w:val="none"/>
              </w:rPr>
              <w:t>项目逆变器及箱式变压器夜间不工作，对周边声环境影响较小。</w:t>
            </w:r>
          </w:p>
          <w:p w14:paraId="75E35601">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w:t>
            </w:r>
            <w:r>
              <w:rPr>
                <w:rFonts w:hint="eastAsia"/>
                <w:b/>
                <w:bCs/>
                <w:color w:val="auto"/>
                <w:sz w:val="24"/>
                <w:highlight w:val="none"/>
                <w:shd w:val="clear" w:color="auto" w:fill="auto"/>
                <w:lang w:val="en-US" w:eastAsia="zh-CN"/>
              </w:rPr>
              <w:t>6</w:t>
            </w:r>
            <w:r>
              <w:rPr>
                <w:rFonts w:hint="default"/>
                <w:b/>
                <w:bCs/>
                <w:color w:val="auto"/>
                <w:sz w:val="24"/>
                <w:highlight w:val="none"/>
                <w:shd w:val="clear" w:color="auto" w:fill="auto"/>
              </w:rPr>
              <w:t>）固</w:t>
            </w:r>
            <w:r>
              <w:rPr>
                <w:rFonts w:hint="eastAsia"/>
                <w:b/>
                <w:bCs/>
                <w:color w:val="auto"/>
                <w:sz w:val="24"/>
                <w:highlight w:val="none"/>
                <w:shd w:val="clear" w:color="auto" w:fill="auto"/>
              </w:rPr>
              <w:t>体</w:t>
            </w:r>
            <w:r>
              <w:rPr>
                <w:rFonts w:hint="default"/>
                <w:b/>
                <w:bCs/>
                <w:color w:val="auto"/>
                <w:sz w:val="24"/>
                <w:highlight w:val="none"/>
                <w:shd w:val="clear" w:color="auto" w:fill="auto"/>
              </w:rPr>
              <w:t>废</w:t>
            </w:r>
            <w:r>
              <w:rPr>
                <w:rFonts w:hint="eastAsia"/>
                <w:b/>
                <w:bCs/>
                <w:color w:val="auto"/>
                <w:sz w:val="24"/>
                <w:highlight w:val="none"/>
                <w:shd w:val="clear" w:color="auto" w:fill="auto"/>
              </w:rPr>
              <w:t>物</w:t>
            </w:r>
          </w:p>
          <w:p w14:paraId="7E6B58A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bCs/>
                <w:color w:val="auto"/>
                <w:sz w:val="24"/>
                <w:highlight w:val="none"/>
                <w:shd w:val="clear" w:color="auto" w:fill="auto"/>
              </w:rPr>
              <w:t>项目运营期固废包括</w:t>
            </w:r>
            <w:r>
              <w:rPr>
                <w:rFonts w:hint="eastAsia"/>
                <w:color w:val="auto"/>
                <w:kern w:val="0"/>
                <w:sz w:val="24"/>
                <w:szCs w:val="24"/>
                <w:highlight w:val="none"/>
                <w:shd w:val="clear" w:color="auto" w:fill="auto"/>
              </w:rPr>
              <w:t>废光伏板及其组件</w:t>
            </w:r>
            <w:r>
              <w:rPr>
                <w:rFonts w:hint="default"/>
                <w:bCs/>
                <w:color w:val="auto"/>
                <w:sz w:val="24"/>
                <w:highlight w:val="none"/>
                <w:shd w:val="clear" w:color="auto" w:fill="auto"/>
              </w:rPr>
              <w:t>、</w:t>
            </w:r>
            <w:r>
              <w:rPr>
                <w:rFonts w:hint="eastAsia"/>
                <w:bCs/>
                <w:color w:val="auto"/>
                <w:sz w:val="24"/>
                <w:highlight w:val="none"/>
                <w:shd w:val="clear" w:color="auto" w:fill="auto"/>
                <w:lang w:val="en-US" w:eastAsia="zh-CN"/>
              </w:rPr>
              <w:t>废逆变器、废电气元件、</w:t>
            </w:r>
            <w:r>
              <w:rPr>
                <w:rFonts w:hint="eastAsia"/>
                <w:bCs/>
                <w:color w:val="auto"/>
                <w:sz w:val="24"/>
                <w:highlight w:val="none"/>
                <w:shd w:val="clear" w:color="auto" w:fill="auto"/>
              </w:rPr>
              <w:t>废</w:t>
            </w:r>
            <w:r>
              <w:rPr>
                <w:rFonts w:hint="eastAsia"/>
                <w:color w:val="auto"/>
                <w:sz w:val="24"/>
                <w:highlight w:val="none"/>
                <w:shd w:val="clear" w:color="auto" w:fill="auto"/>
              </w:rPr>
              <w:t>变压器油</w:t>
            </w:r>
            <w:r>
              <w:rPr>
                <w:rFonts w:hint="default"/>
                <w:bCs/>
                <w:color w:val="auto"/>
                <w:sz w:val="24"/>
                <w:highlight w:val="none"/>
                <w:shd w:val="clear" w:color="auto" w:fill="auto"/>
              </w:rPr>
              <w:t>。</w:t>
            </w:r>
          </w:p>
          <w:p w14:paraId="4E5128E3">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①</w:t>
            </w:r>
            <w:r>
              <w:rPr>
                <w:rFonts w:hint="eastAsia"/>
                <w:b/>
                <w:bCs/>
                <w:color w:val="auto"/>
                <w:kern w:val="0"/>
                <w:sz w:val="24"/>
                <w:szCs w:val="24"/>
                <w:highlight w:val="none"/>
                <w:shd w:val="clear" w:color="auto" w:fill="auto"/>
              </w:rPr>
              <w:t>废光伏板及其组件</w:t>
            </w:r>
          </w:p>
          <w:p w14:paraId="25468DD6">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lang w:eastAsia="zh-CN"/>
              </w:rPr>
            </w:pPr>
            <w:r>
              <w:rPr>
                <w:rFonts w:hint="eastAsia"/>
                <w:bCs/>
                <w:color w:val="auto"/>
                <w:sz w:val="24"/>
                <w:highlight w:val="none"/>
                <w:shd w:val="clear" w:color="auto" w:fill="auto"/>
              </w:rPr>
              <w:t>根据《国家危险废物名录》</w:t>
            </w:r>
            <w:r>
              <w:rPr>
                <w:rFonts w:hint="eastAsia"/>
                <w:bCs/>
                <w:color w:val="auto"/>
                <w:sz w:val="24"/>
                <w:highlight w:val="none"/>
                <w:shd w:val="clear" w:color="auto" w:fill="auto"/>
                <w:lang w:eastAsia="zh-CN"/>
              </w:rPr>
              <w:t>（</w:t>
            </w:r>
            <w:r>
              <w:rPr>
                <w:rFonts w:hint="default"/>
                <w:bCs/>
                <w:color w:val="auto"/>
                <w:sz w:val="24"/>
                <w:highlight w:val="none"/>
                <w:shd w:val="clear" w:color="auto" w:fill="auto"/>
              </w:rPr>
              <w:t>2021</w:t>
            </w:r>
            <w:r>
              <w:rPr>
                <w:rFonts w:hint="eastAsia"/>
                <w:bCs/>
                <w:color w:val="auto"/>
                <w:sz w:val="24"/>
                <w:highlight w:val="none"/>
                <w:shd w:val="clear" w:color="auto" w:fill="auto"/>
              </w:rPr>
              <w:t>版</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进行判别，项目所用的单晶硅太阳能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组件主要由铝合金边框、钢化玻璃、</w:t>
            </w:r>
            <w:r>
              <w:rPr>
                <w:rFonts w:hint="default"/>
                <w:bCs/>
                <w:color w:val="auto"/>
                <w:sz w:val="24"/>
                <w:highlight w:val="none"/>
                <w:shd w:val="clear" w:color="auto" w:fill="auto"/>
              </w:rPr>
              <w:t>EVA</w:t>
            </w:r>
            <w:r>
              <w:rPr>
                <w:rFonts w:hint="eastAsia"/>
                <w:bCs/>
                <w:color w:val="auto"/>
                <w:sz w:val="24"/>
                <w:highlight w:val="none"/>
                <w:shd w:val="clear" w:color="auto" w:fill="auto"/>
              </w:rPr>
              <w:t>膜、晶体硅电池片、背膜等封装而成，其中晶体硅电池片为高纯度的晶体硅制成，掺杂微量的硼、磷等，不具有腐蚀性、易燃性、毒性、反应性和感染性等危险特性。因此，本项目所使用的太阳能</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板报废后属一般工业固体废物，不属于危险废物</w:t>
            </w:r>
            <w:r>
              <w:rPr>
                <w:rFonts w:hint="eastAsia"/>
                <w:bCs/>
                <w:color w:val="auto"/>
                <w:sz w:val="24"/>
                <w:highlight w:val="none"/>
                <w:shd w:val="clear" w:color="auto" w:fill="auto"/>
                <w:lang w:eastAsia="zh-CN"/>
              </w:rPr>
              <w:t>。</w:t>
            </w:r>
          </w:p>
          <w:p w14:paraId="2E503730">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rPr>
            </w:pP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板使用周期为25年</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报废周期较长，但搭载光伏组件的太阳能光伏板可能发生损坏</w:t>
            </w:r>
            <w:r>
              <w:rPr>
                <w:rFonts w:hint="eastAsia"/>
                <w:bCs/>
                <w:color w:val="auto"/>
                <w:sz w:val="24"/>
                <w:highlight w:val="none"/>
                <w:shd w:val="clear" w:color="auto" w:fill="auto"/>
                <w:lang w:eastAsia="zh-CN"/>
              </w:rPr>
              <w:t>。</w:t>
            </w:r>
            <w:r>
              <w:rPr>
                <w:rFonts w:hint="eastAsia"/>
                <w:bCs/>
                <w:color w:val="auto"/>
                <w:sz w:val="24"/>
                <w:highlight w:val="none"/>
                <w:shd w:val="clear" w:color="auto" w:fill="auto"/>
              </w:rPr>
              <w:t>为保障太阳能发电站的稳定性，设备厂家对其进行定期检测，对于损坏更换的</w:t>
            </w:r>
            <w:r>
              <w:rPr>
                <w:rFonts w:hint="eastAsia"/>
                <w:bCs/>
                <w:color w:val="auto"/>
                <w:sz w:val="24"/>
                <w:highlight w:val="none"/>
                <w:shd w:val="clear" w:color="auto" w:fill="auto"/>
                <w:lang w:val="en-US" w:eastAsia="zh-CN"/>
              </w:rPr>
              <w:t>光伏板及其</w:t>
            </w:r>
            <w:r>
              <w:rPr>
                <w:rFonts w:hint="eastAsia"/>
                <w:bCs/>
                <w:color w:val="auto"/>
                <w:sz w:val="24"/>
                <w:highlight w:val="none"/>
                <w:shd w:val="clear" w:color="auto" w:fill="auto"/>
              </w:rPr>
              <w:t>组件使用寿命到期后更换下来的</w:t>
            </w:r>
            <w:r>
              <w:rPr>
                <w:rFonts w:hint="eastAsia"/>
                <w:bCs/>
                <w:color w:val="auto"/>
                <w:sz w:val="24"/>
                <w:highlight w:val="none"/>
                <w:shd w:val="clear" w:color="auto" w:fill="auto"/>
                <w:lang w:val="en-US" w:eastAsia="zh-CN"/>
              </w:rPr>
              <w:t>光伏</w:t>
            </w:r>
            <w:r>
              <w:rPr>
                <w:rFonts w:hint="eastAsia"/>
                <w:bCs/>
                <w:color w:val="auto"/>
                <w:sz w:val="24"/>
                <w:highlight w:val="none"/>
                <w:shd w:val="clear" w:color="auto" w:fill="auto"/>
              </w:rPr>
              <w:t>组件</w:t>
            </w:r>
            <w:r>
              <w:rPr>
                <w:rFonts w:hint="eastAsia"/>
                <w:bCs/>
                <w:color w:val="auto"/>
                <w:sz w:val="24"/>
                <w:highlight w:val="none"/>
                <w:shd w:val="clear" w:color="auto" w:fill="auto"/>
                <w:lang w:val="en-US" w:eastAsia="zh-CN"/>
              </w:rPr>
              <w:t>禁止在项目区拆分，严禁乱丢乱弃</w:t>
            </w:r>
            <w:r>
              <w:rPr>
                <w:rFonts w:hint="eastAsia"/>
                <w:bCs/>
                <w:color w:val="auto"/>
                <w:sz w:val="24"/>
                <w:highlight w:val="none"/>
                <w:shd w:val="clear" w:color="auto" w:fill="auto"/>
              </w:rPr>
              <w:t>。</w:t>
            </w:r>
            <w:r>
              <w:rPr>
                <w:rFonts w:hint="default"/>
                <w:color w:val="auto"/>
                <w:kern w:val="0"/>
                <w:sz w:val="24"/>
                <w:highlight w:val="none"/>
              </w:rPr>
              <w:t>废电池板损坏量很少，约为万分之五，即</w:t>
            </w:r>
            <w:r>
              <w:rPr>
                <w:rFonts w:hint="eastAsia"/>
                <w:color w:val="auto"/>
                <w:kern w:val="0"/>
                <w:sz w:val="24"/>
                <w:highlight w:val="none"/>
                <w:lang w:val="en-US" w:eastAsia="zh-CN"/>
              </w:rPr>
              <w:t>54</w:t>
            </w:r>
            <w:r>
              <w:rPr>
                <w:rFonts w:hint="default"/>
                <w:color w:val="auto"/>
                <w:kern w:val="0"/>
                <w:sz w:val="24"/>
                <w:highlight w:val="none"/>
              </w:rPr>
              <w:t>块/a。根据5</w:t>
            </w:r>
            <w:r>
              <w:rPr>
                <w:rFonts w:hint="eastAsia"/>
                <w:color w:val="auto"/>
                <w:kern w:val="0"/>
                <w:sz w:val="24"/>
                <w:highlight w:val="none"/>
                <w:lang w:val="en-US" w:eastAsia="zh-CN"/>
              </w:rPr>
              <w:t>9</w:t>
            </w:r>
            <w:r>
              <w:rPr>
                <w:rFonts w:hint="eastAsia"/>
                <w:color w:val="auto"/>
                <w:kern w:val="0"/>
                <w:sz w:val="24"/>
                <w:highlight w:val="none"/>
              </w:rPr>
              <w:t>0</w:t>
            </w:r>
            <w:r>
              <w:rPr>
                <w:rFonts w:hint="default"/>
                <w:color w:val="auto"/>
                <w:kern w:val="0"/>
                <w:sz w:val="24"/>
                <w:highlight w:val="none"/>
              </w:rPr>
              <w:t>Wp光伏组件技术参数表，</w:t>
            </w:r>
            <w:r>
              <w:rPr>
                <w:rFonts w:hint="eastAsia"/>
                <w:color w:val="auto"/>
                <w:kern w:val="0"/>
                <w:sz w:val="24"/>
                <w:highlight w:val="none"/>
                <w:lang w:val="en-US" w:eastAsia="zh-CN"/>
              </w:rPr>
              <w:t>双</w:t>
            </w:r>
            <w:r>
              <w:rPr>
                <w:rFonts w:hint="default"/>
                <w:color w:val="auto"/>
                <w:kern w:val="0"/>
                <w:sz w:val="24"/>
                <w:highlight w:val="none"/>
              </w:rPr>
              <w:t>面组件重量</w:t>
            </w:r>
            <w:r>
              <w:rPr>
                <w:rFonts w:hint="eastAsia"/>
                <w:color w:val="auto"/>
                <w:kern w:val="0"/>
                <w:sz w:val="24"/>
                <w:highlight w:val="none"/>
              </w:rPr>
              <w:t>约</w:t>
            </w:r>
            <w:r>
              <w:rPr>
                <w:rFonts w:hint="default"/>
                <w:color w:val="auto"/>
                <w:kern w:val="0"/>
                <w:sz w:val="24"/>
                <w:highlight w:val="none"/>
              </w:rPr>
              <w:t>为</w:t>
            </w:r>
            <w:r>
              <w:rPr>
                <w:rFonts w:hint="eastAsia"/>
                <w:color w:val="auto"/>
                <w:kern w:val="0"/>
                <w:sz w:val="24"/>
                <w:highlight w:val="none"/>
                <w:lang w:val="en-US" w:eastAsia="zh-CN"/>
              </w:rPr>
              <w:t>31.5</w:t>
            </w:r>
            <w:r>
              <w:rPr>
                <w:rFonts w:hint="default"/>
                <w:color w:val="auto"/>
                <w:kern w:val="0"/>
                <w:sz w:val="24"/>
                <w:highlight w:val="none"/>
              </w:rPr>
              <w:t>kg，废电池板产生量约</w:t>
            </w:r>
            <w:r>
              <w:rPr>
                <w:rFonts w:hint="eastAsia"/>
                <w:color w:val="auto"/>
                <w:kern w:val="0"/>
                <w:sz w:val="24"/>
                <w:highlight w:val="none"/>
                <w:lang w:val="en-US" w:eastAsia="zh-CN"/>
              </w:rPr>
              <w:t>1.7</w:t>
            </w:r>
            <w:r>
              <w:rPr>
                <w:rFonts w:hint="default" w:eastAsia="TimesNewRomanPSMT"/>
                <w:color w:val="auto"/>
                <w:kern w:val="0"/>
                <w:sz w:val="24"/>
                <w:highlight w:val="none"/>
              </w:rPr>
              <w:t>t/a</w:t>
            </w:r>
            <w:r>
              <w:rPr>
                <w:rFonts w:hint="default"/>
                <w:color w:val="auto"/>
                <w:kern w:val="0"/>
                <w:sz w:val="24"/>
                <w:highlight w:val="none"/>
              </w:rPr>
              <w:t>。按照《光伏组件回收在利用通用技术要求》（</w:t>
            </w:r>
            <w:r>
              <w:rPr>
                <w:rFonts w:hint="default" w:eastAsia="TimesNewRomanPSMT"/>
                <w:color w:val="auto"/>
                <w:kern w:val="0"/>
                <w:sz w:val="24"/>
                <w:highlight w:val="none"/>
              </w:rPr>
              <w:t>GB/T 39753-2021</w:t>
            </w:r>
            <w:r>
              <w:rPr>
                <w:rFonts w:hint="default"/>
                <w:color w:val="auto"/>
                <w:kern w:val="0"/>
                <w:sz w:val="24"/>
                <w:highlight w:val="none"/>
              </w:rPr>
              <w:t>）相关内容，</w:t>
            </w:r>
            <w:r>
              <w:rPr>
                <w:rFonts w:hint="default"/>
                <w:bCs/>
                <w:color w:val="auto"/>
                <w:sz w:val="24"/>
                <w:highlight w:val="none"/>
              </w:rPr>
              <w:t>对于损坏更换的</w:t>
            </w:r>
            <w:r>
              <w:rPr>
                <w:rFonts w:hint="default"/>
                <w:color w:val="auto"/>
                <w:kern w:val="0"/>
                <w:sz w:val="24"/>
                <w:highlight w:val="none"/>
              </w:rPr>
              <w:t>电池板</w:t>
            </w:r>
            <w:r>
              <w:rPr>
                <w:rFonts w:hint="default"/>
                <w:bCs/>
                <w:color w:val="auto"/>
                <w:sz w:val="24"/>
                <w:highlight w:val="none"/>
              </w:rPr>
              <w:t>组件更换下来的</w:t>
            </w:r>
            <w:r>
              <w:rPr>
                <w:rFonts w:hint="default"/>
                <w:color w:val="auto"/>
                <w:kern w:val="0"/>
                <w:sz w:val="24"/>
                <w:highlight w:val="none"/>
              </w:rPr>
              <w:t>废电池板</w:t>
            </w:r>
            <w:r>
              <w:rPr>
                <w:rFonts w:hint="default"/>
                <w:bCs/>
                <w:color w:val="auto"/>
                <w:sz w:val="24"/>
                <w:highlight w:val="none"/>
              </w:rPr>
              <w:t>禁止在项目区拆分，严禁乱丢乱弃，</w:t>
            </w:r>
            <w:r>
              <w:rPr>
                <w:rFonts w:hint="eastAsia" w:hAnsi="宋体"/>
                <w:color w:val="auto"/>
                <w:sz w:val="24"/>
                <w:highlight w:val="none"/>
                <w:lang w:val="en-US" w:eastAsia="zh-CN"/>
              </w:rPr>
              <w:t>暂存于竹园沟光伏发电项目一般固废暂存间，</w:t>
            </w:r>
            <w:r>
              <w:rPr>
                <w:rFonts w:hint="eastAsia"/>
                <w:bCs/>
                <w:color w:val="auto"/>
                <w:sz w:val="24"/>
                <w:highlight w:val="none"/>
              </w:rPr>
              <w:t>及时委托</w:t>
            </w:r>
            <w:r>
              <w:rPr>
                <w:rFonts w:hint="default"/>
                <w:bCs/>
                <w:color w:val="auto"/>
                <w:sz w:val="24"/>
                <w:highlight w:val="none"/>
              </w:rPr>
              <w:t>专业的回收厂家收购</w:t>
            </w:r>
            <w:r>
              <w:rPr>
                <w:rFonts w:hint="eastAsia"/>
                <w:bCs/>
                <w:color w:val="auto"/>
                <w:sz w:val="24"/>
                <w:highlight w:val="none"/>
              </w:rPr>
              <w:t>回收</w:t>
            </w:r>
            <w:r>
              <w:rPr>
                <w:rFonts w:hint="default"/>
                <w:bCs/>
                <w:color w:val="auto"/>
                <w:sz w:val="24"/>
                <w:highlight w:val="none"/>
              </w:rPr>
              <w:t>处理</w:t>
            </w:r>
            <w:r>
              <w:rPr>
                <w:rFonts w:hint="default" w:hAnsi="宋体"/>
                <w:color w:val="auto"/>
                <w:sz w:val="24"/>
                <w:highlight w:val="none"/>
              </w:rPr>
              <w:t>，不得随意堆放处置</w:t>
            </w:r>
            <w:r>
              <w:rPr>
                <w:rFonts w:hint="default"/>
                <w:bCs/>
                <w:color w:val="auto"/>
                <w:sz w:val="24"/>
                <w:highlight w:val="none"/>
              </w:rPr>
              <w:t>。</w:t>
            </w:r>
          </w:p>
          <w:p w14:paraId="1D2E8BFB">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Times New Roman" w:hAnsi="Times New Roman" w:eastAsia="宋体" w:cs="Times New Roman"/>
                <w:b/>
                <w:color w:val="auto"/>
                <w:sz w:val="24"/>
                <w:highlight w:val="none"/>
              </w:rPr>
            </w:pPr>
            <w:r>
              <w:rPr>
                <w:rFonts w:hint="eastAsia"/>
                <w:b/>
                <w:color w:val="auto"/>
                <w:sz w:val="24"/>
                <w:highlight w:val="none"/>
                <w:shd w:val="clear" w:color="auto" w:fill="auto"/>
              </w:rPr>
              <w:t>②</w:t>
            </w:r>
            <w:r>
              <w:rPr>
                <w:rFonts w:hint="eastAsia" w:ascii="Times New Roman" w:hAnsi="Times New Roman" w:eastAsia="宋体" w:cs="Times New Roman"/>
                <w:b/>
                <w:color w:val="auto"/>
                <w:sz w:val="24"/>
                <w:highlight w:val="none"/>
                <w:lang w:val="en-US" w:eastAsia="zh-CN"/>
              </w:rPr>
              <w:t xml:space="preserve">废逆变器 </w:t>
            </w:r>
          </w:p>
          <w:p w14:paraId="414D1EE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s="Times New Roman"/>
                <w:b/>
                <w:bCs/>
                <w:color w:val="auto"/>
                <w:spacing w:val="6"/>
                <w:sz w:val="24"/>
                <w:highlight w:val="none"/>
                <w:lang w:val="en-US" w:eastAsia="zh-CN"/>
              </w:rPr>
            </w:pPr>
            <w:r>
              <w:rPr>
                <w:rFonts w:hint="eastAsia" w:ascii="Times New Roman" w:hAnsi="Times New Roman" w:eastAsia="宋体" w:cs="Times New Roman"/>
                <w:bCs/>
                <w:color w:val="auto"/>
                <w:sz w:val="24"/>
                <w:highlight w:val="none"/>
                <w:shd w:val="clear" w:color="auto" w:fill="auto"/>
                <w:lang w:val="en-US" w:eastAsia="zh-CN"/>
              </w:rPr>
              <w:t>项目光伏区逆变器运营期有损坏需要更换，产生的废旧逆变器，属于一般固废，每年更换约</w:t>
            </w:r>
            <w:r>
              <w:rPr>
                <w:rFonts w:hint="eastAsia"/>
                <w:bCs/>
                <w:color w:val="auto"/>
                <w:sz w:val="24"/>
                <w:highlight w:val="none"/>
                <w:shd w:val="clear" w:color="auto" w:fill="auto"/>
                <w:lang w:val="en-US" w:eastAsia="zh-CN"/>
              </w:rPr>
              <w:t>百分之五，</w:t>
            </w:r>
            <w:r>
              <w:rPr>
                <w:rFonts w:hint="default"/>
                <w:color w:val="auto"/>
                <w:kern w:val="0"/>
                <w:sz w:val="24"/>
                <w:highlight w:val="none"/>
              </w:rPr>
              <w:t>即</w:t>
            </w:r>
            <w:r>
              <w:rPr>
                <w:rFonts w:hint="eastAsia" w:cs="Times New Roman"/>
                <w:bCs/>
                <w:color w:val="auto"/>
                <w:sz w:val="24"/>
                <w:highlight w:val="none"/>
                <w:shd w:val="clear" w:color="auto" w:fill="auto"/>
                <w:lang w:val="en-US" w:eastAsia="zh-CN"/>
              </w:rPr>
              <w:t>8</w:t>
            </w:r>
            <w:r>
              <w:rPr>
                <w:rFonts w:hint="eastAsia" w:ascii="Times New Roman" w:hAnsi="Times New Roman" w:eastAsia="宋体" w:cs="Times New Roman"/>
                <w:bCs/>
                <w:color w:val="auto"/>
                <w:sz w:val="24"/>
                <w:highlight w:val="none"/>
                <w:shd w:val="clear" w:color="auto" w:fill="auto"/>
                <w:lang w:val="en-US" w:eastAsia="zh-CN"/>
              </w:rPr>
              <w:t>个逆变器，每个逆变器116</w:t>
            </w:r>
            <w:r>
              <w:rPr>
                <w:rFonts w:hint="default" w:ascii="Times New Roman" w:hAnsi="Times New Roman" w:eastAsia="宋体" w:cs="Times New Roman"/>
                <w:bCs/>
                <w:color w:val="auto"/>
                <w:sz w:val="24"/>
                <w:highlight w:val="none"/>
                <w:shd w:val="clear" w:color="auto" w:fill="auto"/>
                <w:lang w:val="en-US" w:eastAsia="zh-CN"/>
              </w:rPr>
              <w:t>kg</w:t>
            </w:r>
            <w:r>
              <w:rPr>
                <w:rFonts w:hint="eastAsia" w:ascii="Times New Roman" w:hAnsi="Times New Roman" w:eastAsia="宋体" w:cs="Times New Roman"/>
                <w:bCs/>
                <w:color w:val="auto"/>
                <w:sz w:val="24"/>
                <w:highlight w:val="none"/>
                <w:shd w:val="clear" w:color="auto" w:fill="auto"/>
                <w:lang w:val="en-US" w:eastAsia="zh-CN"/>
              </w:rPr>
              <w:t>，每年产生废旧逆变器</w:t>
            </w:r>
            <w:r>
              <w:rPr>
                <w:rFonts w:hint="eastAsia" w:cs="Times New Roman"/>
                <w:bCs/>
                <w:color w:val="auto"/>
                <w:sz w:val="24"/>
                <w:highlight w:val="none"/>
                <w:shd w:val="clear" w:color="auto" w:fill="auto"/>
                <w:lang w:val="en-US" w:eastAsia="zh-CN"/>
              </w:rPr>
              <w:t>0.928</w:t>
            </w:r>
            <w:r>
              <w:rPr>
                <w:rFonts w:hint="default" w:ascii="Times New Roman" w:hAnsi="Times New Roman" w:eastAsia="宋体" w:cs="Times New Roman"/>
                <w:bCs/>
                <w:color w:val="auto"/>
                <w:sz w:val="24"/>
                <w:highlight w:val="none"/>
                <w:shd w:val="clear" w:color="auto" w:fill="auto"/>
                <w:lang w:val="en-US" w:eastAsia="zh-CN"/>
              </w:rPr>
              <w:t>t/a</w:t>
            </w:r>
            <w:r>
              <w:rPr>
                <w:rFonts w:hint="eastAsia" w:ascii="Times New Roman" w:hAnsi="Times New Roman" w:eastAsia="宋体" w:cs="Times New Roman"/>
                <w:bCs/>
                <w:color w:val="auto"/>
                <w:sz w:val="24"/>
                <w:highlight w:val="none"/>
                <w:shd w:val="clear" w:color="auto" w:fill="auto"/>
                <w:lang w:val="en-US" w:eastAsia="zh-CN"/>
              </w:rPr>
              <w:t>，</w:t>
            </w:r>
            <w:r>
              <w:rPr>
                <w:rFonts w:hint="eastAsia" w:cs="Times New Roman"/>
                <w:bCs/>
                <w:color w:val="auto"/>
                <w:sz w:val="24"/>
                <w:highlight w:val="none"/>
                <w:shd w:val="clear" w:color="auto" w:fill="auto"/>
                <w:lang w:val="en-US" w:eastAsia="zh-CN"/>
              </w:rPr>
              <w:t>废</w:t>
            </w:r>
            <w:r>
              <w:rPr>
                <w:rFonts w:hint="eastAsia" w:ascii="Times New Roman" w:hAnsi="Times New Roman" w:eastAsia="宋体" w:cs="Times New Roman"/>
                <w:bCs/>
                <w:color w:val="auto"/>
                <w:sz w:val="24"/>
                <w:highlight w:val="none"/>
                <w:shd w:val="clear" w:color="auto" w:fill="auto"/>
                <w:lang w:val="en-US" w:eastAsia="zh-CN"/>
              </w:rPr>
              <w:t>逆变器</w:t>
            </w:r>
            <w:r>
              <w:rPr>
                <w:rFonts w:hint="eastAsia" w:cs="Times New Roman"/>
                <w:bCs/>
                <w:color w:val="auto"/>
                <w:sz w:val="24"/>
                <w:highlight w:val="none"/>
                <w:shd w:val="clear" w:color="auto" w:fill="auto"/>
                <w:lang w:val="en-US" w:eastAsia="zh-CN"/>
              </w:rPr>
              <w:t>属于一般工业固废，根据</w:t>
            </w:r>
            <w:r>
              <w:rPr>
                <w:rFonts w:hint="eastAsia" w:ascii="Times New Roman" w:hAnsi="Times New Roman" w:eastAsia="宋体" w:cs="Times New Roman"/>
                <w:bCs/>
                <w:color w:val="auto"/>
                <w:sz w:val="24"/>
                <w:highlight w:val="none"/>
                <w:shd w:val="clear" w:color="auto" w:fill="auto"/>
                <w:lang w:val="en-US" w:eastAsia="zh-CN"/>
              </w:rPr>
              <w:t>关于发布《固体废物分类与代码目录》的公告</w:t>
            </w:r>
            <w:r>
              <w:rPr>
                <w:rFonts w:hint="eastAsia" w:cs="Times New Roman"/>
                <w:bCs/>
                <w:color w:val="auto"/>
                <w:sz w:val="24"/>
                <w:highlight w:val="none"/>
                <w:shd w:val="clear" w:color="auto" w:fill="auto"/>
                <w:lang w:val="en-US" w:eastAsia="zh-CN"/>
              </w:rPr>
              <w:t>（</w:t>
            </w:r>
            <w:r>
              <w:rPr>
                <w:rFonts w:hint="eastAsia" w:ascii="Times New Roman" w:hAnsi="Times New Roman" w:eastAsia="宋体" w:cs="Times New Roman"/>
                <w:bCs/>
                <w:color w:val="auto"/>
                <w:sz w:val="24"/>
                <w:highlight w:val="none"/>
                <w:shd w:val="clear" w:color="auto" w:fill="auto"/>
                <w:lang w:val="en-US" w:eastAsia="zh-CN"/>
              </w:rPr>
              <w:t>公告2024年第4号</w:t>
            </w:r>
            <w:r>
              <w:rPr>
                <w:rFonts w:hint="eastAsia" w:cs="Times New Roman"/>
                <w:bCs/>
                <w:color w:val="auto"/>
                <w:sz w:val="24"/>
                <w:highlight w:val="none"/>
                <w:shd w:val="clear" w:color="auto" w:fill="auto"/>
                <w:lang w:val="en-US" w:eastAsia="zh-CN"/>
              </w:rPr>
              <w:t>），代码为</w:t>
            </w:r>
            <w:r>
              <w:rPr>
                <w:rFonts w:hint="eastAsia"/>
                <w:color w:val="auto"/>
                <w:sz w:val="24"/>
                <w:szCs w:val="24"/>
                <w:highlight w:val="none"/>
                <w:shd w:val="clear" w:color="auto" w:fill="auto"/>
                <w:lang w:val="en-US" w:eastAsia="zh-CN"/>
              </w:rPr>
              <w:t>SW59 900-099-S59</w:t>
            </w:r>
            <w:r>
              <w:rPr>
                <w:rFonts w:hint="eastAsia"/>
                <w:color w:val="auto"/>
                <w:sz w:val="21"/>
                <w:szCs w:val="21"/>
                <w:highlight w:val="none"/>
                <w:shd w:val="clear" w:color="auto" w:fill="auto"/>
                <w:lang w:val="en-US" w:eastAsia="zh-CN"/>
              </w:rPr>
              <w:t>，</w:t>
            </w:r>
            <w:r>
              <w:rPr>
                <w:rFonts w:hint="eastAsia" w:hAnsi="宋体"/>
                <w:color w:val="auto"/>
                <w:sz w:val="24"/>
                <w:highlight w:val="none"/>
                <w:shd w:val="clear" w:color="auto" w:fill="auto"/>
                <w:lang w:val="en-US" w:eastAsia="zh-CN"/>
              </w:rPr>
              <w:t>暂存于</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hAnsi="宋体"/>
                <w:color w:val="auto"/>
                <w:sz w:val="24"/>
                <w:highlight w:val="none"/>
                <w:shd w:val="clear" w:color="auto" w:fill="auto"/>
                <w:lang w:val="en-US" w:eastAsia="zh-CN"/>
              </w:rPr>
              <w:t>一般固废暂存间，</w:t>
            </w:r>
            <w:r>
              <w:rPr>
                <w:rFonts w:hint="eastAsia"/>
                <w:bCs/>
                <w:color w:val="auto"/>
                <w:sz w:val="24"/>
                <w:highlight w:val="none"/>
                <w:shd w:val="clear" w:color="auto" w:fill="auto"/>
              </w:rPr>
              <w:t>及时委托</w:t>
            </w:r>
            <w:r>
              <w:rPr>
                <w:rFonts w:hint="default"/>
                <w:bCs/>
                <w:color w:val="auto"/>
                <w:sz w:val="24"/>
                <w:highlight w:val="none"/>
                <w:shd w:val="clear" w:color="auto" w:fill="auto"/>
              </w:rPr>
              <w:t>专业的回收厂家收购</w:t>
            </w:r>
            <w:r>
              <w:rPr>
                <w:rFonts w:hint="eastAsia"/>
                <w:bCs/>
                <w:color w:val="auto"/>
                <w:sz w:val="24"/>
                <w:highlight w:val="none"/>
                <w:shd w:val="clear" w:color="auto" w:fill="auto"/>
              </w:rPr>
              <w:t>回收</w:t>
            </w:r>
            <w:r>
              <w:rPr>
                <w:rFonts w:hint="default"/>
                <w:bCs/>
                <w:color w:val="auto"/>
                <w:sz w:val="24"/>
                <w:highlight w:val="none"/>
                <w:shd w:val="clear" w:color="auto" w:fill="auto"/>
              </w:rPr>
              <w:t>处理</w:t>
            </w:r>
            <w:r>
              <w:rPr>
                <w:rFonts w:hint="default" w:hAnsi="宋体"/>
                <w:color w:val="auto"/>
                <w:sz w:val="24"/>
                <w:highlight w:val="none"/>
                <w:shd w:val="clear" w:color="auto" w:fill="auto"/>
              </w:rPr>
              <w:t>，不得随意堆放处置</w:t>
            </w:r>
            <w:r>
              <w:rPr>
                <w:rFonts w:hint="default"/>
                <w:bCs/>
                <w:color w:val="auto"/>
                <w:sz w:val="24"/>
                <w:highlight w:val="none"/>
                <w:shd w:val="clear" w:color="auto" w:fill="auto"/>
              </w:rPr>
              <w:t>。</w:t>
            </w:r>
          </w:p>
          <w:p w14:paraId="55009E42">
            <w:pPr>
              <w:keepNext w:val="0"/>
              <w:keepLines w:val="0"/>
              <w:suppressLineNumbers w:val="0"/>
              <w:adjustRightInd w:val="0"/>
              <w:snapToGrid w:val="0"/>
              <w:spacing w:before="0" w:beforeAutospacing="0" w:after="0" w:afterAutospacing="0" w:line="360" w:lineRule="auto"/>
              <w:ind w:left="0" w:right="0" w:firstLine="506" w:firstLineChars="200"/>
              <w:rPr>
                <w:rFonts w:hint="default" w:cs="Times New Roman"/>
                <w:b/>
                <w:bCs/>
                <w:color w:val="auto"/>
                <w:spacing w:val="6"/>
                <w:sz w:val="24"/>
                <w:highlight w:val="none"/>
                <w:lang w:val="en-US" w:eastAsia="zh-CN"/>
              </w:rPr>
            </w:pPr>
            <w:r>
              <w:rPr>
                <w:rFonts w:hint="eastAsia" w:cs="Times New Roman"/>
                <w:b/>
                <w:bCs/>
                <w:color w:val="auto"/>
                <w:spacing w:val="6"/>
                <w:sz w:val="24"/>
                <w:highlight w:val="none"/>
                <w:lang w:val="en-US" w:eastAsia="zh-CN"/>
              </w:rPr>
              <w:t>③废电气元件</w:t>
            </w:r>
          </w:p>
          <w:p w14:paraId="28B9392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设备检修时会产生少量废电气元件。集电线路废旧设备、材料等，这些废弃物主要是废弃的导线、螺丝钉等铁质材料，根据建设方提供的设计资料和运营同类型项目的经验，产生量为</w:t>
            </w:r>
            <w:r>
              <w:rPr>
                <w:rFonts w:hint="eastAsia" w:ascii="Times New Roman" w:hAnsi="Times New Roman" w:cs="Times New Roman"/>
                <w:bCs/>
                <w:color w:val="auto"/>
                <w:sz w:val="24"/>
                <w:highlight w:val="none"/>
                <w:lang w:val="en-US" w:eastAsia="zh-CN"/>
              </w:rPr>
              <w:t>0.</w:t>
            </w:r>
            <w:r>
              <w:rPr>
                <w:rFonts w:hint="eastAsia" w:cs="Times New Roman"/>
                <w:bCs/>
                <w:color w:val="auto"/>
                <w:sz w:val="24"/>
                <w:highlight w:val="none"/>
                <w:lang w:val="en-US" w:eastAsia="zh-CN"/>
              </w:rPr>
              <w:t>5</w:t>
            </w:r>
            <w:r>
              <w:rPr>
                <w:rFonts w:hint="eastAsia"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lang w:val="en-US" w:eastAsia="zh-CN"/>
              </w:rPr>
              <w:t>废电气元件</w:t>
            </w:r>
            <w:r>
              <w:rPr>
                <w:rFonts w:hint="eastAsia" w:cs="Times New Roman"/>
                <w:bCs/>
                <w:color w:val="auto"/>
                <w:sz w:val="24"/>
                <w:highlight w:val="none"/>
                <w:shd w:val="clear" w:color="auto" w:fill="auto"/>
                <w:lang w:val="en-US" w:eastAsia="zh-CN"/>
              </w:rPr>
              <w:t>属于一般工业固废，根据</w:t>
            </w:r>
            <w:r>
              <w:rPr>
                <w:rFonts w:hint="eastAsia" w:ascii="Times New Roman" w:hAnsi="Times New Roman" w:eastAsia="宋体" w:cs="Times New Roman"/>
                <w:bCs/>
                <w:color w:val="auto"/>
                <w:sz w:val="24"/>
                <w:highlight w:val="none"/>
                <w:shd w:val="clear" w:color="auto" w:fill="auto"/>
                <w:lang w:val="en-US" w:eastAsia="zh-CN"/>
              </w:rPr>
              <w:t>关于发布《固体废物分类与代码目录》的公告</w:t>
            </w:r>
            <w:r>
              <w:rPr>
                <w:rFonts w:hint="eastAsia" w:cs="Times New Roman"/>
                <w:bCs/>
                <w:color w:val="auto"/>
                <w:sz w:val="24"/>
                <w:highlight w:val="none"/>
                <w:shd w:val="clear" w:color="auto" w:fill="auto"/>
                <w:lang w:val="en-US" w:eastAsia="zh-CN"/>
              </w:rPr>
              <w:t>（</w:t>
            </w:r>
            <w:r>
              <w:rPr>
                <w:rFonts w:hint="eastAsia" w:ascii="Times New Roman" w:hAnsi="Times New Roman" w:eastAsia="宋体" w:cs="Times New Roman"/>
                <w:bCs/>
                <w:color w:val="auto"/>
                <w:sz w:val="24"/>
                <w:highlight w:val="none"/>
                <w:shd w:val="clear" w:color="auto" w:fill="auto"/>
                <w:lang w:val="en-US" w:eastAsia="zh-CN"/>
              </w:rPr>
              <w:t>公告2024年第4号</w:t>
            </w:r>
            <w:r>
              <w:rPr>
                <w:rFonts w:hint="eastAsia" w:cs="Times New Roman"/>
                <w:bCs/>
                <w:color w:val="auto"/>
                <w:sz w:val="24"/>
                <w:highlight w:val="none"/>
                <w:shd w:val="clear" w:color="auto" w:fill="auto"/>
                <w:lang w:val="en-US" w:eastAsia="zh-CN"/>
              </w:rPr>
              <w:t>），代码为</w:t>
            </w:r>
            <w:r>
              <w:rPr>
                <w:rFonts w:hint="eastAsia"/>
                <w:color w:val="auto"/>
                <w:sz w:val="24"/>
                <w:szCs w:val="24"/>
                <w:highlight w:val="none"/>
                <w:shd w:val="clear" w:color="auto" w:fill="auto"/>
                <w:lang w:val="en-US" w:eastAsia="zh-CN"/>
              </w:rPr>
              <w:t>SW59 900-099-S59</w:t>
            </w:r>
            <w:r>
              <w:rPr>
                <w:rFonts w:hint="eastAsia"/>
                <w:color w:val="auto"/>
                <w:sz w:val="21"/>
                <w:szCs w:val="21"/>
                <w:highlight w:val="none"/>
                <w:shd w:val="clear" w:color="auto" w:fill="auto"/>
                <w:lang w:val="en-US" w:eastAsia="zh-CN"/>
              </w:rPr>
              <w:t>，</w:t>
            </w:r>
            <w:r>
              <w:rPr>
                <w:rFonts w:hint="eastAsia" w:ascii="Times New Roman" w:hAnsi="Times New Roman" w:eastAsia="宋体" w:cs="Times New Roman"/>
                <w:bCs/>
                <w:color w:val="auto"/>
                <w:sz w:val="24"/>
                <w:highlight w:val="none"/>
                <w:lang w:val="en-US" w:eastAsia="zh-CN"/>
              </w:rPr>
              <w:t>项目运营期间意外报废的</w:t>
            </w:r>
            <w:r>
              <w:rPr>
                <w:rFonts w:hint="eastAsia" w:cs="Times New Roman"/>
                <w:bCs/>
                <w:color w:val="auto"/>
                <w:sz w:val="24"/>
                <w:highlight w:val="none"/>
                <w:lang w:val="en-US" w:eastAsia="zh-CN"/>
              </w:rPr>
              <w:t>电气元件</w:t>
            </w:r>
            <w:r>
              <w:rPr>
                <w:rFonts w:hint="eastAsia" w:ascii="Times New Roman" w:hAnsi="Times New Roman" w:eastAsia="宋体" w:cs="Times New Roman"/>
                <w:bCs/>
                <w:color w:val="auto"/>
                <w:sz w:val="24"/>
                <w:highlight w:val="none"/>
                <w:lang w:val="en-US" w:eastAsia="zh-CN"/>
              </w:rPr>
              <w:t>暂存于</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eastAsia" w:ascii="Times New Roman" w:hAnsi="Times New Roman" w:eastAsia="宋体" w:cs="Times New Roman"/>
                <w:color w:val="auto"/>
                <w:kern w:val="0"/>
                <w:sz w:val="24"/>
                <w:highlight w:val="none"/>
                <w:lang w:val="en-US" w:eastAsia="zh-CN"/>
              </w:rPr>
              <w:t>升压站</w:t>
            </w:r>
            <w:r>
              <w:rPr>
                <w:rFonts w:hint="eastAsia" w:ascii="Times New Roman" w:hAnsi="Times New Roman" w:eastAsia="宋体" w:cs="Times New Roman"/>
                <w:color w:val="auto"/>
                <w:kern w:val="0"/>
                <w:sz w:val="24"/>
                <w:szCs w:val="24"/>
                <w:highlight w:val="none"/>
                <w:shd w:val="clear" w:color="auto" w:fill="auto"/>
                <w:lang w:val="en-US" w:eastAsia="zh-CN" w:bidi="ar-SA"/>
              </w:rPr>
              <w:t>一般固废暂存间</w:t>
            </w:r>
            <w:r>
              <w:rPr>
                <w:rFonts w:hint="eastAsia" w:ascii="Times New Roman" w:hAnsi="Times New Roman" w:eastAsia="宋体" w:cs="Times New Roman"/>
                <w:bCs/>
                <w:color w:val="auto"/>
                <w:sz w:val="24"/>
                <w:highlight w:val="none"/>
                <w:lang w:val="en-US" w:eastAsia="zh-CN"/>
              </w:rPr>
              <w:t>，最终由专业的回收厂家收购处理。</w:t>
            </w:r>
          </w:p>
          <w:p w14:paraId="25F16B7C">
            <w:pPr>
              <w:keepNext w:val="0"/>
              <w:keepLines w:val="0"/>
              <w:suppressLineNumbers w:val="0"/>
              <w:shd w:val="clear"/>
              <w:adjustRightInd w:val="0"/>
              <w:snapToGrid w:val="0"/>
              <w:spacing w:before="0" w:beforeAutospacing="0" w:after="0" w:afterAutospacing="0" w:line="360" w:lineRule="auto"/>
              <w:ind w:left="0" w:right="0" w:firstLine="506" w:firstLineChars="200"/>
              <w:rPr>
                <w:rFonts w:hint="default" w:ascii="Times New Roman" w:hAnsi="Times New Roman" w:eastAsia="宋体" w:cs="Times New Roman"/>
                <w:b/>
                <w:bCs/>
                <w:color w:val="auto"/>
                <w:spacing w:val="6"/>
                <w:sz w:val="24"/>
                <w:highlight w:val="none"/>
                <w:shd w:val="clear" w:color="auto" w:fill="auto"/>
                <w:lang w:val="en-US" w:eastAsia="zh-CN"/>
              </w:rPr>
            </w:pPr>
            <w:r>
              <w:rPr>
                <w:rFonts w:hint="eastAsia"/>
                <w:b/>
                <w:bCs/>
                <w:color w:val="auto"/>
                <w:spacing w:val="6"/>
                <w:sz w:val="24"/>
                <w:highlight w:val="none"/>
                <w:shd w:val="clear" w:color="auto" w:fill="auto"/>
              </w:rPr>
              <w:t>④</w:t>
            </w:r>
            <w:r>
              <w:rPr>
                <w:rFonts w:hint="eastAsia" w:ascii="Times New Roman" w:hAnsi="Times New Roman" w:eastAsia="宋体" w:cs="Times New Roman"/>
                <w:b/>
                <w:bCs/>
                <w:color w:val="auto"/>
                <w:spacing w:val="6"/>
                <w:sz w:val="24"/>
                <w:highlight w:val="none"/>
                <w:shd w:val="clear" w:color="auto" w:fill="auto"/>
                <w:lang w:val="en-US" w:eastAsia="zh-CN"/>
              </w:rPr>
              <w:t>废变压器油</w:t>
            </w:r>
          </w:p>
          <w:p w14:paraId="1BDAA2E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highlight w:val="none"/>
                <w:shd w:val="clear" w:color="auto" w:fill="auto"/>
                <w:lang w:val="en-US" w:eastAsia="zh-CN"/>
              </w:rPr>
            </w:pPr>
            <w:r>
              <w:rPr>
                <w:rFonts w:hint="eastAsia"/>
                <w:color w:val="auto"/>
                <w:sz w:val="24"/>
                <w:szCs w:val="24"/>
                <w:highlight w:val="none"/>
                <w:shd w:val="clear" w:color="auto" w:fill="auto"/>
              </w:rPr>
              <w:t>为防止变压器油泄漏至外环境，</w:t>
            </w:r>
            <w:r>
              <w:rPr>
                <w:rFonts w:hint="eastAsia"/>
                <w:bCs/>
                <w:color w:val="auto"/>
                <w:sz w:val="24"/>
                <w:highlight w:val="none"/>
                <w:shd w:val="clear" w:color="auto" w:fill="auto"/>
              </w:rPr>
              <w:t>项目在</w:t>
            </w:r>
            <w:r>
              <w:rPr>
                <w:rFonts w:hint="default"/>
                <w:color w:val="auto"/>
                <w:kern w:val="0"/>
                <w:sz w:val="24"/>
                <w:highlight w:val="none"/>
                <w:shd w:val="clear" w:color="auto" w:fill="auto"/>
              </w:rPr>
              <w:t>箱式变压器下方基础处设置</w:t>
            </w:r>
            <w:r>
              <w:rPr>
                <w:rFonts w:hint="eastAsia"/>
                <w:bCs/>
                <w:color w:val="auto"/>
                <w:sz w:val="24"/>
                <w:highlight w:val="none"/>
                <w:lang w:val="en-US" w:eastAsia="zh-CN"/>
              </w:rPr>
              <w:t>16</w:t>
            </w:r>
            <w:r>
              <w:rPr>
                <w:rFonts w:hint="eastAsia"/>
                <w:color w:val="auto"/>
                <w:kern w:val="0"/>
                <w:sz w:val="24"/>
                <w:highlight w:val="none"/>
                <w:shd w:val="clear" w:color="auto" w:fill="auto"/>
              </w:rPr>
              <w:t>个</w:t>
            </w:r>
            <w:r>
              <w:rPr>
                <w:rFonts w:hint="eastAsia"/>
                <w:color w:val="auto"/>
                <w:kern w:val="0"/>
                <w:sz w:val="24"/>
                <w:highlight w:val="none"/>
                <w:shd w:val="clear" w:color="auto" w:fill="auto"/>
                <w:lang w:val="en-US" w:eastAsia="zh-CN"/>
              </w:rPr>
              <w:t>事故油池</w:t>
            </w:r>
            <w:r>
              <w:rPr>
                <w:rFonts w:hint="default"/>
                <w:color w:val="auto"/>
                <w:kern w:val="0"/>
                <w:sz w:val="24"/>
                <w:highlight w:val="none"/>
                <w:shd w:val="clear" w:color="auto" w:fill="auto"/>
              </w:rPr>
              <w:t>。</w:t>
            </w:r>
            <w:r>
              <w:rPr>
                <w:rFonts w:hint="eastAsia"/>
                <w:color w:val="auto"/>
                <w:sz w:val="24"/>
                <w:highlight w:val="none"/>
              </w:rPr>
              <w:t>根据设计资料，</w:t>
            </w:r>
            <w:r>
              <w:rPr>
                <w:rFonts w:hint="eastAsia" w:ascii="Times New Roman" w:hAnsi="Times New Roman" w:eastAsia="宋体" w:cs="Times New Roman"/>
                <w:color w:val="auto"/>
                <w:sz w:val="24"/>
                <w:szCs w:val="24"/>
                <w:highlight w:val="none"/>
                <w:shd w:val="clear" w:color="auto" w:fill="auto"/>
                <w:lang w:eastAsia="zh-CN"/>
              </w:rPr>
              <w:t>项目</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台</w:t>
            </w:r>
            <w:r>
              <w:rPr>
                <w:rFonts w:hint="eastAsia" w:ascii="Times New Roman" w:hAnsi="Times New Roman" w:cs="Times New Roman"/>
                <w:color w:val="auto"/>
                <w:sz w:val="24"/>
                <w:szCs w:val="24"/>
                <w:highlight w:val="none"/>
                <w:shd w:val="clear" w:color="auto" w:fill="auto"/>
                <w:lang w:val="en-US" w:eastAsia="zh-CN"/>
              </w:rPr>
              <w:t>2300</w:t>
            </w:r>
            <w:r>
              <w:rPr>
                <w:rFonts w:hint="default" w:ascii="Times New Roman" w:hAnsi="Times New Roman" w:eastAsia="宋体" w:cs="Times New Roman"/>
                <w:color w:val="auto"/>
                <w:sz w:val="24"/>
                <w:szCs w:val="24"/>
                <w:highlight w:val="none"/>
                <w:shd w:val="clear" w:color="auto" w:fill="auto"/>
              </w:rPr>
              <w:t>kVA箱式升压变压器每台油重</w:t>
            </w:r>
            <w:r>
              <w:rPr>
                <w:rFonts w:hint="eastAsia" w:cs="Times New Roman"/>
                <w:color w:val="auto"/>
                <w:sz w:val="24"/>
                <w:szCs w:val="24"/>
                <w:highlight w:val="none"/>
                <w:shd w:val="clear" w:color="auto" w:fill="auto"/>
                <w:lang w:val="en-US" w:eastAsia="zh-CN"/>
              </w:rPr>
              <w:t>2.1</w:t>
            </w:r>
            <w:r>
              <w:rPr>
                <w:rFonts w:hint="default" w:ascii="Times New Roman" w:hAnsi="Times New Roman" w:eastAsia="宋体" w:cs="Times New Roman"/>
                <w:color w:val="auto"/>
                <w:sz w:val="24"/>
                <w:szCs w:val="24"/>
                <w:highlight w:val="none"/>
                <w:shd w:val="clear" w:color="auto" w:fill="auto"/>
              </w:rPr>
              <w:t>t，折算成体积约为</w:t>
            </w:r>
            <w:r>
              <w:rPr>
                <w:rFonts w:hint="eastAsia" w:cs="Times New Roman"/>
                <w:color w:val="auto"/>
                <w:sz w:val="24"/>
                <w:szCs w:val="24"/>
                <w:highlight w:val="none"/>
                <w:shd w:val="clear" w:color="auto" w:fill="auto"/>
                <w:lang w:val="en-US" w:eastAsia="zh-CN"/>
              </w:rPr>
              <w:t>2.35</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rPr>
              <w:t>，则对应集油池容积应不低于</w:t>
            </w:r>
            <w:r>
              <w:rPr>
                <w:rFonts w:hint="eastAsia" w:cs="Times New Roman"/>
                <w:color w:val="auto"/>
                <w:sz w:val="24"/>
                <w:szCs w:val="24"/>
                <w:highlight w:val="none"/>
                <w:shd w:val="clear" w:color="auto" w:fill="auto"/>
                <w:lang w:val="en-US" w:eastAsia="zh-CN"/>
              </w:rPr>
              <w:t>2.4</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7</w:t>
            </w:r>
            <w:r>
              <w:rPr>
                <w:rFonts w:hint="default" w:ascii="Times New Roman" w:hAnsi="Times New Roman" w:eastAsia="宋体" w:cs="Times New Roman"/>
                <w:color w:val="auto"/>
                <w:sz w:val="24"/>
                <w:szCs w:val="24"/>
                <w:highlight w:val="none"/>
                <w:shd w:val="clear" w:color="auto" w:fill="auto"/>
              </w:rPr>
              <w:t>台</w:t>
            </w:r>
            <w:r>
              <w:rPr>
                <w:rFonts w:hint="eastAsia" w:ascii="Times New Roman" w:hAnsi="Times New Roman" w:cs="Times New Roman"/>
                <w:color w:val="auto"/>
                <w:sz w:val="24"/>
                <w:szCs w:val="24"/>
                <w:highlight w:val="none"/>
                <w:shd w:val="clear" w:color="auto" w:fill="auto"/>
                <w:lang w:val="en-US" w:eastAsia="zh-CN"/>
              </w:rPr>
              <w:t>3200</w:t>
            </w:r>
            <w:r>
              <w:rPr>
                <w:rFonts w:hint="default" w:ascii="Times New Roman" w:hAnsi="Times New Roman" w:eastAsia="宋体" w:cs="Times New Roman"/>
                <w:color w:val="auto"/>
                <w:sz w:val="24"/>
                <w:szCs w:val="24"/>
                <w:highlight w:val="none"/>
                <w:shd w:val="clear" w:color="auto" w:fill="auto"/>
              </w:rPr>
              <w:t>kVA箱式升压变压器每台油重约</w:t>
            </w:r>
            <w:r>
              <w:rPr>
                <w:rFonts w:hint="eastAsia" w:cs="Times New Roman"/>
                <w:color w:val="auto"/>
                <w:sz w:val="24"/>
                <w:szCs w:val="24"/>
                <w:highlight w:val="none"/>
                <w:shd w:val="clear" w:color="auto" w:fill="auto"/>
                <w:lang w:val="en-US" w:eastAsia="zh-CN"/>
              </w:rPr>
              <w:t>2.52</w:t>
            </w:r>
            <w:r>
              <w:rPr>
                <w:rFonts w:hint="default" w:ascii="Times New Roman" w:hAnsi="Times New Roman" w:eastAsia="宋体" w:cs="Times New Roman"/>
                <w:color w:val="auto"/>
                <w:sz w:val="24"/>
                <w:szCs w:val="24"/>
                <w:highlight w:val="none"/>
                <w:shd w:val="clear" w:color="auto" w:fill="auto"/>
              </w:rPr>
              <w:t>t，折算成体积约为</w:t>
            </w:r>
            <w:r>
              <w:rPr>
                <w:rFonts w:hint="eastAsia" w:cs="Times New Roman"/>
                <w:color w:val="auto"/>
                <w:sz w:val="24"/>
                <w:szCs w:val="24"/>
                <w:highlight w:val="none"/>
                <w:shd w:val="clear" w:color="auto" w:fill="auto"/>
                <w:lang w:val="en-US" w:eastAsia="zh-CN"/>
              </w:rPr>
              <w:t>2.81</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则对</w:t>
            </w:r>
            <w:r>
              <w:rPr>
                <w:rFonts w:hint="default" w:ascii="Times New Roman" w:hAnsi="Times New Roman" w:eastAsia="宋体" w:cs="Times New Roman"/>
                <w:color w:val="auto"/>
                <w:sz w:val="24"/>
                <w:szCs w:val="24"/>
                <w:highlight w:val="none"/>
                <w:shd w:val="clear" w:color="auto" w:fill="auto"/>
                <w:lang w:eastAsia="zh-CN"/>
              </w:rPr>
              <w:t>应事故</w:t>
            </w:r>
            <w:r>
              <w:rPr>
                <w:rFonts w:hint="default" w:ascii="Times New Roman" w:hAnsi="Times New Roman" w:eastAsia="宋体" w:cs="Times New Roman"/>
                <w:color w:val="auto"/>
                <w:sz w:val="24"/>
                <w:szCs w:val="24"/>
                <w:highlight w:val="none"/>
                <w:shd w:val="clear" w:color="auto" w:fill="auto"/>
              </w:rPr>
              <w:t>油池容积应不低于</w:t>
            </w:r>
            <w:r>
              <w:rPr>
                <w:rFonts w:hint="eastAsia" w:cs="Times New Roman"/>
                <w:color w:val="auto"/>
                <w:sz w:val="24"/>
                <w:szCs w:val="24"/>
                <w:highlight w:val="none"/>
                <w:shd w:val="clear" w:color="auto" w:fill="auto"/>
                <w:lang w:val="en-US" w:eastAsia="zh-CN"/>
              </w:rPr>
              <w:t>2.85</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6</w:t>
            </w:r>
            <w:r>
              <w:rPr>
                <w:rFonts w:hint="default" w:ascii="Times New Roman" w:hAnsi="Times New Roman" w:eastAsia="宋体" w:cs="Times New Roman"/>
                <w:color w:val="auto"/>
                <w:sz w:val="24"/>
                <w:szCs w:val="24"/>
                <w:highlight w:val="none"/>
                <w:shd w:val="clear" w:color="auto" w:fill="auto"/>
                <w:lang w:val="en-US" w:eastAsia="zh-CN"/>
              </w:rPr>
              <w:t>台</w:t>
            </w:r>
            <w:r>
              <w:rPr>
                <w:rFonts w:hint="eastAsia" w:ascii="Times New Roman" w:hAnsi="Times New Roman" w:cs="Times New Roman"/>
                <w:color w:val="auto"/>
                <w:sz w:val="24"/>
                <w:szCs w:val="24"/>
                <w:highlight w:val="none"/>
                <w:shd w:val="clear" w:color="auto" w:fill="auto"/>
                <w:lang w:val="en-US" w:eastAsia="zh-CN"/>
              </w:rPr>
              <w:t>3600</w:t>
            </w:r>
            <w:r>
              <w:rPr>
                <w:rFonts w:hint="default" w:ascii="Times New Roman" w:hAnsi="Times New Roman" w:eastAsia="宋体" w:cs="Times New Roman"/>
                <w:color w:val="auto"/>
                <w:sz w:val="24"/>
                <w:szCs w:val="24"/>
                <w:highlight w:val="none"/>
                <w:shd w:val="clear" w:color="auto" w:fill="auto"/>
              </w:rPr>
              <w:t>kVA箱式升压变压器每台油重约</w:t>
            </w:r>
            <w:r>
              <w:rPr>
                <w:rFonts w:hint="eastAsia" w:cs="Times New Roman"/>
                <w:color w:val="auto"/>
                <w:sz w:val="24"/>
                <w:szCs w:val="24"/>
                <w:highlight w:val="none"/>
                <w:shd w:val="clear" w:color="auto" w:fill="auto"/>
                <w:lang w:val="en-US" w:eastAsia="zh-CN"/>
              </w:rPr>
              <w:t>2.65</w:t>
            </w:r>
            <w:r>
              <w:rPr>
                <w:rFonts w:hint="default" w:ascii="Times New Roman" w:hAnsi="Times New Roman" w:eastAsia="宋体" w:cs="Times New Roman"/>
                <w:color w:val="auto"/>
                <w:sz w:val="24"/>
                <w:szCs w:val="24"/>
                <w:highlight w:val="none"/>
                <w:shd w:val="clear" w:color="auto" w:fill="auto"/>
              </w:rPr>
              <w:t>t，折算成体积约为</w:t>
            </w:r>
            <w:r>
              <w:rPr>
                <w:rFonts w:hint="eastAsia" w:cs="Times New Roman"/>
                <w:color w:val="auto"/>
                <w:sz w:val="24"/>
                <w:szCs w:val="24"/>
                <w:highlight w:val="none"/>
                <w:shd w:val="clear" w:color="auto" w:fill="auto"/>
                <w:lang w:val="en-US" w:eastAsia="zh-CN"/>
              </w:rPr>
              <w:t>2.96</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lang w:val="en-US" w:eastAsia="zh-CN"/>
              </w:rPr>
              <w:t>3</w:t>
            </w:r>
            <w:r>
              <w:rPr>
                <w:rFonts w:hint="eastAsia" w:ascii="Times New Roman" w:hAnsi="Times New Roman" w:eastAsia="宋体" w:cs="Times New Roman"/>
                <w:color w:val="auto"/>
                <w:sz w:val="24"/>
                <w:szCs w:val="24"/>
                <w:highlight w:val="none"/>
                <w:shd w:val="clear" w:color="auto" w:fill="auto"/>
                <w:vertAlign w:val="baseline"/>
                <w:lang w:val="en-US" w:eastAsia="zh-CN"/>
              </w:rPr>
              <w:t>，</w:t>
            </w:r>
            <w:r>
              <w:rPr>
                <w:rFonts w:hint="default" w:ascii="Times New Roman" w:hAnsi="Times New Roman" w:eastAsia="宋体" w:cs="Times New Roman"/>
                <w:color w:val="auto"/>
                <w:sz w:val="24"/>
                <w:szCs w:val="24"/>
                <w:highlight w:val="none"/>
                <w:shd w:val="clear" w:color="auto" w:fill="auto"/>
              </w:rPr>
              <w:t>则对</w:t>
            </w:r>
            <w:r>
              <w:rPr>
                <w:rFonts w:hint="default" w:ascii="Times New Roman" w:hAnsi="Times New Roman" w:eastAsia="宋体" w:cs="Times New Roman"/>
                <w:color w:val="auto"/>
                <w:sz w:val="24"/>
                <w:szCs w:val="24"/>
                <w:highlight w:val="none"/>
                <w:shd w:val="clear" w:color="auto" w:fill="auto"/>
                <w:lang w:eastAsia="zh-CN"/>
              </w:rPr>
              <w:t>应事故</w:t>
            </w:r>
            <w:r>
              <w:rPr>
                <w:rFonts w:hint="default" w:ascii="Times New Roman" w:hAnsi="Times New Roman" w:eastAsia="宋体" w:cs="Times New Roman"/>
                <w:color w:val="auto"/>
                <w:sz w:val="24"/>
                <w:szCs w:val="24"/>
                <w:highlight w:val="none"/>
                <w:shd w:val="clear" w:color="auto" w:fill="auto"/>
              </w:rPr>
              <w:t>油池容积应不低于</w:t>
            </w: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cs="Times New Roman"/>
                <w:color w:val="auto"/>
                <w:sz w:val="24"/>
                <w:szCs w:val="24"/>
                <w:highlight w:val="none"/>
                <w:shd w:val="clear" w:color="auto" w:fill="auto"/>
                <w:lang w:val="en-US" w:eastAsia="zh-CN"/>
              </w:rPr>
              <w:t>6</w:t>
            </w:r>
            <w:r>
              <w:rPr>
                <w:rFonts w:hint="eastAsia" w:ascii="Times New Roman" w:hAnsi="Times New Roman" w:eastAsia="宋体" w:cs="Times New Roman"/>
                <w:color w:val="auto"/>
                <w:sz w:val="24"/>
                <w:szCs w:val="24"/>
                <w:highlight w:val="none"/>
                <w:shd w:val="clear" w:color="auto" w:fill="auto"/>
                <w:lang w:val="en-US" w:eastAsia="zh-CN"/>
              </w:rPr>
              <w:t>台总体积约为</w:t>
            </w:r>
            <w:r>
              <w:rPr>
                <w:rFonts w:hint="eastAsia" w:cs="Times New Roman"/>
                <w:color w:val="auto"/>
                <w:sz w:val="24"/>
                <w:szCs w:val="24"/>
                <w:highlight w:val="none"/>
                <w:shd w:val="clear" w:color="auto" w:fill="auto"/>
                <w:lang w:val="en-US" w:eastAsia="zh-CN"/>
              </w:rPr>
              <w:t>39.84</w:t>
            </w:r>
            <w:r>
              <w:rPr>
                <w:rFonts w:hint="eastAsia" w:ascii="Times New Roman" w:hAnsi="Times New Roman" w:eastAsia="宋体" w:cs="Times New Roman"/>
                <w:color w:val="auto"/>
                <w:sz w:val="24"/>
                <w:szCs w:val="24"/>
                <w:highlight w:val="none"/>
                <w:shd w:val="clear" w:color="auto" w:fill="auto"/>
                <w:lang w:val="en-US" w:eastAsia="zh-CN"/>
              </w:rPr>
              <w:t>t。</w:t>
            </w:r>
          </w:p>
          <w:p w14:paraId="385D4764">
            <w:pPr>
              <w:pStyle w:val="27"/>
              <w:keepNext w:val="0"/>
              <w:keepLines w:val="0"/>
              <w:suppressLineNumbers w:val="0"/>
              <w:shd w:val="clear"/>
              <w:spacing w:before="0" w:beforeAutospacing="0" w:after="0" w:afterAutospacing="0" w:line="360" w:lineRule="auto"/>
              <w:ind w:left="0" w:right="0" w:firstLine="480" w:firstLineChars="200"/>
              <w:rPr>
                <w:rFonts w:hint="default" w:cs="Times New Roman"/>
                <w:color w:val="auto"/>
                <w:sz w:val="24"/>
                <w:highlight w:val="none"/>
                <w:shd w:val="clear" w:color="auto" w:fill="auto"/>
                <w:lang w:val="en-US" w:eastAsia="zh-CN"/>
              </w:rPr>
            </w:pPr>
            <w:r>
              <w:rPr>
                <w:rFonts w:hint="eastAsia"/>
                <w:bCs/>
                <w:color w:val="auto"/>
                <w:sz w:val="24"/>
                <w:highlight w:val="none"/>
                <w:shd w:val="clear" w:color="auto" w:fill="auto"/>
                <w:lang w:val="en-US" w:eastAsia="zh-CN"/>
              </w:rPr>
              <w:t>光伏场区布置</w:t>
            </w:r>
            <w:r>
              <w:rPr>
                <w:rFonts w:hint="eastAsia"/>
                <w:bCs/>
                <w:color w:val="auto"/>
                <w:sz w:val="24"/>
                <w:highlight w:val="none"/>
                <w:shd w:val="clear" w:color="auto" w:fill="auto"/>
              </w:rPr>
              <w:t>有</w:t>
            </w:r>
            <w:r>
              <w:rPr>
                <w:rFonts w:hint="eastAsia"/>
                <w:bCs/>
                <w:color w:val="auto"/>
                <w:sz w:val="24"/>
                <w:highlight w:val="none"/>
                <w:shd w:val="clear" w:color="auto" w:fill="auto"/>
                <w:lang w:val="en-US" w:eastAsia="zh-CN"/>
              </w:rPr>
              <w:t>16台</w:t>
            </w:r>
            <w:r>
              <w:rPr>
                <w:rFonts w:hint="eastAsia"/>
                <w:bCs/>
                <w:color w:val="auto"/>
                <w:sz w:val="24"/>
                <w:highlight w:val="none"/>
                <w:shd w:val="clear" w:color="auto" w:fill="auto"/>
              </w:rPr>
              <w:t>箱式变压器</w:t>
            </w:r>
            <w:r>
              <w:rPr>
                <w:rFonts w:hint="eastAsia"/>
                <w:color w:val="auto"/>
                <w:sz w:val="24"/>
                <w:highlight w:val="none"/>
                <w:shd w:val="clear" w:color="auto" w:fill="auto"/>
              </w:rPr>
              <w:t>。</w:t>
            </w:r>
            <w:r>
              <w:rPr>
                <w:rFonts w:hint="eastAsia"/>
                <w:bCs/>
                <w:color w:val="auto"/>
                <w:sz w:val="24"/>
                <w:highlight w:val="none"/>
                <w:shd w:val="clear" w:color="auto" w:fill="auto"/>
              </w:rPr>
              <w:t>箱式变压器</w:t>
            </w:r>
            <w:r>
              <w:rPr>
                <w:rFonts w:hint="eastAsia"/>
                <w:color w:val="auto"/>
                <w:sz w:val="24"/>
                <w:highlight w:val="none"/>
                <w:shd w:val="clear" w:color="auto" w:fill="auto"/>
                <w:lang w:val="en-US" w:eastAsia="zh-CN"/>
              </w:rPr>
              <w:t>正常运行情况下，由专业人员对变压器进行检修，变压器油经检测合格的，</w:t>
            </w:r>
            <w:r>
              <w:rPr>
                <w:rFonts w:hint="eastAsia" w:ascii="Times New Roman" w:hAnsi="Times New Roman" w:eastAsia="宋体" w:cs="Times New Roman"/>
                <w:color w:val="auto"/>
                <w:sz w:val="24"/>
                <w:highlight w:val="none"/>
                <w:shd w:val="clear" w:color="auto" w:fill="auto"/>
                <w:lang w:val="en-US" w:eastAsia="zh-CN"/>
              </w:rPr>
              <w:t>过滤</w:t>
            </w:r>
            <w:r>
              <w:rPr>
                <w:rFonts w:hint="eastAsia" w:cs="Times New Roman"/>
                <w:color w:val="auto"/>
                <w:sz w:val="24"/>
                <w:highlight w:val="none"/>
                <w:shd w:val="clear" w:color="auto" w:fill="auto"/>
                <w:lang w:val="en-US"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color w:val="auto"/>
                <w:kern w:val="0"/>
                <w:sz w:val="24"/>
                <w:szCs w:val="24"/>
                <w:highlight w:val="none"/>
                <w:shd w:val="clear" w:color="auto" w:fill="auto"/>
                <w:lang w:val="en-US" w:eastAsia="zh-CN" w:bidi="ar"/>
              </w:rPr>
              <w:t>单次维修产生的废变压器油</w:t>
            </w:r>
            <w:r>
              <w:rPr>
                <w:rFonts w:hint="default" w:ascii="Times New Roman" w:hAnsi="Times New Roman" w:cs="Times New Roman"/>
                <w:color w:val="auto"/>
                <w:sz w:val="24"/>
                <w:highlight w:val="none"/>
                <w:shd w:val="clear" w:color="auto" w:fill="auto"/>
                <w:lang w:val="en-US" w:eastAsia="zh-CN"/>
              </w:rPr>
              <w:t>产生量约为</w:t>
            </w:r>
            <w:r>
              <w:rPr>
                <w:rFonts w:hint="eastAsia" w:ascii="Times New Roman" w:hAnsi="Times New Roman" w:cs="Times New Roman"/>
                <w:color w:val="auto"/>
                <w:sz w:val="24"/>
                <w:highlight w:val="none"/>
                <w:shd w:val="clear" w:color="auto" w:fill="auto"/>
                <w:lang w:val="en-US" w:eastAsia="zh-CN"/>
              </w:rPr>
              <w:t>5</w:t>
            </w:r>
            <w:r>
              <w:rPr>
                <w:rFonts w:hint="default" w:ascii="Times New Roman" w:hAnsi="Times New Roman" w:cs="Times New Roman"/>
                <w:color w:val="auto"/>
                <w:sz w:val="24"/>
                <w:highlight w:val="none"/>
                <w:shd w:val="clear" w:color="auto" w:fill="auto"/>
                <w:lang w:val="en-US" w:eastAsia="zh-CN"/>
              </w:rPr>
              <w:t>%，</w:t>
            </w:r>
            <w:r>
              <w:rPr>
                <w:rFonts w:hint="eastAsia" w:cs="Times New Roman"/>
                <w:color w:val="auto"/>
                <w:sz w:val="24"/>
                <w:highlight w:val="none"/>
                <w:shd w:val="clear" w:color="auto" w:fill="auto"/>
                <w:lang w:val="en-US" w:eastAsia="zh-CN"/>
              </w:rPr>
              <w:t>则</w:t>
            </w:r>
            <w:r>
              <w:rPr>
                <w:rFonts w:hint="default" w:ascii="Times New Roman" w:hAnsi="Times New Roman" w:cs="Times New Roman"/>
                <w:color w:val="auto"/>
                <w:sz w:val="24"/>
                <w:highlight w:val="none"/>
                <w:shd w:val="clear" w:color="auto" w:fill="auto"/>
                <w:lang w:val="en-US" w:eastAsia="zh-CN"/>
              </w:rPr>
              <w:t>产生量</w:t>
            </w:r>
            <w:r>
              <w:rPr>
                <w:rFonts w:hint="eastAsia" w:ascii="Times New Roman" w:hAnsi="Times New Roman" w:cs="Times New Roman"/>
                <w:color w:val="auto"/>
                <w:sz w:val="24"/>
                <w:highlight w:val="none"/>
                <w:shd w:val="clear" w:color="auto" w:fill="auto"/>
                <w:lang w:val="en-US" w:eastAsia="zh-CN"/>
              </w:rPr>
              <w:t>为</w:t>
            </w:r>
            <w:r>
              <w:rPr>
                <w:rFonts w:hint="eastAsia" w:cs="Times New Roman"/>
                <w:color w:val="auto"/>
                <w:sz w:val="24"/>
                <w:highlight w:val="none"/>
                <w:shd w:val="clear" w:color="auto" w:fill="auto"/>
                <w:lang w:val="en-US" w:eastAsia="zh-CN"/>
              </w:rPr>
              <w:t>1.99</w:t>
            </w:r>
            <w:r>
              <w:rPr>
                <w:rFonts w:hint="eastAsia" w:ascii="Times New Roman" w:hAnsi="Times New Roman" w:cs="Times New Roman"/>
                <w:color w:val="auto"/>
                <w:sz w:val="24"/>
                <w:highlight w:val="none"/>
                <w:shd w:val="clear" w:color="auto" w:fill="auto"/>
                <w:lang w:val="en-US" w:eastAsia="zh-CN"/>
              </w:rPr>
              <w:t>t/</w:t>
            </w:r>
            <w:r>
              <w:rPr>
                <w:rFonts w:hint="eastAsia" w:cs="Times New Roman"/>
                <w:color w:val="auto"/>
                <w:sz w:val="24"/>
                <w:highlight w:val="none"/>
                <w:shd w:val="clear" w:color="auto" w:fill="auto"/>
                <w:lang w:val="en-US" w:eastAsia="zh-CN"/>
              </w:rPr>
              <w:t>次，</w:t>
            </w:r>
            <w:r>
              <w:rPr>
                <w:rFonts w:hint="default" w:ascii="Times New Roman" w:hAnsi="Times New Roman" w:eastAsia="宋体" w:cs="Times New Roman"/>
                <w:color w:val="auto"/>
                <w:sz w:val="24"/>
                <w:highlight w:val="none"/>
                <w:shd w:val="clear" w:color="auto" w:fill="auto"/>
                <w:lang w:val="en-US" w:eastAsia="zh-CN"/>
              </w:rPr>
              <w:t>在</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default" w:ascii="Times New Roman" w:hAnsi="Times New Roman" w:eastAsia="宋体" w:cs="Times New Roman"/>
                <w:color w:val="auto"/>
                <w:sz w:val="24"/>
                <w:highlight w:val="none"/>
                <w:shd w:val="clear" w:color="auto" w:fill="auto"/>
                <w:lang w:val="en-US" w:eastAsia="zh-CN"/>
              </w:rPr>
              <w:t>危废</w:t>
            </w:r>
            <w:r>
              <w:rPr>
                <w:rFonts w:hint="eastAsia" w:cs="Times New Roman"/>
                <w:color w:val="auto"/>
                <w:sz w:val="24"/>
                <w:highlight w:val="none"/>
                <w:shd w:val="clear" w:color="auto" w:fill="auto"/>
                <w:lang w:val="en-US" w:eastAsia="zh-CN"/>
              </w:rPr>
              <w:t>贮存库</w:t>
            </w:r>
            <w:r>
              <w:rPr>
                <w:rFonts w:hint="default" w:ascii="Times New Roman" w:hAnsi="Times New Roman" w:eastAsia="宋体" w:cs="Times New Roman"/>
                <w:color w:val="auto"/>
                <w:sz w:val="24"/>
                <w:highlight w:val="none"/>
                <w:shd w:val="clear" w:color="auto" w:fill="auto"/>
                <w:lang w:val="en-US" w:eastAsia="zh-CN"/>
              </w:rPr>
              <w:t>暂存后委托有资质单位处置</w:t>
            </w:r>
            <w:r>
              <w:rPr>
                <w:rFonts w:hint="eastAsia"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如</w:t>
            </w:r>
            <w:r>
              <w:rPr>
                <w:rFonts w:hint="eastAsia" w:cs="Times New Roman"/>
                <w:color w:val="auto"/>
                <w:sz w:val="24"/>
                <w:highlight w:val="none"/>
                <w:shd w:val="clear" w:color="auto" w:fill="auto"/>
                <w:lang w:val="en-US" w:eastAsia="zh-CN"/>
              </w:rPr>
              <w:t>遇</w:t>
            </w:r>
            <w:r>
              <w:rPr>
                <w:rFonts w:hint="eastAsia" w:ascii="Times New Roman" w:hAnsi="Times New Roman" w:eastAsia="宋体" w:cs="Times New Roman"/>
                <w:color w:val="auto"/>
                <w:sz w:val="24"/>
                <w:highlight w:val="none"/>
                <w:shd w:val="clear" w:color="auto" w:fill="auto"/>
                <w:lang w:val="en-US" w:eastAsia="zh-CN"/>
              </w:rPr>
              <w:t>油质较差</w:t>
            </w:r>
            <w:r>
              <w:rPr>
                <w:rFonts w:hint="eastAsia" w:eastAsia="宋体" w:cs="Times New Roman"/>
                <w:color w:val="auto"/>
                <w:sz w:val="24"/>
                <w:highlight w:val="none"/>
                <w:shd w:val="clear" w:color="auto" w:fill="auto"/>
                <w:lang w:val="en-US" w:eastAsia="zh-CN"/>
              </w:rPr>
              <w:t>即</w:t>
            </w:r>
            <w:r>
              <w:rPr>
                <w:rFonts w:hint="default" w:ascii="Times New Roman" w:hAnsi="Times New Roman" w:eastAsia="宋体" w:cs="Times New Roman"/>
                <w:color w:val="auto"/>
                <w:sz w:val="24"/>
                <w:highlight w:val="none"/>
                <w:shd w:val="clear" w:color="auto" w:fill="auto"/>
              </w:rPr>
              <w:t>检测不合格</w:t>
            </w:r>
            <w:r>
              <w:rPr>
                <w:rFonts w:hint="eastAsia" w:ascii="Times New Roman" w:hAnsi="Times New Roman" w:eastAsia="宋体" w:cs="Times New Roman"/>
                <w:color w:val="auto"/>
                <w:sz w:val="24"/>
                <w:highlight w:val="none"/>
                <w:shd w:val="clear" w:color="auto" w:fill="auto"/>
                <w:lang w:val="en-US" w:eastAsia="zh-CN"/>
              </w:rPr>
              <w:t>情况下</w:t>
            </w:r>
            <w:r>
              <w:rPr>
                <w:rFonts w:hint="eastAsia"/>
                <w:color w:val="auto"/>
                <w:sz w:val="24"/>
                <w:highlight w:val="none"/>
                <w:shd w:val="clear" w:color="auto" w:fill="auto"/>
                <w:lang w:val="en-US" w:eastAsia="zh-CN"/>
              </w:rPr>
              <w:t>变压器油</w:t>
            </w:r>
            <w:r>
              <w:rPr>
                <w:rFonts w:hint="eastAsia" w:ascii="Times New Roman" w:hAnsi="Times New Roman" w:eastAsia="宋体" w:cs="Times New Roman"/>
                <w:color w:val="auto"/>
                <w:sz w:val="24"/>
                <w:highlight w:val="none"/>
                <w:shd w:val="clear" w:color="auto" w:fill="auto"/>
                <w:lang w:val="en-US" w:eastAsia="zh-CN"/>
              </w:rPr>
              <w:t>需</w:t>
            </w:r>
            <w:r>
              <w:rPr>
                <w:rFonts w:hint="eastAsia" w:cs="Times New Roman"/>
                <w:color w:val="auto"/>
                <w:sz w:val="24"/>
                <w:highlight w:val="none"/>
                <w:shd w:val="clear" w:color="auto" w:fill="auto"/>
                <w:lang w:val="en-US" w:eastAsia="zh-CN"/>
              </w:rPr>
              <w:t>要</w:t>
            </w:r>
            <w:r>
              <w:rPr>
                <w:rFonts w:hint="eastAsia" w:ascii="Times New Roman" w:hAnsi="Times New Roman" w:eastAsia="宋体" w:cs="Times New Roman"/>
                <w:color w:val="auto"/>
                <w:sz w:val="24"/>
                <w:highlight w:val="none"/>
                <w:shd w:val="clear" w:color="auto" w:fill="auto"/>
                <w:lang w:val="en-US" w:eastAsia="zh-CN"/>
              </w:rPr>
              <w:t>全部进行更换，更换</w:t>
            </w:r>
            <w:r>
              <w:rPr>
                <w:rFonts w:hint="default" w:ascii="Times New Roman" w:hAnsi="Times New Roman" w:cs="Times New Roman"/>
                <w:color w:val="auto"/>
                <w:sz w:val="24"/>
                <w:highlight w:val="none"/>
                <w:shd w:val="clear" w:color="auto" w:fill="auto"/>
                <w:lang w:val="en-US" w:eastAsia="zh-CN"/>
              </w:rPr>
              <w:t>量</w:t>
            </w:r>
            <w:r>
              <w:rPr>
                <w:rFonts w:hint="eastAsia" w:ascii="Times New Roman" w:hAnsi="Times New Roman" w:cs="Times New Roman"/>
                <w:color w:val="auto"/>
                <w:sz w:val="24"/>
                <w:highlight w:val="none"/>
                <w:shd w:val="clear" w:color="auto" w:fill="auto"/>
                <w:lang w:val="en-US" w:eastAsia="zh-CN"/>
              </w:rPr>
              <w:t>为</w:t>
            </w:r>
            <w:r>
              <w:rPr>
                <w:rFonts w:hint="eastAsia" w:cs="Times New Roman"/>
                <w:color w:val="auto"/>
                <w:sz w:val="24"/>
                <w:highlight w:val="none"/>
                <w:shd w:val="clear" w:color="auto" w:fill="auto"/>
                <w:lang w:val="en-US" w:eastAsia="zh-CN"/>
              </w:rPr>
              <w:t>39.84</w:t>
            </w:r>
            <w:r>
              <w:rPr>
                <w:rFonts w:hint="eastAsia" w:ascii="Times New Roman" w:hAnsi="Times New Roman" w:cs="Times New Roman"/>
                <w:color w:val="auto"/>
                <w:sz w:val="24"/>
                <w:highlight w:val="none"/>
                <w:shd w:val="clear" w:color="auto" w:fill="auto"/>
                <w:lang w:val="en-US" w:eastAsia="zh-CN"/>
              </w:rPr>
              <w:t>t，</w:t>
            </w:r>
            <w:r>
              <w:rPr>
                <w:rFonts w:hint="default" w:ascii="宋体" w:hAnsi="宋体" w:eastAsia="宋体" w:cs="宋体"/>
                <w:color w:val="auto"/>
                <w:sz w:val="24"/>
                <w:szCs w:val="24"/>
                <w:highlight w:val="none"/>
              </w:rPr>
              <w:t>委托有资质单位在更换后即时转移处置</w:t>
            </w:r>
            <w:r>
              <w:rPr>
                <w:rFonts w:hint="eastAsia" w:cs="Times New Roman"/>
                <w:color w:val="auto"/>
                <w:sz w:val="24"/>
                <w:highlight w:val="none"/>
                <w:shd w:val="clear" w:color="auto" w:fill="auto"/>
                <w:lang w:val="en-US" w:eastAsia="zh-CN"/>
              </w:rPr>
              <w:t>。</w:t>
            </w:r>
          </w:p>
          <w:p w14:paraId="75698D0C">
            <w:pPr>
              <w:pStyle w:val="27"/>
              <w:keepNext w:val="0"/>
              <w:keepLines w:val="0"/>
              <w:suppressLineNumbers w:val="0"/>
              <w:shd w:val="clear"/>
              <w:spacing w:before="0" w:beforeAutospacing="0" w:after="0" w:afterAutospacing="0" w:line="360" w:lineRule="auto"/>
              <w:ind w:left="0" w:right="0" w:firstLine="480" w:firstLineChars="200"/>
              <w:rPr>
                <w:rFonts w:hint="eastAsia"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rPr>
              <w:t>当</w:t>
            </w:r>
            <w:r>
              <w:rPr>
                <w:rFonts w:hint="eastAsia" w:cs="Times New Roman"/>
                <w:color w:val="auto"/>
                <w:sz w:val="24"/>
                <w:highlight w:val="none"/>
                <w:shd w:val="clear" w:color="auto" w:fill="auto"/>
                <w:lang w:val="en-US" w:eastAsia="zh-CN"/>
              </w:rPr>
              <w:t>箱式变压器</w:t>
            </w:r>
            <w:r>
              <w:rPr>
                <w:rFonts w:hint="default" w:ascii="Times New Roman" w:hAnsi="Times New Roman" w:eastAsia="宋体" w:cs="Times New Roman"/>
                <w:color w:val="auto"/>
                <w:sz w:val="24"/>
                <w:highlight w:val="none"/>
                <w:shd w:val="clear" w:color="auto" w:fill="auto"/>
              </w:rPr>
              <w:t>发生</w:t>
            </w:r>
            <w:r>
              <w:rPr>
                <w:rFonts w:hint="eastAsia" w:cs="Times New Roman"/>
                <w:color w:val="auto"/>
                <w:sz w:val="24"/>
                <w:highlight w:val="none"/>
                <w:shd w:val="clear" w:color="auto" w:fill="auto"/>
                <w:lang w:val="en-US" w:eastAsia="zh-CN"/>
              </w:rPr>
              <w:t>泄漏</w:t>
            </w:r>
            <w:r>
              <w:rPr>
                <w:rFonts w:hint="eastAsia" w:ascii="Times New Roman" w:hAnsi="Times New Roman" w:eastAsia="宋体" w:cs="Times New Roman"/>
                <w:color w:val="auto"/>
                <w:sz w:val="24"/>
                <w:highlight w:val="none"/>
                <w:shd w:val="clear" w:color="auto" w:fill="auto"/>
                <w:lang w:val="en-US" w:eastAsia="zh-CN"/>
              </w:rPr>
              <w:t>时会产生事故废油</w:t>
            </w:r>
            <w:r>
              <w:rPr>
                <w:rFonts w:hint="eastAsia" w:cs="Times New Roman"/>
                <w:color w:val="auto"/>
                <w:sz w:val="24"/>
                <w:highlight w:val="none"/>
                <w:shd w:val="clear" w:color="auto" w:fill="auto"/>
                <w:lang w:val="en-US" w:eastAsia="zh-CN"/>
              </w:rPr>
              <w:t>，引入事故油池暂存</w:t>
            </w:r>
            <w:r>
              <w:rPr>
                <w:rFonts w:hint="eastAsia" w:cs="Times New Roman"/>
                <w:color w:val="auto"/>
                <w:sz w:val="24"/>
                <w:highlight w:val="none"/>
                <w:shd w:val="clear" w:color="auto" w:fill="auto"/>
                <w:lang w:eastAsia="zh-CN"/>
              </w:rPr>
              <w:t>，</w:t>
            </w:r>
            <w:r>
              <w:rPr>
                <w:rFonts w:hint="eastAsia" w:cs="Times New Roman"/>
                <w:color w:val="auto"/>
                <w:sz w:val="24"/>
                <w:highlight w:val="none"/>
                <w:shd w:val="clear" w:color="auto" w:fill="auto"/>
                <w:lang w:val="en-US" w:eastAsia="zh-CN"/>
              </w:rPr>
              <w:t>再</w:t>
            </w:r>
            <w:r>
              <w:rPr>
                <w:rFonts w:hint="default" w:ascii="Times New Roman" w:hAnsi="Times New Roman" w:eastAsia="宋体" w:cs="Times New Roman"/>
                <w:color w:val="auto"/>
                <w:sz w:val="24"/>
                <w:highlight w:val="none"/>
                <w:shd w:val="clear" w:color="auto" w:fill="auto"/>
                <w:lang w:eastAsia="zh-CN"/>
              </w:rPr>
              <w:t>经</w:t>
            </w:r>
            <w:r>
              <w:rPr>
                <w:rFonts w:hint="eastAsia" w:ascii="Times New Roman" w:hAnsi="Times New Roman" w:eastAsia="宋体" w:cs="Times New Roman"/>
                <w:color w:val="auto"/>
                <w:sz w:val="24"/>
                <w:highlight w:val="none"/>
                <w:shd w:val="clear" w:color="auto" w:fill="auto"/>
                <w:lang w:eastAsia="zh-CN"/>
              </w:rPr>
              <w:t>维修</w:t>
            </w:r>
            <w:r>
              <w:rPr>
                <w:rFonts w:hint="default" w:ascii="Times New Roman" w:hAnsi="Times New Roman" w:eastAsia="宋体" w:cs="Times New Roman"/>
                <w:color w:val="auto"/>
                <w:sz w:val="24"/>
                <w:highlight w:val="none"/>
                <w:shd w:val="clear" w:color="auto" w:fill="auto"/>
                <w:lang w:eastAsia="zh-CN"/>
              </w:rPr>
              <w:t>人员</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w:t>
            </w:r>
            <w:r>
              <w:rPr>
                <w:rFonts w:hint="eastAsia" w:ascii="Times New Roman" w:hAnsi="Times New Roman" w:eastAsia="宋体" w:cs="Times New Roman"/>
                <w:color w:val="auto"/>
                <w:sz w:val="24"/>
                <w:highlight w:val="none"/>
                <w:shd w:val="clear" w:color="auto" w:fill="auto"/>
                <w:lang w:val="en-US" w:eastAsia="zh-CN"/>
              </w:rPr>
              <w:t>回用</w:t>
            </w:r>
            <w:r>
              <w:rPr>
                <w:rFonts w:hint="default" w:ascii="Times New Roman" w:hAnsi="Times New Roman" w:eastAsia="宋体" w:cs="Times New Roman"/>
                <w:color w:val="auto"/>
                <w:sz w:val="24"/>
                <w:highlight w:val="none"/>
                <w:shd w:val="clear" w:color="auto" w:fill="auto"/>
                <w:lang w:eastAsia="zh-CN"/>
              </w:rPr>
              <w:t>，废油处理过程中约92%的废油经</w:t>
            </w:r>
            <w:r>
              <w:rPr>
                <w:rFonts w:hint="eastAsia" w:ascii="Times New Roman" w:hAnsi="Times New Roman" w:eastAsia="宋体" w:cs="Times New Roman"/>
                <w:color w:val="auto"/>
                <w:sz w:val="24"/>
                <w:highlight w:val="none"/>
                <w:shd w:val="clear" w:color="auto" w:fill="auto"/>
                <w:lang w:val="en-US" w:eastAsia="zh-CN"/>
              </w:rPr>
              <w:t>过滤</w:t>
            </w:r>
            <w:r>
              <w:rPr>
                <w:rFonts w:hint="default" w:ascii="Times New Roman" w:hAnsi="Times New Roman" w:eastAsia="宋体" w:cs="Times New Roman"/>
                <w:color w:val="auto"/>
                <w:sz w:val="24"/>
                <w:highlight w:val="none"/>
                <w:shd w:val="clear" w:color="auto" w:fill="auto"/>
                <w:lang w:eastAsia="zh-CN"/>
              </w:rPr>
              <w:t>处理后属合格变压器油，剩余的8%的废油为废油渣不能使用</w:t>
            </w:r>
            <w:r>
              <w:rPr>
                <w:rFonts w:hint="eastAsia" w:cs="Times New Roman"/>
                <w:color w:val="auto"/>
                <w:sz w:val="24"/>
                <w:highlight w:val="none"/>
                <w:shd w:val="clear" w:color="auto" w:fill="auto"/>
                <w:lang w:eastAsia="zh-CN"/>
              </w:rPr>
              <w:t>，</w:t>
            </w:r>
            <w:r>
              <w:rPr>
                <w:rFonts w:hint="eastAsia"/>
                <w:bCs/>
                <w:color w:val="auto"/>
                <w:sz w:val="24"/>
                <w:szCs w:val="24"/>
                <w:highlight w:val="none"/>
                <w:shd w:val="clear" w:color="auto" w:fill="auto"/>
              </w:rPr>
              <w:t>箱式变压器</w:t>
            </w:r>
            <w:r>
              <w:rPr>
                <w:rFonts w:hint="eastAsia" w:ascii="Times New Roman" w:hAnsi="Times New Roman" w:eastAsia="宋体" w:cs="Times New Roman"/>
                <w:color w:val="auto"/>
                <w:sz w:val="24"/>
                <w:highlight w:val="none"/>
                <w:shd w:val="clear" w:color="auto" w:fill="auto"/>
                <w:lang w:val="en-US" w:eastAsia="zh-CN"/>
              </w:rPr>
              <w:t>事故废油</w:t>
            </w:r>
            <w:r>
              <w:rPr>
                <w:rFonts w:hint="eastAsia" w:ascii="Times New Roman" w:hAnsi="Times New Roman" w:eastAsia="宋体" w:cs="Times New Roman"/>
                <w:color w:val="auto"/>
                <w:sz w:val="24"/>
                <w:highlight w:val="none"/>
                <w:shd w:val="clear" w:color="auto" w:fill="auto"/>
                <w:lang w:eastAsia="zh-CN"/>
              </w:rPr>
              <w:t>产生量为</w:t>
            </w:r>
            <w:r>
              <w:rPr>
                <w:rFonts w:hint="eastAsia" w:cs="Times New Roman"/>
                <w:color w:val="auto"/>
                <w:sz w:val="24"/>
                <w:highlight w:val="none"/>
                <w:shd w:val="clear" w:color="auto" w:fill="auto"/>
                <w:lang w:val="en-US" w:eastAsia="zh-CN"/>
              </w:rPr>
              <w:t>3.19</w:t>
            </w:r>
            <w:r>
              <w:rPr>
                <w:rFonts w:hint="eastAsia" w:ascii="Times New Roman" w:hAnsi="Times New Roman" w:eastAsia="宋体" w:cs="Times New Roman"/>
                <w:color w:val="auto"/>
                <w:sz w:val="24"/>
                <w:highlight w:val="none"/>
                <w:shd w:val="clear" w:color="auto" w:fill="auto"/>
                <w:lang w:val="en-US" w:eastAsia="zh-CN"/>
              </w:rPr>
              <w:t>t/次</w:t>
            </w:r>
            <w:r>
              <w:rPr>
                <w:rFonts w:hint="eastAsia" w:cs="Times New Roman"/>
                <w:color w:val="auto"/>
                <w:sz w:val="24"/>
                <w:highlight w:val="none"/>
                <w:shd w:val="clear" w:color="auto" w:fill="auto"/>
                <w:lang w:eastAsia="zh-CN"/>
              </w:rPr>
              <w:t>。</w:t>
            </w:r>
          </w:p>
          <w:p w14:paraId="14E1DC15">
            <w:pPr>
              <w:pStyle w:val="27"/>
              <w:keepNext w:val="0"/>
              <w:keepLines w:val="0"/>
              <w:suppressLineNumbers w:val="0"/>
              <w:shd w:val="clear"/>
              <w:spacing w:before="0" w:beforeAutospacing="0" w:after="0" w:afterAutospacing="0" w:line="360" w:lineRule="auto"/>
              <w:ind w:left="0" w:right="0" w:firstLine="480" w:firstLineChars="200"/>
              <w:rPr>
                <w:rFonts w:hint="default" w:ascii="宋体" w:hAnsi="宋体" w:eastAsia="宋体" w:cs="宋体"/>
                <w:color w:val="auto"/>
                <w:sz w:val="24"/>
                <w:szCs w:val="24"/>
                <w:highlight w:val="none"/>
              </w:rPr>
            </w:pPr>
            <w:r>
              <w:rPr>
                <w:rFonts w:hint="eastAsia" w:ascii="Times New Roman" w:hAnsi="Times New Roman" w:eastAsia="宋体" w:cs="Times New Roman"/>
                <w:color w:val="auto"/>
                <w:sz w:val="24"/>
                <w:highlight w:val="none"/>
                <w:shd w:val="clear" w:color="auto" w:fill="auto"/>
                <w:lang w:val="en-US" w:eastAsia="zh-CN"/>
              </w:rPr>
              <w:t>根据</w:t>
            </w:r>
            <w:r>
              <w:rPr>
                <w:rFonts w:hint="eastAsia" w:ascii="Times New Roman" w:hAnsi="Times New Roman" w:eastAsia="宋体" w:cs="Times New Roman"/>
                <w:color w:val="auto"/>
                <w:sz w:val="24"/>
                <w:highlight w:val="none"/>
                <w:shd w:val="clear" w:color="auto" w:fill="auto"/>
                <w:lang w:eastAsia="zh-CN"/>
              </w:rPr>
              <w:t>《国家危险废物名录》（</w:t>
            </w:r>
            <w:r>
              <w:rPr>
                <w:rFonts w:hint="default" w:ascii="Times New Roman" w:hAnsi="Times New Roman" w:eastAsia="宋体" w:cs="Times New Roman"/>
                <w:color w:val="auto"/>
                <w:sz w:val="24"/>
                <w:highlight w:val="none"/>
                <w:shd w:val="clear" w:color="auto" w:fill="auto"/>
                <w:lang w:eastAsia="zh-CN"/>
              </w:rPr>
              <w:t>2021</w:t>
            </w:r>
            <w:r>
              <w:rPr>
                <w:rFonts w:hint="eastAsia" w:ascii="Times New Roman" w:hAnsi="Times New Roman" w:eastAsia="宋体" w:cs="Times New Roman"/>
                <w:color w:val="auto"/>
                <w:sz w:val="24"/>
                <w:highlight w:val="none"/>
                <w:shd w:val="clear" w:color="auto" w:fill="auto"/>
                <w:lang w:eastAsia="zh-CN"/>
              </w:rPr>
              <w:t>版）</w:t>
            </w:r>
            <w:r>
              <w:rPr>
                <w:rFonts w:hint="eastAsia" w:ascii="Times New Roman" w:hAnsi="Times New Roman" w:eastAsia="宋体" w:cs="Times New Roman"/>
                <w:color w:val="auto"/>
                <w:sz w:val="24"/>
                <w:highlight w:val="none"/>
                <w:shd w:val="clear" w:color="auto" w:fill="auto"/>
                <w:lang w:val="en-US" w:eastAsia="zh-CN"/>
              </w:rPr>
              <w:t>进行鉴别，</w:t>
            </w:r>
            <w:r>
              <w:rPr>
                <w:rFonts w:hint="eastAsia" w:cs="Times New Roman"/>
                <w:color w:val="auto"/>
                <w:sz w:val="24"/>
                <w:highlight w:val="none"/>
                <w:shd w:val="clear" w:color="auto" w:fill="auto"/>
                <w:lang w:val="en-US" w:eastAsia="zh-CN"/>
              </w:rPr>
              <w:t>废变压器油和事故废油均属于</w:t>
            </w:r>
            <w:r>
              <w:rPr>
                <w:rFonts w:hint="eastAsia"/>
                <w:bCs/>
                <w:color w:val="auto"/>
                <w:sz w:val="24"/>
                <w:highlight w:val="none"/>
                <w:shd w:val="clear" w:color="auto" w:fill="auto"/>
              </w:rPr>
              <w:t>危险废物（HW08，</w:t>
            </w:r>
            <w:r>
              <w:rPr>
                <w:rFonts w:hint="default"/>
                <w:color w:val="auto"/>
                <w:sz w:val="24"/>
                <w:highlight w:val="none"/>
                <w:shd w:val="clear" w:color="auto" w:fill="auto"/>
                <w:lang w:bidi="ar"/>
              </w:rPr>
              <w:t>900-2</w:t>
            </w:r>
            <w:r>
              <w:rPr>
                <w:rFonts w:hint="eastAsia"/>
                <w:color w:val="auto"/>
                <w:sz w:val="24"/>
                <w:highlight w:val="none"/>
                <w:shd w:val="clear" w:color="auto" w:fill="auto"/>
                <w:lang w:bidi="ar"/>
              </w:rPr>
              <w:t>20</w:t>
            </w:r>
            <w:r>
              <w:rPr>
                <w:rFonts w:hint="default"/>
                <w:color w:val="auto"/>
                <w:sz w:val="24"/>
                <w:highlight w:val="none"/>
                <w:shd w:val="clear" w:color="auto" w:fill="auto"/>
                <w:lang w:bidi="ar"/>
              </w:rPr>
              <w:t>-08</w:t>
            </w:r>
            <w:r>
              <w:rPr>
                <w:rFonts w:hint="eastAsia"/>
                <w:bCs/>
                <w:color w:val="auto"/>
                <w:sz w:val="24"/>
                <w:highlight w:val="none"/>
                <w:shd w:val="clear" w:color="auto" w:fill="auto"/>
              </w:rPr>
              <w:t>）</w:t>
            </w:r>
            <w:r>
              <w:rPr>
                <w:rFonts w:hint="eastAsia"/>
                <w:bCs/>
                <w:color w:val="auto"/>
                <w:sz w:val="24"/>
                <w:highlight w:val="none"/>
                <w:shd w:val="clear" w:color="auto" w:fill="auto"/>
                <w:lang w:eastAsia="zh-CN"/>
              </w:rPr>
              <w:t>，</w:t>
            </w:r>
            <w:r>
              <w:rPr>
                <w:rFonts w:hint="default" w:ascii="宋体" w:hAnsi="宋体" w:eastAsia="宋体" w:cs="宋体"/>
                <w:color w:val="auto"/>
                <w:sz w:val="24"/>
                <w:szCs w:val="24"/>
                <w:highlight w:val="none"/>
              </w:rPr>
              <w:t>单次维修产生的废变压器油</w:t>
            </w:r>
            <w:r>
              <w:rPr>
                <w:rFonts w:hint="eastAsia" w:cs="Times New Roman"/>
                <w:color w:val="auto"/>
                <w:sz w:val="24"/>
                <w:highlight w:val="none"/>
                <w:shd w:val="clear" w:color="auto" w:fill="auto"/>
                <w:lang w:val="en-US" w:eastAsia="zh-CN"/>
              </w:rPr>
              <w:t>集中收集后</w:t>
            </w:r>
            <w:r>
              <w:rPr>
                <w:rFonts w:hint="default" w:ascii="宋体" w:hAnsi="宋体" w:eastAsia="宋体" w:cs="宋体"/>
                <w:color w:val="auto"/>
                <w:sz w:val="24"/>
                <w:szCs w:val="24"/>
                <w:highlight w:val="none"/>
              </w:rPr>
              <w:t>在</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default" w:ascii="宋体" w:hAnsi="宋体" w:eastAsia="宋体" w:cs="宋体"/>
                <w:color w:val="auto"/>
                <w:sz w:val="24"/>
                <w:szCs w:val="24"/>
                <w:highlight w:val="none"/>
              </w:rPr>
              <w:t>危废</w:t>
            </w:r>
            <w:r>
              <w:rPr>
                <w:rFonts w:hint="eastAsia" w:ascii="宋体" w:hAnsi="宋体" w:cs="宋体"/>
                <w:color w:val="auto"/>
                <w:sz w:val="24"/>
                <w:szCs w:val="24"/>
                <w:highlight w:val="none"/>
                <w:lang w:val="en-US" w:eastAsia="zh-CN"/>
              </w:rPr>
              <w:t>贮存库</w:t>
            </w:r>
            <w:r>
              <w:rPr>
                <w:rFonts w:hint="default" w:ascii="宋体" w:hAnsi="宋体" w:eastAsia="宋体" w:cs="宋体"/>
                <w:color w:val="auto"/>
                <w:sz w:val="24"/>
                <w:szCs w:val="24"/>
                <w:highlight w:val="none"/>
              </w:rPr>
              <w:t>暂存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w:t>
            </w:r>
            <w:r>
              <w:rPr>
                <w:rFonts w:hint="default" w:ascii="宋体" w:hAnsi="宋体" w:eastAsia="宋体" w:cs="宋体"/>
                <w:color w:val="auto"/>
                <w:sz w:val="24"/>
                <w:szCs w:val="24"/>
                <w:highlight w:val="none"/>
              </w:rPr>
              <w:t>委托有资质单位处置</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变压器油不合格需全部更换时产生的废变压器油委托有资质单位在更换后即时转移处置，不在厂区贮存</w:t>
            </w:r>
            <w:r>
              <w:rPr>
                <w:rFonts w:hint="eastAsia" w:ascii="宋体" w:hAnsi="宋体" w:eastAsia="宋体" w:cs="宋体"/>
                <w:color w:val="auto"/>
                <w:sz w:val="24"/>
                <w:szCs w:val="24"/>
                <w:highlight w:val="none"/>
                <w:lang w:eastAsia="zh-CN"/>
              </w:rPr>
              <w:t>；</w:t>
            </w:r>
            <w:r>
              <w:rPr>
                <w:rFonts w:hint="eastAsia" w:cs="Times New Roman"/>
                <w:color w:val="auto"/>
                <w:sz w:val="24"/>
                <w:highlight w:val="none"/>
                <w:shd w:val="clear" w:color="auto" w:fill="auto"/>
                <w:lang w:val="en-US" w:eastAsia="zh-CN"/>
              </w:rPr>
              <w:t>泄漏</w:t>
            </w:r>
            <w:r>
              <w:rPr>
                <w:rFonts w:hint="default" w:ascii="宋体" w:hAnsi="宋体" w:eastAsia="宋体" w:cs="宋体"/>
                <w:color w:val="auto"/>
                <w:sz w:val="24"/>
                <w:szCs w:val="24"/>
                <w:highlight w:val="none"/>
              </w:rPr>
              <w:t>时产生的</w:t>
            </w:r>
            <w:r>
              <w:rPr>
                <w:rFonts w:hint="eastAsia" w:ascii="宋体" w:hAnsi="宋体" w:eastAsia="宋体" w:cs="宋体"/>
                <w:color w:val="auto"/>
                <w:sz w:val="24"/>
                <w:szCs w:val="24"/>
                <w:highlight w:val="none"/>
                <w:lang w:val="en-US" w:eastAsia="zh-CN"/>
              </w:rPr>
              <w:t>事故废油</w:t>
            </w:r>
            <w:r>
              <w:rPr>
                <w:rFonts w:hint="default" w:ascii="宋体" w:hAnsi="宋体" w:eastAsia="宋体" w:cs="宋体"/>
                <w:color w:val="auto"/>
                <w:sz w:val="24"/>
                <w:szCs w:val="24"/>
                <w:highlight w:val="none"/>
              </w:rPr>
              <w:t>排入</w:t>
            </w:r>
            <w:r>
              <w:rPr>
                <w:rFonts w:hint="eastAsia" w:ascii="宋体" w:hAnsi="宋体" w:cs="宋体"/>
                <w:color w:val="auto"/>
                <w:sz w:val="24"/>
                <w:szCs w:val="24"/>
                <w:highlight w:val="none"/>
                <w:lang w:eastAsia="zh-CN"/>
              </w:rPr>
              <w:t>事故油池</w:t>
            </w:r>
            <w:r>
              <w:rPr>
                <w:rFonts w:hint="default" w:ascii="宋体" w:hAnsi="宋体" w:eastAsia="宋体" w:cs="宋体"/>
                <w:color w:val="auto"/>
                <w:sz w:val="24"/>
                <w:szCs w:val="24"/>
                <w:highlight w:val="none"/>
              </w:rPr>
              <w:t>收集后暂存于</w:t>
            </w:r>
            <w:r>
              <w:rPr>
                <w:rFonts w:hint="eastAsia" w:cs="Times New Roman"/>
                <w:b w:val="0"/>
                <w:bCs w:val="0"/>
                <w:color w:val="auto"/>
                <w:sz w:val="24"/>
                <w:szCs w:val="24"/>
                <w:highlight w:val="none"/>
                <w:lang w:val="en-US" w:eastAsia="zh-CN"/>
              </w:rPr>
              <w:t>竹园沟</w:t>
            </w:r>
            <w:r>
              <w:rPr>
                <w:rFonts w:hint="default" w:ascii="Times New Roman" w:hAnsi="Times New Roman" w:eastAsia="宋体" w:cs="Times New Roman"/>
                <w:b w:val="0"/>
                <w:bCs w:val="0"/>
                <w:color w:val="auto"/>
                <w:sz w:val="24"/>
                <w:szCs w:val="24"/>
                <w:highlight w:val="none"/>
                <w:lang w:val="en-US" w:eastAsia="zh-CN"/>
              </w:rPr>
              <w:t>光伏发电项目</w:t>
            </w:r>
            <w:r>
              <w:rPr>
                <w:rFonts w:hint="default" w:ascii="宋体" w:hAnsi="宋体" w:eastAsia="宋体" w:cs="宋体"/>
                <w:color w:val="auto"/>
                <w:sz w:val="24"/>
                <w:szCs w:val="24"/>
                <w:highlight w:val="none"/>
              </w:rPr>
              <w:t>危废</w:t>
            </w:r>
            <w:r>
              <w:rPr>
                <w:rFonts w:hint="eastAsia" w:ascii="宋体" w:hAnsi="宋体" w:cs="宋体"/>
                <w:color w:val="auto"/>
                <w:sz w:val="24"/>
                <w:szCs w:val="24"/>
                <w:highlight w:val="none"/>
                <w:lang w:val="en-US" w:eastAsia="zh-CN"/>
              </w:rPr>
              <w:t>贮存库</w:t>
            </w:r>
            <w:r>
              <w:rPr>
                <w:rFonts w:hint="default" w:ascii="宋体" w:hAnsi="宋体" w:eastAsia="宋体" w:cs="宋体"/>
                <w:color w:val="auto"/>
                <w:sz w:val="24"/>
                <w:szCs w:val="24"/>
                <w:highlight w:val="none"/>
              </w:rPr>
              <w:t>，委托有资质单位处置。</w:t>
            </w:r>
          </w:p>
          <w:p w14:paraId="43EE1D01">
            <w:pPr>
              <w:pStyle w:val="28"/>
              <w:keepNext w:val="0"/>
              <w:keepLines w:val="0"/>
              <w:suppressLineNumbers w:val="0"/>
              <w:shd w:val="clear"/>
              <w:spacing w:before="0" w:beforeAutospacing="0" w:after="0" w:afterAutospacing="0" w:line="240" w:lineRule="auto"/>
              <w:ind w:left="0" w:right="0"/>
              <w:jc w:val="center"/>
              <w:rPr>
                <w:rFonts w:hint="default"/>
                <w:b/>
                <w:color w:val="auto"/>
                <w:sz w:val="21"/>
                <w:szCs w:val="21"/>
                <w:highlight w:val="none"/>
                <w:shd w:val="clear" w:color="auto" w:fill="auto"/>
              </w:rPr>
            </w:pPr>
            <w:r>
              <w:rPr>
                <w:rFonts w:hint="default"/>
                <w:b/>
                <w:color w:val="auto"/>
                <w:sz w:val="21"/>
                <w:szCs w:val="21"/>
                <w:highlight w:val="none"/>
                <w:shd w:val="clear" w:color="auto" w:fill="auto"/>
              </w:rPr>
              <w:t>表4-</w:t>
            </w:r>
            <w:r>
              <w:rPr>
                <w:rFonts w:hint="eastAsia"/>
                <w:b/>
                <w:color w:val="auto"/>
                <w:sz w:val="21"/>
                <w:szCs w:val="21"/>
                <w:highlight w:val="none"/>
                <w:shd w:val="clear" w:color="auto" w:fill="auto"/>
                <w:lang w:val="en-US" w:eastAsia="zh-CN"/>
              </w:rPr>
              <w:t xml:space="preserve">10  </w:t>
            </w:r>
            <w:r>
              <w:rPr>
                <w:rFonts w:hint="default"/>
                <w:b/>
                <w:color w:val="auto"/>
                <w:sz w:val="21"/>
                <w:szCs w:val="21"/>
                <w:highlight w:val="none"/>
                <w:shd w:val="clear" w:color="auto" w:fill="auto"/>
              </w:rPr>
              <w:t>项目固废产生及处置情况</w:t>
            </w:r>
          </w:p>
          <w:tbl>
            <w:tblPr>
              <w:tblStyle w:val="41"/>
              <w:tblW w:w="7914" w:type="dxa"/>
              <w:jc w:val="center"/>
              <w:tblLayout w:type="fixed"/>
              <w:tblCellMar>
                <w:top w:w="0" w:type="dxa"/>
                <w:left w:w="0" w:type="dxa"/>
                <w:bottom w:w="0" w:type="dxa"/>
                <w:right w:w="0" w:type="dxa"/>
              </w:tblCellMar>
            </w:tblPr>
            <w:tblGrid>
              <w:gridCol w:w="458"/>
              <w:gridCol w:w="1063"/>
              <w:gridCol w:w="982"/>
              <w:gridCol w:w="914"/>
              <w:gridCol w:w="721"/>
              <w:gridCol w:w="711"/>
              <w:gridCol w:w="913"/>
              <w:gridCol w:w="718"/>
              <w:gridCol w:w="1434"/>
            </w:tblGrid>
            <w:tr w14:paraId="3E39ABFB">
              <w:tblPrEx>
                <w:tblCellMar>
                  <w:top w:w="0" w:type="dxa"/>
                  <w:left w:w="0" w:type="dxa"/>
                  <w:bottom w:w="0" w:type="dxa"/>
                  <w:right w:w="0" w:type="dxa"/>
                </w:tblCellMar>
              </w:tblPrEx>
              <w:trPr>
                <w:trHeight w:val="23" w:hRule="atLeast"/>
                <w:jc w:val="center"/>
              </w:trPr>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FAE15">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0159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固废名称</w:t>
                  </w:r>
                </w:p>
              </w:tc>
              <w:tc>
                <w:tcPr>
                  <w:tcW w:w="6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1B50C">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属性</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2E357">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 w:val="21"/>
                      <w:szCs w:val="21"/>
                      <w:highlight w:val="none"/>
                      <w:shd w:val="clear" w:color="auto" w:fill="auto"/>
                      <w:lang w:val="en-US" w:eastAsia="zh-CN" w:bidi="ar"/>
                    </w:rPr>
                    <w:t>废物代码</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989C1">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w:t>
                  </w: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BECA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ADE6E">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主要成分</w:t>
                  </w:r>
                </w:p>
              </w:tc>
              <w:tc>
                <w:tcPr>
                  <w:tcW w:w="4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B0A30">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估算产生量</w:t>
                  </w:r>
                </w:p>
              </w:tc>
              <w:tc>
                <w:tcPr>
                  <w:tcW w:w="9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182DD">
                  <w:pPr>
                    <w:keepNext w:val="0"/>
                    <w:keepLines w:val="0"/>
                    <w:widowControl/>
                    <w:suppressLineNumbers w:val="0"/>
                    <w:shd w:val="clear"/>
                    <w:spacing w:before="0" w:beforeAutospacing="0" w:after="0" w:afterAutospacing="0" w:line="240" w:lineRule="auto"/>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w:t>
                  </w:r>
                </w:p>
              </w:tc>
            </w:tr>
            <w:tr w14:paraId="36CB6AF9">
              <w:tblPrEx>
                <w:tblCellMar>
                  <w:top w:w="0" w:type="dxa"/>
                  <w:left w:w="0" w:type="dxa"/>
                  <w:bottom w:w="0" w:type="dxa"/>
                  <w:right w:w="0" w:type="dxa"/>
                </w:tblCellMar>
              </w:tblPrEx>
              <w:trPr>
                <w:trHeight w:val="2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4E264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1</w:t>
                  </w:r>
                </w:p>
              </w:tc>
              <w:tc>
                <w:tcPr>
                  <w:tcW w:w="6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3BDC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bCs/>
                      <w:color w:val="auto"/>
                      <w:sz w:val="21"/>
                      <w:szCs w:val="21"/>
                      <w:highlight w:val="none"/>
                      <w:shd w:val="clear" w:color="auto" w:fill="auto"/>
                    </w:rPr>
                    <w:t>废光伏板及其组件</w:t>
                  </w:r>
                </w:p>
              </w:tc>
              <w:tc>
                <w:tcPr>
                  <w:tcW w:w="6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95A5A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一般固废</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B48C2">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 xml:space="preserve">SW17 900-015-S17 </w:t>
                  </w:r>
                </w:p>
              </w:tc>
              <w:tc>
                <w:tcPr>
                  <w:tcW w:w="4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02BC2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kern w:val="0"/>
                      <w:sz w:val="21"/>
                      <w:szCs w:val="21"/>
                      <w:highlight w:val="none"/>
                      <w:shd w:val="clear" w:color="auto" w:fill="auto"/>
                      <w:lang w:bidi="ar"/>
                    </w:rPr>
                    <w:t>光伏组件</w:t>
                  </w:r>
                </w:p>
              </w:tc>
              <w:tc>
                <w:tcPr>
                  <w:tcW w:w="4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FAAB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固态</w:t>
                  </w:r>
                </w:p>
              </w:tc>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3FDC0">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铝合金边框、钢化玻璃、</w:t>
                  </w:r>
                  <w:r>
                    <w:rPr>
                      <w:rFonts w:hint="default"/>
                      <w:bCs/>
                      <w:color w:val="auto"/>
                      <w:sz w:val="21"/>
                      <w:szCs w:val="21"/>
                      <w:highlight w:val="none"/>
                      <w:shd w:val="clear" w:color="auto" w:fill="auto"/>
                    </w:rPr>
                    <w:t>EVA</w:t>
                  </w:r>
                  <w:r>
                    <w:rPr>
                      <w:rFonts w:hint="eastAsia"/>
                      <w:bCs/>
                      <w:color w:val="auto"/>
                      <w:sz w:val="21"/>
                      <w:szCs w:val="21"/>
                      <w:highlight w:val="none"/>
                      <w:shd w:val="clear" w:color="auto" w:fill="auto"/>
                    </w:rPr>
                    <w:t>膜</w:t>
                  </w:r>
                  <w:r>
                    <w:rPr>
                      <w:rFonts w:hint="default"/>
                      <w:color w:val="auto"/>
                      <w:kern w:val="0"/>
                      <w:sz w:val="21"/>
                      <w:szCs w:val="21"/>
                      <w:highlight w:val="none"/>
                      <w:shd w:val="clear" w:color="auto" w:fill="auto"/>
                      <w:lang w:bidi="ar"/>
                    </w:rPr>
                    <w:t>等</w:t>
                  </w:r>
                </w:p>
              </w:tc>
              <w:tc>
                <w:tcPr>
                  <w:tcW w:w="45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7736F">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lang w:val="en-US" w:eastAsia="zh-CN"/>
                    </w:rPr>
                    <w:t>1.7t</w:t>
                  </w:r>
                  <w:r>
                    <w:rPr>
                      <w:rFonts w:hint="default"/>
                      <w:color w:val="auto"/>
                      <w:kern w:val="0"/>
                      <w:sz w:val="21"/>
                      <w:szCs w:val="21"/>
                      <w:highlight w:val="none"/>
                      <w:shd w:val="clear" w:color="auto" w:fill="auto"/>
                      <w:lang w:bidi="ar"/>
                    </w:rPr>
                    <w:t>/a</w:t>
                  </w:r>
                </w:p>
              </w:tc>
              <w:tc>
                <w:tcPr>
                  <w:tcW w:w="905"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1D0F3674">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highlight w:val="none"/>
                    </w:rPr>
                    <w:t>暂存于</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color w:val="auto"/>
                      <w:sz w:val="21"/>
                      <w:szCs w:val="21"/>
                      <w:highlight w:val="none"/>
                      <w:lang w:val="en-US" w:eastAsia="zh-CN"/>
                    </w:rPr>
                    <w:t>升压站</w:t>
                  </w:r>
                  <w:r>
                    <w:rPr>
                      <w:rFonts w:hint="eastAsia"/>
                      <w:color w:val="auto"/>
                      <w:sz w:val="21"/>
                      <w:szCs w:val="21"/>
                      <w:highlight w:val="none"/>
                    </w:rPr>
                    <w:t>一般固废暂存间，及时委托专业的回收厂家收购回收处理，不得随意堆放处置</w:t>
                  </w:r>
                </w:p>
              </w:tc>
            </w:tr>
            <w:tr w14:paraId="69AA7CF2">
              <w:tblPrEx>
                <w:tblCellMar>
                  <w:top w:w="0" w:type="dxa"/>
                  <w:left w:w="0" w:type="dxa"/>
                  <w:bottom w:w="0" w:type="dxa"/>
                  <w:right w:w="0" w:type="dxa"/>
                </w:tblCellMar>
              </w:tblPrEx>
              <w:trPr>
                <w:trHeight w:val="2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A5059">
                  <w:pPr>
                    <w:keepNext w:val="0"/>
                    <w:keepLines w:val="0"/>
                    <w:widowControl/>
                    <w:suppressLineNumbers w:val="0"/>
                    <w:shd w:val="clear"/>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2</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C3645">
                  <w:pPr>
                    <w:keepNext w:val="0"/>
                    <w:keepLines w:val="0"/>
                    <w:widowControl/>
                    <w:suppressLineNumbers w:val="0"/>
                    <w:spacing w:before="0" w:beforeAutospacing="0" w:after="0" w:afterAutospacing="0" w:line="240" w:lineRule="auto"/>
                    <w:ind w:left="0" w:leftChars="0" w:right="0" w:rightChars="0"/>
                    <w:jc w:val="center"/>
                    <w:textAlignment w:val="top"/>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废逆变器</w:t>
                  </w:r>
                </w:p>
              </w:tc>
              <w:tc>
                <w:tcPr>
                  <w:tcW w:w="6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F8D19">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一般固废</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658F7">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SW59 900-099-S59</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089930">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逆变器损坏</w:t>
                  </w: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83984">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固态</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F28C2">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电路板、熔断器、功率开关管、电感、电容、散热器</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结构件等</w:t>
                  </w:r>
                </w:p>
              </w:tc>
              <w:tc>
                <w:tcPr>
                  <w:tcW w:w="4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3CAB3">
                  <w:pPr>
                    <w:keepNext w:val="0"/>
                    <w:keepLines w:val="0"/>
                    <w:widowControl/>
                    <w:suppressLineNumbers w:val="0"/>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shd w:val="clear" w:color="auto" w:fill="auto"/>
                      <w:lang w:val="en-US" w:eastAsia="zh-CN"/>
                    </w:rPr>
                    <w:t>0.928</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905" w:type="pct"/>
                  <w:vMerge w:val="continue"/>
                  <w:tcBorders>
                    <w:left w:val="single" w:color="000000" w:sz="4" w:space="0"/>
                    <w:right w:val="single" w:color="000000" w:sz="4" w:space="0"/>
                  </w:tcBorders>
                  <w:tcMar>
                    <w:top w:w="15" w:type="dxa"/>
                    <w:left w:w="15" w:type="dxa"/>
                    <w:right w:w="15" w:type="dxa"/>
                  </w:tcMar>
                  <w:vAlign w:val="center"/>
                </w:tcPr>
                <w:p w14:paraId="235404F9">
                  <w:pPr>
                    <w:keepNext w:val="0"/>
                    <w:keepLines w:val="0"/>
                    <w:widowControl/>
                    <w:suppressLineNumbers w:val="0"/>
                    <w:shd w:val="clear"/>
                    <w:spacing w:before="0" w:beforeAutospacing="0" w:after="0" w:afterAutospacing="0" w:line="240" w:lineRule="auto"/>
                    <w:ind w:left="0" w:right="0"/>
                    <w:jc w:val="center"/>
                    <w:textAlignment w:val="top"/>
                    <w:rPr>
                      <w:rFonts w:hint="eastAsia"/>
                      <w:b w:val="0"/>
                      <w:bCs w:val="0"/>
                      <w:color w:val="auto"/>
                      <w:spacing w:val="6"/>
                      <w:sz w:val="21"/>
                      <w:szCs w:val="21"/>
                      <w:highlight w:val="none"/>
                      <w:shd w:val="clear" w:color="auto" w:fill="auto"/>
                    </w:rPr>
                  </w:pPr>
                </w:p>
              </w:tc>
            </w:tr>
            <w:tr w14:paraId="780237ED">
              <w:tblPrEx>
                <w:tblCellMar>
                  <w:top w:w="0" w:type="dxa"/>
                  <w:left w:w="0" w:type="dxa"/>
                  <w:bottom w:w="0" w:type="dxa"/>
                  <w:right w:w="0" w:type="dxa"/>
                </w:tblCellMar>
              </w:tblPrEx>
              <w:trPr>
                <w:trHeight w:val="2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79E07">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p>
              </w:tc>
              <w:tc>
                <w:tcPr>
                  <w:tcW w:w="6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1A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废电气元件</w:t>
                  </w:r>
                </w:p>
              </w:tc>
              <w:tc>
                <w:tcPr>
                  <w:tcW w:w="6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88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一般固废</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5B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top"/>
                    <w:rPr>
                      <w:rFonts w:hint="default" w:ascii="Times New Roman" w:hAnsi="Times New Roman" w:eastAsia="宋体" w:cs="Times New Roman"/>
                      <w:bCs/>
                      <w:color w:val="auto"/>
                      <w:kern w:val="2"/>
                      <w:sz w:val="21"/>
                      <w:szCs w:val="21"/>
                      <w:lang w:val="en-US" w:eastAsia="zh-CN" w:bidi="ar-SA"/>
                    </w:rPr>
                  </w:pPr>
                  <w:r>
                    <w:rPr>
                      <w:rFonts w:hint="eastAsia"/>
                      <w:color w:val="auto"/>
                      <w:sz w:val="21"/>
                      <w:szCs w:val="21"/>
                      <w:highlight w:val="none"/>
                      <w:shd w:val="clear" w:color="auto" w:fill="auto"/>
                      <w:lang w:val="en-US" w:eastAsia="zh-CN"/>
                    </w:rPr>
                    <w:t>SW59 900-099-S59</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12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设备检修</w:t>
                  </w:r>
                </w:p>
              </w:tc>
              <w:tc>
                <w:tcPr>
                  <w:tcW w:w="44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39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固态</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F5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导线、螺丝钉等铁质材料</w:t>
                  </w:r>
                </w:p>
              </w:tc>
              <w:tc>
                <w:tcPr>
                  <w:tcW w:w="4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80F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0.5</w:t>
                  </w:r>
                  <w:r>
                    <w:rPr>
                      <w:rFonts w:hint="default" w:ascii="Times New Roman" w:hAnsi="Times New Roman" w:eastAsia="宋体" w:cs="Times New Roman"/>
                      <w:bCs/>
                      <w:color w:val="auto"/>
                      <w:sz w:val="21"/>
                      <w:szCs w:val="21"/>
                      <w:highlight w:val="none"/>
                      <w:shd w:val="clear" w:color="auto" w:fill="auto"/>
                      <w:lang w:val="en-US" w:eastAsia="zh-CN"/>
                    </w:rPr>
                    <w:t>t/a</w:t>
                  </w:r>
                </w:p>
              </w:tc>
              <w:tc>
                <w:tcPr>
                  <w:tcW w:w="905"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8D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eastAsia" w:ascii="Times New Roman" w:hAnsi="Times New Roman" w:eastAsia="宋体" w:cs="Times New Roman"/>
                      <w:bCs/>
                      <w:color w:val="auto"/>
                      <w:kern w:val="2"/>
                      <w:sz w:val="21"/>
                      <w:szCs w:val="21"/>
                      <w:highlight w:val="none"/>
                      <w:lang w:val="en-US" w:eastAsia="zh-CN" w:bidi="ar-SA"/>
                    </w:rPr>
                  </w:pPr>
                </w:p>
              </w:tc>
            </w:tr>
            <w:tr w14:paraId="4307BB21">
              <w:tblPrEx>
                <w:tblCellMar>
                  <w:top w:w="0" w:type="dxa"/>
                  <w:left w:w="0" w:type="dxa"/>
                  <w:bottom w:w="0" w:type="dxa"/>
                  <w:right w:w="0" w:type="dxa"/>
                </w:tblCellMar>
              </w:tblPrEx>
              <w:trPr>
                <w:trHeight w:val="23" w:hRule="atLeast"/>
                <w:jc w:val="center"/>
              </w:trPr>
              <w:tc>
                <w:tcPr>
                  <w:tcW w:w="28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63957D98">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 w:val="21"/>
                      <w:szCs w:val="21"/>
                      <w:highlight w:val="none"/>
                      <w:shd w:val="clear" w:color="auto" w:fill="auto"/>
                      <w:lang w:bidi="ar"/>
                    </w:rPr>
                    <w:t>4</w:t>
                  </w:r>
                </w:p>
              </w:tc>
              <w:tc>
                <w:tcPr>
                  <w:tcW w:w="67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758B1A">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6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4CD78">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危险废物</w:t>
                  </w:r>
                </w:p>
              </w:tc>
              <w:tc>
                <w:tcPr>
                  <w:tcW w:w="5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3A6B9">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45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0D29BB">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4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DB3CB6">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57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DBB25">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矿物油</w:t>
                  </w:r>
                </w:p>
              </w:tc>
              <w:tc>
                <w:tcPr>
                  <w:tcW w:w="453"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630DBFB">
                  <w:pPr>
                    <w:keepNext w:val="0"/>
                    <w:keepLines w:val="0"/>
                    <w:widowControl/>
                    <w:suppressLineNumbers w:val="0"/>
                    <w:shd w:val="clear"/>
                    <w:spacing w:before="0" w:beforeAutospacing="0" w:after="0" w:afterAutospacing="0" w:line="240" w:lineRule="auto"/>
                    <w:ind w:left="0" w:right="0"/>
                    <w:jc w:val="center"/>
                    <w:textAlignment w:val="top"/>
                    <w:rPr>
                      <w:rFonts w:hint="default" w:eastAsia="宋体"/>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39.84</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9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CF61147">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委托有资质单位在更换后即时转移处置，不在厂区贮存</w:t>
                  </w:r>
                </w:p>
              </w:tc>
            </w:tr>
            <w:tr w14:paraId="334003D7">
              <w:tblPrEx>
                <w:tblCellMar>
                  <w:top w:w="0" w:type="dxa"/>
                  <w:left w:w="0" w:type="dxa"/>
                  <w:bottom w:w="0" w:type="dxa"/>
                  <w:right w:w="0" w:type="dxa"/>
                </w:tblCellMar>
              </w:tblPrEx>
              <w:trPr>
                <w:trHeight w:val="23" w:hRule="atLeast"/>
                <w:jc w:val="center"/>
              </w:trPr>
              <w:tc>
                <w:tcPr>
                  <w:tcW w:w="289"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7CDC9C76">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kern w:val="0"/>
                      <w:sz w:val="21"/>
                      <w:szCs w:val="21"/>
                      <w:highlight w:val="none"/>
                      <w:shd w:val="clear" w:color="auto" w:fill="auto"/>
                      <w:lang w:bidi="ar"/>
                    </w:rPr>
                    <w:t>5</w:t>
                  </w:r>
                </w:p>
              </w:tc>
              <w:tc>
                <w:tcPr>
                  <w:tcW w:w="671"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4CE6F42">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eastAsia"/>
                      <w:bCs/>
                      <w:color w:val="auto"/>
                      <w:sz w:val="21"/>
                      <w:szCs w:val="21"/>
                      <w:highlight w:val="none"/>
                      <w:shd w:val="clear" w:color="auto" w:fill="auto"/>
                    </w:rPr>
                    <w:t>废变压器油</w:t>
                  </w:r>
                  <w:r>
                    <w:rPr>
                      <w:rFonts w:hint="eastAsia"/>
                      <w:bCs/>
                      <w:color w:val="auto"/>
                      <w:szCs w:val="21"/>
                      <w:highlight w:val="none"/>
                      <w:shd w:val="clear" w:color="auto" w:fill="auto"/>
                      <w:lang w:val="en-US" w:eastAsia="zh-CN"/>
                    </w:rPr>
                    <w:t>（单次维修废油）</w:t>
                  </w:r>
                </w:p>
              </w:tc>
              <w:tc>
                <w:tcPr>
                  <w:tcW w:w="620"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C634EEE">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577"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CE0CFC7">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455"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737F5684">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olor w:val="auto"/>
                      <w:sz w:val="21"/>
                      <w:szCs w:val="21"/>
                      <w:highlight w:val="none"/>
                      <w:shd w:val="clear" w:color="auto" w:fill="auto"/>
                    </w:rPr>
                    <w:t>变压器</w:t>
                  </w:r>
                  <w:r>
                    <w:rPr>
                      <w:rFonts w:hint="eastAsia"/>
                      <w:color w:val="auto"/>
                      <w:sz w:val="21"/>
                      <w:szCs w:val="21"/>
                      <w:highlight w:val="none"/>
                      <w:shd w:val="clear" w:color="auto" w:fill="auto"/>
                      <w:lang w:val="en-US" w:eastAsia="zh-CN"/>
                    </w:rPr>
                    <w:t>检修</w:t>
                  </w:r>
                </w:p>
              </w:tc>
              <w:tc>
                <w:tcPr>
                  <w:tcW w:w="449"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0648544">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76"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B8D4ACA">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453" w:type="pct"/>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57B4AA97">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1.99</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905"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D533FCE">
                  <w:pPr>
                    <w:keepNext w:val="0"/>
                    <w:keepLines w:val="0"/>
                    <w:widowControl/>
                    <w:suppressLineNumbers w:val="0"/>
                    <w:shd w:val="clear" w:color="auto" w:fill="auto"/>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val="en-US" w:eastAsia="zh-CN" w:bidi="ar"/>
                    </w:rPr>
                    <w:t>集中收集后，暂存于</w:t>
                  </w: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ascii="Times New Roman" w:hAnsi="Times New Roman" w:eastAsia="宋体" w:cs="Times New Roman"/>
                      <w:color w:val="auto"/>
                      <w:kern w:val="0"/>
                      <w:sz w:val="21"/>
                      <w:szCs w:val="21"/>
                      <w:highlight w:val="none"/>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r>
                    <w:rPr>
                      <w:rFonts w:hint="default"/>
                      <w:color w:val="auto"/>
                      <w:kern w:val="0"/>
                      <w:sz w:val="21"/>
                      <w:szCs w:val="21"/>
                      <w:highlight w:val="none"/>
                      <w:shd w:val="clear" w:color="auto" w:fill="auto"/>
                      <w:lang w:val="en-US" w:eastAsia="zh-CN" w:bidi="ar"/>
                    </w:rPr>
                    <w:t>，并委托有资质单位处置</w:t>
                  </w:r>
                </w:p>
              </w:tc>
            </w:tr>
            <w:tr w14:paraId="4BE56934">
              <w:tblPrEx>
                <w:tblCellMar>
                  <w:top w:w="0" w:type="dxa"/>
                  <w:left w:w="0" w:type="dxa"/>
                  <w:bottom w:w="0" w:type="dxa"/>
                  <w:right w:w="0" w:type="dxa"/>
                </w:tblCellMar>
              </w:tblPrEx>
              <w:trPr>
                <w:trHeight w:val="23" w:hRule="atLeast"/>
                <w:jc w:val="center"/>
              </w:trPr>
              <w:tc>
                <w:tcPr>
                  <w:tcW w:w="289" w:type="pc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14:paraId="75048459">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6</w:t>
                  </w:r>
                </w:p>
              </w:tc>
              <w:tc>
                <w:tcPr>
                  <w:tcW w:w="671"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7E22C27D">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事故废油</w:t>
                  </w:r>
                </w:p>
              </w:tc>
              <w:tc>
                <w:tcPr>
                  <w:tcW w:w="620"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57E0E333">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危险废物</w:t>
                  </w:r>
                </w:p>
              </w:tc>
              <w:tc>
                <w:tcPr>
                  <w:tcW w:w="577"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05457CB">
                  <w:pPr>
                    <w:keepNext w:val="0"/>
                    <w:keepLines w:val="0"/>
                    <w:widowControl/>
                    <w:suppressLineNumbers w:val="0"/>
                    <w:shd w:val="clear"/>
                    <w:spacing w:before="0" w:beforeAutospacing="0" w:after="0" w:afterAutospacing="0" w:line="240" w:lineRule="auto"/>
                    <w:ind w:left="0" w:leftChars="0" w:right="0" w:rightChars="0"/>
                    <w:jc w:val="center"/>
                    <w:textAlignment w:val="top"/>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color w:val="auto"/>
                      <w:kern w:val="0"/>
                      <w:sz w:val="21"/>
                      <w:szCs w:val="21"/>
                      <w:highlight w:val="none"/>
                      <w:shd w:val="clear" w:color="auto" w:fill="auto"/>
                      <w:lang w:bidi="ar"/>
                    </w:rPr>
                    <w:t>HW08</w:t>
                  </w:r>
                  <w:r>
                    <w:rPr>
                      <w:rFonts w:hint="eastAsia"/>
                      <w:color w:val="auto"/>
                      <w:kern w:val="0"/>
                      <w:sz w:val="21"/>
                      <w:szCs w:val="21"/>
                      <w:highlight w:val="none"/>
                      <w:shd w:val="clear" w:color="auto" w:fill="auto"/>
                      <w:lang w:val="en-US" w:eastAsia="zh-CN" w:bidi="ar"/>
                    </w:rPr>
                    <w:t xml:space="preserve"> </w:t>
                  </w: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455"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1EB51058">
                  <w:pPr>
                    <w:keepNext w:val="0"/>
                    <w:keepLines w:val="0"/>
                    <w:widowControl/>
                    <w:suppressLineNumbers w:val="0"/>
                    <w:shd w:val="clear"/>
                    <w:spacing w:before="0" w:beforeAutospacing="0" w:after="0" w:afterAutospacing="0" w:line="240" w:lineRule="auto"/>
                    <w:ind w:left="0" w:right="0"/>
                    <w:jc w:val="center"/>
                    <w:textAlignment w:val="top"/>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rPr>
                    <w:t>变压器事故情况</w:t>
                  </w:r>
                </w:p>
              </w:tc>
              <w:tc>
                <w:tcPr>
                  <w:tcW w:w="449"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024EBDDE">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576"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14:paraId="0EA2A0F9">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453" w:type="pct"/>
                  <w:tcBorders>
                    <w:top w:val="single" w:color="auto" w:sz="4" w:space="0"/>
                    <w:left w:val="single" w:color="000000" w:sz="4" w:space="0"/>
                    <w:bottom w:val="single" w:color="auto" w:sz="4" w:space="0"/>
                    <w:right w:val="single" w:color="auto" w:sz="4" w:space="0"/>
                  </w:tcBorders>
                  <w:tcMar>
                    <w:top w:w="15" w:type="dxa"/>
                    <w:left w:w="15" w:type="dxa"/>
                    <w:right w:w="15" w:type="dxa"/>
                  </w:tcMar>
                  <w:vAlign w:val="center"/>
                </w:tcPr>
                <w:p w14:paraId="6883EBEC">
                  <w:pPr>
                    <w:keepNext w:val="0"/>
                    <w:keepLines w:val="0"/>
                    <w:widowControl/>
                    <w:suppressLineNumbers w:val="0"/>
                    <w:shd w:val="clear"/>
                    <w:spacing w:before="0" w:beforeAutospacing="0" w:after="0" w:afterAutospacing="0" w:line="240" w:lineRule="auto"/>
                    <w:ind w:left="0" w:right="0"/>
                    <w:jc w:val="center"/>
                    <w:textAlignment w:val="top"/>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3.19</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905" w:type="pct"/>
                  <w:vMerge w:val="continue"/>
                  <w:tcBorders>
                    <w:left w:val="single" w:color="auto" w:sz="4" w:space="0"/>
                    <w:bottom w:val="single" w:color="auto" w:sz="4" w:space="0"/>
                    <w:right w:val="single" w:color="auto" w:sz="4" w:space="0"/>
                  </w:tcBorders>
                  <w:tcMar>
                    <w:top w:w="15" w:type="dxa"/>
                    <w:left w:w="15" w:type="dxa"/>
                    <w:right w:w="15" w:type="dxa"/>
                  </w:tcMar>
                  <w:vAlign w:val="center"/>
                </w:tcPr>
                <w:p w14:paraId="3FAF9721">
                  <w:pPr>
                    <w:keepNext w:val="0"/>
                    <w:keepLines w:val="0"/>
                    <w:widowControl/>
                    <w:suppressLineNumbers w:val="0"/>
                    <w:shd w:val="clear"/>
                    <w:spacing w:before="0" w:beforeAutospacing="0" w:after="0" w:afterAutospacing="0" w:line="240" w:lineRule="auto"/>
                    <w:ind w:left="0" w:right="0"/>
                    <w:jc w:val="center"/>
                    <w:textAlignment w:val="top"/>
                    <w:rPr>
                      <w:rFonts w:hint="default"/>
                      <w:color w:val="auto"/>
                      <w:kern w:val="0"/>
                      <w:sz w:val="21"/>
                      <w:szCs w:val="21"/>
                      <w:highlight w:val="none"/>
                      <w:shd w:val="clear" w:color="auto" w:fill="auto"/>
                      <w:lang w:bidi="ar"/>
                    </w:rPr>
                  </w:pPr>
                </w:p>
              </w:tc>
            </w:tr>
          </w:tbl>
          <w:p w14:paraId="0DB630C6">
            <w:pPr>
              <w:pStyle w:val="28"/>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p>
          <w:p w14:paraId="4E5AABEB">
            <w:pPr>
              <w:pStyle w:val="28"/>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表4-</w:t>
            </w:r>
            <w:r>
              <w:rPr>
                <w:rFonts w:hint="eastAsia" w:cs="Times New Roman"/>
                <w:b/>
                <w:color w:val="auto"/>
                <w:sz w:val="21"/>
                <w:szCs w:val="21"/>
                <w:highlight w:val="none"/>
                <w:shd w:val="clear" w:color="auto" w:fill="auto"/>
                <w:lang w:val="en-US" w:eastAsia="zh-CN"/>
              </w:rPr>
              <w:t xml:space="preserve">11  </w:t>
            </w:r>
            <w:r>
              <w:rPr>
                <w:rFonts w:hint="default" w:ascii="Times New Roman" w:hAnsi="Times New Roman" w:eastAsia="宋体" w:cs="Times New Roman"/>
                <w:b/>
                <w:color w:val="auto"/>
                <w:sz w:val="21"/>
                <w:szCs w:val="21"/>
                <w:highlight w:val="none"/>
                <w:shd w:val="clear" w:color="auto" w:fill="auto"/>
              </w:rPr>
              <w:t>危险废物汇总表</w:t>
            </w:r>
          </w:p>
          <w:tbl>
            <w:tblPr>
              <w:tblStyle w:val="41"/>
              <w:tblW w:w="4982" w:type="pct"/>
              <w:tblInd w:w="0" w:type="dxa"/>
              <w:tblLayout w:type="fixed"/>
              <w:tblCellMar>
                <w:top w:w="0" w:type="dxa"/>
                <w:left w:w="0" w:type="dxa"/>
                <w:bottom w:w="0" w:type="dxa"/>
                <w:right w:w="0" w:type="dxa"/>
              </w:tblCellMar>
            </w:tblPr>
            <w:tblGrid>
              <w:gridCol w:w="1655"/>
              <w:gridCol w:w="2076"/>
              <w:gridCol w:w="2094"/>
              <w:gridCol w:w="2090"/>
            </w:tblGrid>
            <w:tr w14:paraId="2EB542AE">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0809B2F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序号</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2C28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1</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9957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2</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7CC24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olor w:val="auto"/>
                      <w:kern w:val="0"/>
                      <w:sz w:val="21"/>
                      <w:szCs w:val="21"/>
                      <w:highlight w:val="none"/>
                      <w:shd w:val="clear" w:color="auto" w:fill="auto"/>
                      <w:lang w:val="en-US" w:eastAsia="zh-CN" w:bidi="ar"/>
                    </w:rPr>
                    <w:t>3</w:t>
                  </w:r>
                </w:p>
              </w:tc>
            </w:tr>
            <w:tr w14:paraId="40F69B23">
              <w:tblPrEx>
                <w:tblCellMar>
                  <w:top w:w="0" w:type="dxa"/>
                  <w:left w:w="0" w:type="dxa"/>
                  <w:bottom w:w="0" w:type="dxa"/>
                  <w:right w:w="0" w:type="dxa"/>
                </w:tblCellMar>
              </w:tblPrEx>
              <w:trPr>
                <w:trHeight w:val="630" w:hRule="atLeast"/>
              </w:trPr>
              <w:tc>
                <w:tcPr>
                  <w:tcW w:w="1045" w:type="pc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AFEB5E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危险废物名称</w:t>
                  </w:r>
                </w:p>
              </w:tc>
              <w:tc>
                <w:tcPr>
                  <w:tcW w:w="1311" w:type="pct"/>
                  <w:tcBorders>
                    <w:top w:val="single" w:color="000000" w:sz="4" w:space="0"/>
                    <w:left w:val="single" w:color="000000" w:sz="4" w:space="0"/>
                    <w:right w:val="single" w:color="000000" w:sz="4" w:space="0"/>
                  </w:tcBorders>
                  <w:tcMar>
                    <w:top w:w="15" w:type="dxa"/>
                    <w:left w:w="15" w:type="dxa"/>
                    <w:right w:w="15" w:type="dxa"/>
                  </w:tcMar>
                  <w:vAlign w:val="center"/>
                </w:tcPr>
                <w:p w14:paraId="4232761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rPr>
                    <w:t>废变压器油</w:t>
                  </w:r>
                  <w:r>
                    <w:rPr>
                      <w:rFonts w:hint="eastAsia"/>
                      <w:bCs/>
                      <w:color w:val="auto"/>
                      <w:sz w:val="21"/>
                      <w:szCs w:val="21"/>
                      <w:highlight w:val="none"/>
                      <w:shd w:val="clear" w:color="auto" w:fill="auto"/>
                      <w:lang w:eastAsia="zh-CN"/>
                    </w:rPr>
                    <w:t>（</w:t>
                  </w:r>
                  <w:r>
                    <w:rPr>
                      <w:rFonts w:hint="default"/>
                      <w:color w:val="auto"/>
                      <w:kern w:val="0"/>
                      <w:sz w:val="21"/>
                      <w:szCs w:val="21"/>
                      <w:highlight w:val="none"/>
                      <w:shd w:val="clear" w:color="auto" w:fill="auto"/>
                      <w:lang w:val="en-US" w:eastAsia="zh-CN" w:bidi="ar"/>
                    </w:rPr>
                    <w:t>全部更换</w:t>
                  </w:r>
                  <w:r>
                    <w:rPr>
                      <w:rFonts w:hint="eastAsia"/>
                      <w:bCs/>
                      <w:color w:val="auto"/>
                      <w:sz w:val="21"/>
                      <w:szCs w:val="21"/>
                      <w:highlight w:val="none"/>
                      <w:shd w:val="clear" w:color="auto" w:fill="auto"/>
                      <w:lang w:eastAsia="zh-CN"/>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624E1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bCs/>
                      <w:color w:val="auto"/>
                      <w:sz w:val="21"/>
                      <w:szCs w:val="21"/>
                      <w:highlight w:val="none"/>
                      <w:shd w:val="clear" w:color="auto" w:fill="auto"/>
                    </w:rPr>
                  </w:pPr>
                  <w:r>
                    <w:rPr>
                      <w:rFonts w:hint="default" w:eastAsia="宋体"/>
                      <w:bCs/>
                      <w:color w:val="auto"/>
                      <w:sz w:val="21"/>
                      <w:szCs w:val="21"/>
                      <w:highlight w:val="none"/>
                      <w:shd w:val="clear" w:color="auto" w:fill="auto"/>
                      <w:lang w:val="en-US" w:eastAsia="zh-CN"/>
                    </w:rPr>
                    <w:t>废变压器油</w:t>
                  </w:r>
                  <w:r>
                    <w:rPr>
                      <w:rFonts w:hint="eastAsia"/>
                      <w:bCs/>
                      <w:color w:val="auto"/>
                      <w:szCs w:val="21"/>
                      <w:highlight w:val="none"/>
                      <w:shd w:val="clear" w:color="auto" w:fill="auto"/>
                      <w:lang w:val="en-US" w:eastAsia="zh-CN"/>
                    </w:rPr>
                    <w:t>（单次维修废油）</w:t>
                  </w:r>
                </w:p>
              </w:tc>
              <w:tc>
                <w:tcPr>
                  <w:tcW w:w="1320" w:type="pct"/>
                  <w:tcBorders>
                    <w:top w:val="single" w:color="000000" w:sz="4" w:space="0"/>
                    <w:left w:val="single" w:color="000000" w:sz="4" w:space="0"/>
                    <w:right w:val="single" w:color="000000" w:sz="4" w:space="0"/>
                  </w:tcBorders>
                  <w:tcMar>
                    <w:top w:w="15" w:type="dxa"/>
                    <w:left w:w="15" w:type="dxa"/>
                    <w:right w:w="15" w:type="dxa"/>
                  </w:tcMar>
                  <w:vAlign w:val="center"/>
                </w:tcPr>
                <w:p w14:paraId="206457F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bCs/>
                      <w:color w:val="auto"/>
                      <w:sz w:val="21"/>
                      <w:szCs w:val="21"/>
                      <w:highlight w:val="none"/>
                      <w:shd w:val="clear" w:color="auto" w:fill="auto"/>
                      <w:lang w:val="en-US" w:eastAsia="zh-CN"/>
                    </w:rPr>
                    <w:t>事故废油</w:t>
                  </w:r>
                </w:p>
              </w:tc>
            </w:tr>
            <w:tr w14:paraId="5A5005C3">
              <w:tblPrEx>
                <w:tblCellMar>
                  <w:top w:w="0" w:type="dxa"/>
                  <w:left w:w="0" w:type="dxa"/>
                  <w:bottom w:w="0" w:type="dxa"/>
                  <w:right w:w="0" w:type="dxa"/>
                </w:tblCellMar>
              </w:tblPrEx>
              <w:trPr>
                <w:trHeight w:val="2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DD55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危险废物类别</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8FF58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HW08废矿物油与含矿物油废物</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18BC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HW08废矿物油与含矿物油废物</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F1A6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HW08废矿物油与含矿物油废物</w:t>
                  </w:r>
                </w:p>
              </w:tc>
            </w:tr>
            <w:tr w14:paraId="73FC4161">
              <w:tblPrEx>
                <w:tblCellMar>
                  <w:top w:w="0" w:type="dxa"/>
                  <w:left w:w="0" w:type="dxa"/>
                  <w:bottom w:w="0" w:type="dxa"/>
                  <w:right w:w="0" w:type="dxa"/>
                </w:tblCellMar>
              </w:tblPrEx>
              <w:trPr>
                <w:trHeight w:val="95"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CD1807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危险废物代码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66EAC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D1D2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lang w:val="en-US" w:eastAsia="zh-CN"/>
                    </w:rPr>
                  </w:pPr>
                  <w:r>
                    <w:rPr>
                      <w:rFonts w:hint="default"/>
                      <w:color w:val="auto"/>
                      <w:sz w:val="21"/>
                      <w:szCs w:val="21"/>
                      <w:highlight w:val="none"/>
                      <w:shd w:val="clear" w:color="auto" w:fill="auto"/>
                      <w:lang w:val="en-US" w:eastAsia="zh-CN"/>
                    </w:rPr>
                    <w:t>900-2</w:t>
                  </w:r>
                  <w:r>
                    <w:rPr>
                      <w:rFonts w:hint="eastAsia"/>
                      <w:color w:val="auto"/>
                      <w:sz w:val="21"/>
                      <w:szCs w:val="21"/>
                      <w:highlight w:val="none"/>
                      <w:shd w:val="clear" w:color="auto" w:fill="auto"/>
                      <w:lang w:val="en-US" w:eastAsia="zh-CN"/>
                    </w:rPr>
                    <w:t>20</w:t>
                  </w:r>
                  <w:r>
                    <w:rPr>
                      <w:rFonts w:hint="default"/>
                      <w:color w:val="auto"/>
                      <w:sz w:val="21"/>
                      <w:szCs w:val="21"/>
                      <w:highlight w:val="none"/>
                      <w:shd w:val="clear" w:color="auto" w:fill="auto"/>
                      <w:lang w:val="en-US" w:eastAsia="zh-CN"/>
                    </w:rPr>
                    <w:t>-08</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92423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900-2</w:t>
                  </w:r>
                  <w:r>
                    <w:rPr>
                      <w:rFonts w:hint="eastAsia"/>
                      <w:color w:val="auto"/>
                      <w:kern w:val="0"/>
                      <w:sz w:val="21"/>
                      <w:szCs w:val="21"/>
                      <w:highlight w:val="none"/>
                      <w:shd w:val="clear" w:color="auto" w:fill="auto"/>
                      <w:lang w:bidi="ar"/>
                    </w:rPr>
                    <w:t>20</w:t>
                  </w:r>
                  <w:r>
                    <w:rPr>
                      <w:rFonts w:hint="default"/>
                      <w:color w:val="auto"/>
                      <w:kern w:val="0"/>
                      <w:sz w:val="21"/>
                      <w:szCs w:val="21"/>
                      <w:highlight w:val="none"/>
                      <w:shd w:val="clear" w:color="auto" w:fill="auto"/>
                      <w:lang w:bidi="ar"/>
                    </w:rPr>
                    <w:t>-08</w:t>
                  </w:r>
                </w:p>
              </w:tc>
            </w:tr>
            <w:tr w14:paraId="1C1A8119">
              <w:tblPrEx>
                <w:tblCellMar>
                  <w:top w:w="0" w:type="dxa"/>
                  <w:left w:w="0" w:type="dxa"/>
                  <w:bottom w:w="0" w:type="dxa"/>
                  <w:right w:w="0" w:type="dxa"/>
                </w:tblCellMar>
              </w:tblPrEx>
              <w:trPr>
                <w:trHeight w:val="9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5D00589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产生量合计</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532F489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eastAsia" w:cs="Times New Roman"/>
                      <w:color w:val="auto"/>
                      <w:sz w:val="21"/>
                      <w:szCs w:val="21"/>
                      <w:highlight w:val="none"/>
                      <w:shd w:val="clear" w:color="auto" w:fill="auto"/>
                      <w:lang w:val="en-US" w:eastAsia="zh-CN"/>
                    </w:rPr>
                    <w:t>39.84</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2549D06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1.99</w:t>
                  </w:r>
                  <w:r>
                    <w:rPr>
                      <w:rFonts w:hint="eastAsia" w:ascii="Times New Roman" w:hAnsi="Times New Roman" w:eastAsia="宋体" w:cs="Times New Roman"/>
                      <w:color w:val="auto"/>
                      <w:sz w:val="21"/>
                      <w:szCs w:val="21"/>
                      <w:highlight w:val="none"/>
                      <w:shd w:val="clear" w:color="auto" w:fill="auto"/>
                      <w:lang w:val="en-US" w:eastAsia="zh-CN"/>
                    </w:rPr>
                    <w:t>t/次</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0516B02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3.19</w:t>
                  </w:r>
                  <w:r>
                    <w:rPr>
                      <w:rFonts w:hint="eastAsia" w:ascii="Times New Roman" w:hAnsi="Times New Roman" w:eastAsia="宋体" w:cs="Times New Roman"/>
                      <w:color w:val="auto"/>
                      <w:sz w:val="21"/>
                      <w:szCs w:val="21"/>
                      <w:highlight w:val="none"/>
                      <w:shd w:val="clear" w:color="auto" w:fill="auto"/>
                      <w:lang w:val="en-US" w:eastAsia="zh-CN"/>
                    </w:rPr>
                    <w:t>t/次</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25</w:t>
                  </w:r>
                  <w:r>
                    <w:rPr>
                      <w:rFonts w:hint="default" w:ascii="Times New Roman" w:hAnsi="Times New Roman" w:eastAsia="宋体" w:cs="Times New Roman"/>
                      <w:color w:val="auto"/>
                      <w:sz w:val="21"/>
                      <w:szCs w:val="21"/>
                      <w:highlight w:val="none"/>
                      <w:shd w:val="clear" w:color="auto" w:fill="auto"/>
                    </w:rPr>
                    <w:t>年1次）</w:t>
                  </w:r>
                </w:p>
              </w:tc>
            </w:tr>
            <w:tr w14:paraId="1C708F1C">
              <w:tblPrEx>
                <w:tblCellMar>
                  <w:top w:w="0" w:type="dxa"/>
                  <w:left w:w="0" w:type="dxa"/>
                  <w:bottom w:w="0" w:type="dxa"/>
                  <w:right w:w="0" w:type="dxa"/>
                </w:tblCellMar>
              </w:tblPrEx>
              <w:trPr>
                <w:trHeight w:val="278"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7AD8E35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产生工序及装置</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8543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eastAsia="宋体"/>
                      <w:color w:val="auto"/>
                      <w:sz w:val="21"/>
                      <w:szCs w:val="21"/>
                      <w:highlight w:val="none"/>
                      <w:shd w:val="clear" w:color="auto" w:fill="auto"/>
                      <w:lang w:val="en-US" w:eastAsia="zh-CN"/>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72F0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检修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75A7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变压器</w:t>
                  </w:r>
                  <w:r>
                    <w:rPr>
                      <w:rFonts w:hint="eastAsia"/>
                      <w:color w:val="auto"/>
                      <w:kern w:val="0"/>
                      <w:sz w:val="21"/>
                      <w:szCs w:val="21"/>
                      <w:highlight w:val="none"/>
                      <w:shd w:val="clear" w:color="auto" w:fill="auto"/>
                      <w:lang w:val="en-US" w:eastAsia="zh-CN" w:bidi="ar"/>
                    </w:rPr>
                    <w:t>事故</w:t>
                  </w:r>
                </w:p>
              </w:tc>
            </w:tr>
            <w:tr w14:paraId="7F9CC10B">
              <w:tblPrEx>
                <w:tblCellMar>
                  <w:top w:w="0" w:type="dxa"/>
                  <w:left w:w="0" w:type="dxa"/>
                  <w:bottom w:w="0" w:type="dxa"/>
                  <w:right w:w="0" w:type="dxa"/>
                </w:tblCellMar>
              </w:tblPrEx>
              <w:trPr>
                <w:trHeight w:val="30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1570B90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形态</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14:paraId="1B107CE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液态</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790CC07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液态</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30CD8B0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液态</w:t>
                  </w:r>
                </w:p>
              </w:tc>
            </w:tr>
            <w:tr w14:paraId="26848E18">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E30FF1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有害成分</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4601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矿物油</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BFECA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59D3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矿物油</w:t>
                  </w:r>
                </w:p>
              </w:tc>
            </w:tr>
            <w:tr w14:paraId="3032407F">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4CF4582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产废周期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E62D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不定期</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DE5E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668F5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不定期</w:t>
                  </w:r>
                </w:p>
              </w:tc>
            </w:tr>
            <w:tr w14:paraId="4D7DBB76">
              <w:tblPrEx>
                <w:tblCellMar>
                  <w:top w:w="0" w:type="dxa"/>
                  <w:left w:w="0" w:type="dxa"/>
                  <w:bottom w:w="0" w:type="dxa"/>
                  <w:right w:w="0" w:type="dxa"/>
                </w:tblCellMar>
              </w:tblPrEx>
              <w:trPr>
                <w:trHeight w:val="270"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14:paraId="35943FE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危险特性</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12C70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eastAsia="zh-CN" w:bidi="ar"/>
                    </w:rPr>
                    <w:t>,</w:t>
                  </w:r>
                  <w:r>
                    <w:rPr>
                      <w:rFonts w:hint="default"/>
                      <w:color w:val="auto"/>
                      <w:kern w:val="0"/>
                      <w:sz w:val="21"/>
                      <w:szCs w:val="21"/>
                      <w:highlight w:val="none"/>
                      <w:shd w:val="clear" w:color="auto" w:fill="auto"/>
                      <w:lang w:bidi="ar"/>
                    </w:rPr>
                    <w:t>I</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F573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eastAsia="zh-CN" w:bidi="ar"/>
                    </w:rPr>
                    <w:t>,</w:t>
                  </w:r>
                  <w:r>
                    <w:rPr>
                      <w:rFonts w:hint="default"/>
                      <w:color w:val="auto"/>
                      <w:kern w:val="0"/>
                      <w:sz w:val="21"/>
                      <w:szCs w:val="21"/>
                      <w:highlight w:val="none"/>
                      <w:shd w:val="clear" w:color="auto" w:fill="auto"/>
                      <w:lang w:bidi="ar"/>
                    </w:rPr>
                    <w:t>I</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9CDBB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T</w:t>
                  </w:r>
                  <w:r>
                    <w:rPr>
                      <w:rFonts w:hint="eastAsia"/>
                      <w:color w:val="auto"/>
                      <w:kern w:val="0"/>
                      <w:sz w:val="21"/>
                      <w:szCs w:val="21"/>
                      <w:highlight w:val="none"/>
                      <w:shd w:val="clear" w:color="auto" w:fill="auto"/>
                      <w:lang w:eastAsia="zh-CN" w:bidi="ar"/>
                    </w:rPr>
                    <w:t>,</w:t>
                  </w:r>
                  <w:r>
                    <w:rPr>
                      <w:rFonts w:hint="default"/>
                      <w:color w:val="auto"/>
                      <w:kern w:val="0"/>
                      <w:sz w:val="21"/>
                      <w:szCs w:val="21"/>
                      <w:highlight w:val="none"/>
                      <w:shd w:val="clear" w:color="auto" w:fill="auto"/>
                      <w:lang w:bidi="ar"/>
                    </w:rPr>
                    <w:t>I</w:t>
                  </w:r>
                </w:p>
              </w:tc>
            </w:tr>
            <w:tr w14:paraId="42F650FD">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32CDBA6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bidi="ar"/>
                    </w:rPr>
                    <w:t>贮存场所名称</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B8BCC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bCs/>
                      <w:color w:val="auto"/>
                      <w:sz w:val="21"/>
                      <w:szCs w:val="21"/>
                      <w:highlight w:val="none"/>
                      <w:shd w:val="clear" w:color="auto" w:fill="auto"/>
                      <w:lang w:val="en-US" w:eastAsia="zh-CN"/>
                    </w:rPr>
                    <w:t>不储存</w:t>
                  </w:r>
                </w:p>
              </w:tc>
              <w:tc>
                <w:tcPr>
                  <w:tcW w:w="13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C654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ascii="Times New Roman" w:hAnsi="Times New Roman" w:eastAsia="宋体" w:cs="Times New Roman"/>
                      <w:color w:val="auto"/>
                      <w:kern w:val="0"/>
                      <w:sz w:val="21"/>
                      <w:szCs w:val="21"/>
                      <w:highlight w:val="none"/>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c>
                <w:tcPr>
                  <w:tcW w:w="13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A1F4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s="Times New Roman"/>
                      <w:b w:val="0"/>
                      <w:bCs w:val="0"/>
                      <w:color w:val="auto"/>
                      <w:sz w:val="21"/>
                      <w:szCs w:val="21"/>
                      <w:highlight w:val="none"/>
                      <w:lang w:val="en-US" w:eastAsia="zh-CN"/>
                    </w:rPr>
                    <w:t>竹园沟</w:t>
                  </w:r>
                  <w:r>
                    <w:rPr>
                      <w:rFonts w:hint="default" w:ascii="Times New Roman" w:hAnsi="Times New Roman" w:eastAsia="宋体" w:cs="Times New Roman"/>
                      <w:b w:val="0"/>
                      <w:bCs w:val="0"/>
                      <w:color w:val="auto"/>
                      <w:sz w:val="21"/>
                      <w:szCs w:val="21"/>
                      <w:highlight w:val="none"/>
                      <w:lang w:val="en-US" w:eastAsia="zh-CN"/>
                    </w:rPr>
                    <w:t>光伏发电项目</w:t>
                  </w:r>
                  <w:r>
                    <w:rPr>
                      <w:rFonts w:hint="eastAsia" w:ascii="Times New Roman" w:hAnsi="Times New Roman" w:eastAsia="宋体" w:cs="Times New Roman"/>
                      <w:color w:val="auto"/>
                      <w:kern w:val="0"/>
                      <w:sz w:val="21"/>
                      <w:szCs w:val="21"/>
                      <w:highlight w:val="none"/>
                      <w:lang w:val="en-US" w:eastAsia="zh-CN"/>
                    </w:rPr>
                    <w:t>升压站</w:t>
                  </w:r>
                  <w:r>
                    <w:rPr>
                      <w:rFonts w:hint="default"/>
                      <w:color w:val="auto"/>
                      <w:kern w:val="0"/>
                      <w:sz w:val="21"/>
                      <w:szCs w:val="21"/>
                      <w:highlight w:val="none"/>
                      <w:shd w:val="clear" w:color="auto" w:fill="auto"/>
                      <w:lang w:val="en-US" w:eastAsia="zh-CN" w:bidi="ar"/>
                    </w:rPr>
                    <w:t>危废</w:t>
                  </w:r>
                  <w:r>
                    <w:rPr>
                      <w:rFonts w:hint="eastAsia"/>
                      <w:color w:val="auto"/>
                      <w:kern w:val="0"/>
                      <w:sz w:val="21"/>
                      <w:szCs w:val="21"/>
                      <w:highlight w:val="none"/>
                      <w:shd w:val="clear" w:color="auto" w:fill="auto"/>
                      <w:lang w:val="en-US" w:eastAsia="zh-CN" w:bidi="ar"/>
                    </w:rPr>
                    <w:t>贮存库</w:t>
                  </w:r>
                </w:p>
              </w:tc>
            </w:tr>
            <w:tr w14:paraId="48BCEB83">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29B19DB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贮存能力</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966A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2565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D5A53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17.6t</w:t>
                  </w:r>
                </w:p>
              </w:tc>
            </w:tr>
            <w:tr w14:paraId="638B4142">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14:paraId="7FD9704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ascii="Times New Roman" w:hAnsi="Times New Roman" w:eastAsia="宋体" w:cs="Times New Roman"/>
                      <w:b/>
                      <w:bCs/>
                      <w:color w:val="auto"/>
                      <w:kern w:val="0"/>
                      <w:sz w:val="21"/>
                      <w:szCs w:val="21"/>
                      <w:highlight w:val="none"/>
                      <w:shd w:val="clear" w:color="auto" w:fill="auto"/>
                      <w:lang w:val="en-US" w:eastAsia="zh-CN" w:bidi="ar"/>
                    </w:rPr>
                  </w:pPr>
                  <w:r>
                    <w:rPr>
                      <w:rFonts w:hint="eastAsia"/>
                      <w:b/>
                      <w:bCs/>
                      <w:color w:val="auto"/>
                      <w:kern w:val="0"/>
                      <w:szCs w:val="21"/>
                      <w:highlight w:val="none"/>
                      <w:shd w:val="clear" w:color="auto" w:fill="auto"/>
                      <w:lang w:val="en-US" w:eastAsia="zh-CN" w:bidi="ar"/>
                    </w:rPr>
                    <w:t>贮存周期</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21A82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0E8F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690B6D">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color w:val="auto"/>
                      <w:kern w:val="0"/>
                      <w:szCs w:val="21"/>
                      <w:highlight w:val="none"/>
                      <w:shd w:val="clear" w:color="auto" w:fill="auto"/>
                      <w:lang w:val="en-US" w:eastAsia="zh-CN" w:bidi="ar"/>
                    </w:rPr>
                    <w:t>＜12月</w:t>
                  </w:r>
                </w:p>
              </w:tc>
            </w:tr>
            <w:tr w14:paraId="3F78A20D">
              <w:tblPrEx>
                <w:tblCellMar>
                  <w:top w:w="0" w:type="dxa"/>
                  <w:left w:w="0" w:type="dxa"/>
                  <w:bottom w:w="0" w:type="dxa"/>
                  <w:right w:w="0" w:type="dxa"/>
                </w:tblCellMar>
              </w:tblPrEx>
              <w:trPr>
                <w:trHeight w:val="352" w:hRule="atLeast"/>
              </w:trPr>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CB25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贮存方式</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C20C1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eastAsia"/>
                      <w:color w:val="auto"/>
                      <w:kern w:val="0"/>
                      <w:szCs w:val="21"/>
                      <w:highlight w:val="none"/>
                      <w:shd w:val="clear" w:color="auto" w:fill="auto"/>
                      <w:lang w:val="en-US" w:eastAsia="zh-CN" w:bidi="ar"/>
                    </w:rPr>
                    <w:t>—</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5AC55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E37253">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桶装</w:t>
                  </w:r>
                </w:p>
              </w:tc>
            </w:tr>
            <w:tr w14:paraId="35CC862C">
              <w:tblPrEx>
                <w:tblCellMar>
                  <w:top w:w="0" w:type="dxa"/>
                  <w:left w:w="0" w:type="dxa"/>
                  <w:bottom w:w="0" w:type="dxa"/>
                  <w:right w:w="0" w:type="dxa"/>
                </w:tblCellMar>
              </w:tblPrEx>
              <w:tc>
                <w:tcPr>
                  <w:tcW w:w="10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ECBD4">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top"/>
                    <w:rPr>
                      <w:rFonts w:hint="default"/>
                      <w:b/>
                      <w:bCs/>
                      <w:color w:val="auto"/>
                      <w:sz w:val="21"/>
                      <w:szCs w:val="21"/>
                      <w:highlight w:val="none"/>
                      <w:shd w:val="clear" w:color="auto" w:fill="auto"/>
                    </w:rPr>
                  </w:pPr>
                  <w:r>
                    <w:rPr>
                      <w:rFonts w:hint="default"/>
                      <w:b/>
                      <w:bCs/>
                      <w:color w:val="auto"/>
                      <w:kern w:val="0"/>
                      <w:sz w:val="21"/>
                      <w:szCs w:val="21"/>
                      <w:highlight w:val="none"/>
                      <w:shd w:val="clear" w:color="auto" w:fill="auto"/>
                      <w:lang w:bidi="ar"/>
                    </w:rPr>
                    <w:t>处置方式及去向</w:t>
                  </w:r>
                </w:p>
              </w:tc>
              <w:tc>
                <w:tcPr>
                  <w:tcW w:w="131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0766B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sz w:val="21"/>
                      <w:szCs w:val="21"/>
                      <w:highlight w:val="none"/>
                      <w:shd w:val="clear" w:color="auto" w:fill="auto"/>
                    </w:rPr>
                  </w:pPr>
                  <w:r>
                    <w:rPr>
                      <w:rFonts w:hint="default"/>
                      <w:color w:val="auto"/>
                      <w:kern w:val="0"/>
                      <w:sz w:val="21"/>
                      <w:szCs w:val="21"/>
                      <w:highlight w:val="none"/>
                      <w:shd w:val="clear" w:color="auto" w:fill="auto"/>
                      <w:lang w:bidi="ar"/>
                    </w:rPr>
                    <w:t>委托有资质单位处置</w:t>
                  </w:r>
                </w:p>
              </w:tc>
              <w:tc>
                <w:tcPr>
                  <w:tcW w:w="13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AADC8">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color w:val="auto"/>
                      <w:kern w:val="0"/>
                      <w:sz w:val="21"/>
                      <w:szCs w:val="21"/>
                      <w:highlight w:val="none"/>
                      <w:shd w:val="clear" w:color="auto" w:fill="auto"/>
                      <w:lang w:bidi="ar"/>
                    </w:rPr>
                  </w:pPr>
                  <w:r>
                    <w:rPr>
                      <w:rFonts w:hint="default"/>
                      <w:color w:val="auto"/>
                      <w:kern w:val="0"/>
                      <w:sz w:val="21"/>
                      <w:szCs w:val="21"/>
                      <w:highlight w:val="none"/>
                      <w:shd w:val="clear" w:color="auto" w:fill="auto"/>
                      <w:lang w:bidi="ar"/>
                    </w:rPr>
                    <w:t>委托有资质单位处置</w:t>
                  </w:r>
                </w:p>
              </w:tc>
              <w:tc>
                <w:tcPr>
                  <w:tcW w:w="132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6ADC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20" w:lineRule="exact"/>
                    <w:ind w:left="0" w:right="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kern w:val="0"/>
                      <w:sz w:val="21"/>
                      <w:szCs w:val="21"/>
                      <w:highlight w:val="none"/>
                      <w:shd w:val="clear" w:color="auto" w:fill="auto"/>
                      <w:lang w:bidi="ar"/>
                    </w:rPr>
                    <w:t>委托有资质单位处置</w:t>
                  </w:r>
                </w:p>
              </w:tc>
            </w:tr>
          </w:tbl>
          <w:p w14:paraId="0D45E8C6">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default"/>
                <w:b/>
                <w:color w:val="auto"/>
                <w:sz w:val="24"/>
                <w:highlight w:val="none"/>
                <w:shd w:val="clear" w:color="auto" w:fill="auto"/>
              </w:rPr>
              <w:t>（</w:t>
            </w:r>
            <w:r>
              <w:rPr>
                <w:rFonts w:hint="eastAsia"/>
                <w:b/>
                <w:color w:val="auto"/>
                <w:sz w:val="24"/>
                <w:highlight w:val="none"/>
                <w:shd w:val="clear" w:color="auto" w:fill="auto"/>
                <w:lang w:val="en-US" w:eastAsia="zh-CN"/>
              </w:rPr>
              <w:t>7</w:t>
            </w:r>
            <w:r>
              <w:rPr>
                <w:rFonts w:hint="default"/>
                <w:b/>
                <w:color w:val="auto"/>
                <w:sz w:val="24"/>
                <w:highlight w:val="none"/>
                <w:shd w:val="clear" w:color="auto" w:fill="auto"/>
              </w:rPr>
              <w:t>）环境风险</w:t>
            </w:r>
            <w:r>
              <w:rPr>
                <w:rFonts w:hint="eastAsia"/>
                <w:b/>
                <w:color w:val="auto"/>
                <w:sz w:val="24"/>
                <w:highlight w:val="none"/>
                <w:shd w:val="clear" w:color="auto" w:fill="auto"/>
              </w:rPr>
              <w:t>分析</w:t>
            </w:r>
          </w:p>
          <w:p w14:paraId="101059FA">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olor w:val="auto"/>
                <w:sz w:val="24"/>
                <w:highlight w:val="none"/>
                <w:shd w:val="clear" w:color="auto" w:fill="auto"/>
              </w:rPr>
            </w:pPr>
            <w:bookmarkStart w:id="25" w:name="_Toc7605"/>
            <w:bookmarkStart w:id="26" w:name="_Toc17737"/>
            <w:bookmarkStart w:id="27" w:name="_Toc32075"/>
            <w:bookmarkStart w:id="28" w:name="_Toc12534"/>
            <w:bookmarkStart w:id="29" w:name="_Toc9954"/>
            <w:bookmarkStart w:id="30" w:name="_Toc25275"/>
            <w:bookmarkStart w:id="31" w:name="_Toc22557"/>
            <w:bookmarkStart w:id="32" w:name="_Toc25291"/>
            <w:bookmarkStart w:id="33" w:name="_Toc672"/>
            <w:bookmarkStart w:id="34" w:name="_Toc476926933"/>
            <w:bookmarkStart w:id="35" w:name="_Toc466621401"/>
            <w:r>
              <w:rPr>
                <w:rFonts w:hint="eastAsia" w:cs="宋体"/>
                <w:color w:val="auto"/>
                <w:sz w:val="24"/>
                <w:highlight w:val="none"/>
                <w:shd w:val="clear" w:color="auto" w:fill="auto"/>
              </w:rPr>
              <w:t>环境风险评价的目的是分析和预测建设项目存在的潜在危险、有害因素，项目建设和运营期间可能发生的突发性事件或事故，引起有毒有害和易燃易爆等物质的泄漏，所造成的人身安全与环境影响和损害程度，提出合理可行的防范、应急与减缓措施，以使建设项目事故率、损失和环境影响达到可接受的水平。</w:t>
            </w:r>
            <w:r>
              <w:rPr>
                <w:rFonts w:hint="default"/>
                <w:color w:val="auto"/>
                <w:sz w:val="24"/>
                <w:highlight w:val="none"/>
                <w:shd w:val="clear" w:color="auto" w:fill="auto"/>
              </w:rPr>
              <w:t>本次评价根据《建设项目环境风险评价技术导则》（HJ 169-2018）要求进行评价。</w:t>
            </w:r>
            <w:bookmarkEnd w:id="25"/>
            <w:bookmarkEnd w:id="26"/>
            <w:bookmarkEnd w:id="27"/>
            <w:bookmarkEnd w:id="28"/>
            <w:bookmarkEnd w:id="29"/>
            <w:bookmarkEnd w:id="30"/>
            <w:bookmarkEnd w:id="31"/>
            <w:bookmarkEnd w:id="32"/>
            <w:bookmarkEnd w:id="33"/>
          </w:p>
          <w:bookmarkEnd w:id="34"/>
          <w:bookmarkEnd w:id="35"/>
          <w:p w14:paraId="3755DF12">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eastAsia"/>
                <w:b/>
                <w:bCs/>
                <w:color w:val="auto"/>
                <w:szCs w:val="21"/>
                <w:highlight w:val="none"/>
                <w:shd w:val="clear" w:color="auto" w:fill="auto"/>
              </w:rPr>
            </w:pPr>
            <w:bookmarkStart w:id="36" w:name="_Toc28480"/>
            <w:bookmarkStart w:id="37" w:name="_Toc32632"/>
            <w:bookmarkStart w:id="38" w:name="_Toc7379"/>
            <w:bookmarkStart w:id="39" w:name="_Toc27693"/>
            <w:bookmarkStart w:id="40" w:name="_Toc32470"/>
            <w:bookmarkStart w:id="41" w:name="_Toc11767"/>
            <w:bookmarkStart w:id="42" w:name="_Toc4000"/>
            <w:bookmarkStart w:id="43" w:name="_Toc29124"/>
            <w:bookmarkStart w:id="44" w:name="_Toc20384"/>
            <w:r>
              <w:rPr>
                <w:rFonts w:hint="eastAsia" w:cs="宋体"/>
                <w:b/>
                <w:bCs/>
                <w:color w:val="auto"/>
                <w:sz w:val="24"/>
                <w:highlight w:val="none"/>
                <w:shd w:val="clear" w:color="auto" w:fill="auto"/>
              </w:rPr>
              <w:t>1）风险调查</w:t>
            </w:r>
            <w:bookmarkEnd w:id="36"/>
            <w:bookmarkEnd w:id="37"/>
            <w:bookmarkEnd w:id="38"/>
            <w:bookmarkEnd w:id="39"/>
            <w:bookmarkEnd w:id="40"/>
            <w:bookmarkEnd w:id="41"/>
            <w:bookmarkEnd w:id="42"/>
            <w:bookmarkEnd w:id="43"/>
            <w:bookmarkEnd w:id="44"/>
          </w:p>
          <w:p w14:paraId="39470330">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w:t>
            </w:r>
            <w:r>
              <w:rPr>
                <w:rFonts w:hint="default"/>
                <w:b/>
                <w:bCs/>
                <w:color w:val="auto"/>
                <w:szCs w:val="21"/>
                <w:highlight w:val="none"/>
                <w:shd w:val="clear" w:color="auto" w:fill="auto"/>
              </w:rPr>
              <w:t>4-</w:t>
            </w:r>
            <w:r>
              <w:rPr>
                <w:rFonts w:hint="eastAsia"/>
                <w:b/>
                <w:bCs/>
                <w:color w:val="auto"/>
                <w:szCs w:val="21"/>
                <w:highlight w:val="none"/>
                <w:shd w:val="clear" w:color="auto" w:fill="auto"/>
              </w:rPr>
              <w:t>1</w:t>
            </w:r>
            <w:r>
              <w:rPr>
                <w:rFonts w:hint="eastAsia"/>
                <w:b/>
                <w:bCs/>
                <w:color w:val="auto"/>
                <w:szCs w:val="21"/>
                <w:highlight w:val="none"/>
                <w:shd w:val="clear" w:color="auto" w:fill="auto"/>
                <w:lang w:val="en-US" w:eastAsia="zh-CN"/>
              </w:rPr>
              <w:t>2</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项目涉及的危险物质情况一览表</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6"/>
              <w:gridCol w:w="912"/>
              <w:gridCol w:w="3567"/>
              <w:gridCol w:w="1806"/>
            </w:tblGrid>
            <w:tr w14:paraId="678C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6A8303DF">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危险物质</w:t>
                  </w:r>
                </w:p>
              </w:tc>
              <w:tc>
                <w:tcPr>
                  <w:tcW w:w="575" w:type="pct"/>
                  <w:tcBorders>
                    <w:top w:val="single" w:color="000000" w:sz="4" w:space="0"/>
                    <w:left w:val="single" w:color="000000" w:sz="4" w:space="0"/>
                    <w:bottom w:val="single" w:color="000000" w:sz="4" w:space="0"/>
                    <w:right w:val="single" w:color="000000" w:sz="4" w:space="0"/>
                  </w:tcBorders>
                  <w:vAlign w:val="center"/>
                </w:tcPr>
                <w:p w14:paraId="35B7F3B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eastAsia"/>
                      <w:b/>
                      <w:color w:val="auto"/>
                      <w:sz w:val="21"/>
                      <w:szCs w:val="21"/>
                      <w:highlight w:val="none"/>
                      <w:shd w:val="clear" w:color="auto" w:fill="auto"/>
                    </w:rPr>
                    <w:t>形态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0700B95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最大储存量</w:t>
                  </w:r>
                </w:p>
              </w:tc>
              <w:tc>
                <w:tcPr>
                  <w:tcW w:w="1138" w:type="pct"/>
                  <w:tcBorders>
                    <w:top w:val="single" w:color="000000" w:sz="4" w:space="0"/>
                    <w:left w:val="single" w:color="000000" w:sz="4" w:space="0"/>
                    <w:bottom w:val="single" w:color="000000" w:sz="4" w:space="0"/>
                    <w:right w:val="single" w:color="000000" w:sz="4" w:space="0"/>
                  </w:tcBorders>
                  <w:vAlign w:val="center"/>
                </w:tcPr>
                <w:p w14:paraId="7630234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
                      <w:color w:val="auto"/>
                      <w:sz w:val="21"/>
                      <w:szCs w:val="21"/>
                      <w:highlight w:val="none"/>
                      <w:shd w:val="clear" w:color="auto" w:fill="auto"/>
                    </w:rPr>
                  </w:pPr>
                  <w:r>
                    <w:rPr>
                      <w:rFonts w:hint="default"/>
                      <w:b/>
                      <w:color w:val="auto"/>
                      <w:sz w:val="21"/>
                      <w:szCs w:val="21"/>
                      <w:highlight w:val="none"/>
                      <w:shd w:val="clear" w:color="auto" w:fill="auto"/>
                    </w:rPr>
                    <w:t>备注</w:t>
                  </w:r>
                </w:p>
              </w:tc>
            </w:tr>
            <w:tr w14:paraId="0DF9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44A7206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变压器油</w:t>
                  </w:r>
                </w:p>
              </w:tc>
              <w:tc>
                <w:tcPr>
                  <w:tcW w:w="575" w:type="pct"/>
                  <w:tcBorders>
                    <w:top w:val="single" w:color="000000" w:sz="4" w:space="0"/>
                    <w:left w:val="single" w:color="000000" w:sz="4" w:space="0"/>
                    <w:bottom w:val="single" w:color="000000" w:sz="4" w:space="0"/>
                    <w:right w:val="single" w:color="000000" w:sz="4" w:space="0"/>
                  </w:tcBorders>
                  <w:vAlign w:val="center"/>
                </w:tcPr>
                <w:p w14:paraId="41C4B97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2D25B96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eastAsia="宋体"/>
                      <w:bCs/>
                      <w:color w:val="auto"/>
                      <w:sz w:val="21"/>
                      <w:szCs w:val="21"/>
                      <w:highlight w:val="none"/>
                      <w:shd w:val="clear" w:color="auto" w:fill="auto"/>
                      <w:lang w:eastAsia="zh-CN"/>
                    </w:rPr>
                  </w:pPr>
                  <w:r>
                    <w:rPr>
                      <w:rFonts w:hint="eastAsia"/>
                      <w:bCs/>
                      <w:color w:val="auto"/>
                      <w:sz w:val="21"/>
                      <w:szCs w:val="21"/>
                      <w:highlight w:val="none"/>
                      <w:shd w:val="clear" w:color="auto" w:fill="auto"/>
                      <w:lang w:val="en-US" w:eastAsia="zh-CN"/>
                    </w:rPr>
                    <w:t>39.84</w:t>
                  </w:r>
                  <w:r>
                    <w:rPr>
                      <w:rFonts w:hint="eastAsia"/>
                      <w:bCs/>
                      <w:color w:val="auto"/>
                      <w:sz w:val="21"/>
                      <w:szCs w:val="21"/>
                      <w:highlight w:val="none"/>
                      <w:shd w:val="clear" w:color="auto" w:fill="auto"/>
                    </w:rPr>
                    <w:t>t</w:t>
                  </w:r>
                  <w:r>
                    <w:rPr>
                      <w:rFonts w:hint="eastAsia"/>
                      <w:bCs/>
                      <w:color w:val="auto"/>
                      <w:sz w:val="21"/>
                      <w:szCs w:val="21"/>
                      <w:highlight w:val="none"/>
                      <w:shd w:val="clear" w:color="auto" w:fill="auto"/>
                      <w:lang w:eastAsia="zh-CN"/>
                    </w:rPr>
                    <w:t>（</w:t>
                  </w:r>
                  <w:r>
                    <w:rPr>
                      <w:rFonts w:hint="eastAsia"/>
                      <w:bCs/>
                      <w:color w:val="auto"/>
                      <w:sz w:val="21"/>
                      <w:szCs w:val="21"/>
                      <w:highlight w:val="none"/>
                      <w:shd w:val="clear" w:color="auto" w:fill="auto"/>
                      <w:lang w:val="en-US" w:eastAsia="zh-CN"/>
                    </w:rPr>
                    <w:t>其</w:t>
                  </w:r>
                  <w:r>
                    <w:rPr>
                      <w:rFonts w:hint="eastAsia" w:ascii="Times New Roman" w:hAnsi="Times New Roman" w:eastAsia="宋体" w:cs="Times New Roman"/>
                      <w:color w:val="auto"/>
                      <w:sz w:val="21"/>
                      <w:szCs w:val="21"/>
                      <w:highlight w:val="none"/>
                      <w:shd w:val="clear" w:color="auto" w:fill="auto"/>
                      <w:lang w:val="en-US" w:eastAsia="zh-CN"/>
                    </w:rPr>
                    <w:t>中2300</w:t>
                  </w:r>
                  <w:r>
                    <w:rPr>
                      <w:rFonts w:hint="default" w:ascii="Times New Roman" w:hAnsi="Times New Roman" w:eastAsia="宋体" w:cs="Times New Roman"/>
                      <w:color w:val="auto"/>
                      <w:sz w:val="21"/>
                      <w:szCs w:val="21"/>
                      <w:highlight w:val="none"/>
                      <w:shd w:val="clear" w:color="auto" w:fill="auto"/>
                    </w:rPr>
                    <w:t>kVA</w:t>
                  </w:r>
                  <w:r>
                    <w:rPr>
                      <w:rFonts w:hint="eastAsia" w:ascii="Times New Roman" w:hAnsi="Times New Roman" w:eastAsia="宋体" w:cs="Times New Roman"/>
                      <w:color w:val="auto"/>
                      <w:sz w:val="21"/>
                      <w:szCs w:val="21"/>
                      <w:highlight w:val="none"/>
                      <w:shd w:val="clear" w:color="auto" w:fill="auto"/>
                    </w:rPr>
                    <w:t>箱变每台油重约</w:t>
                  </w:r>
                  <w:r>
                    <w:rPr>
                      <w:rFonts w:hint="eastAsia" w:cs="Times New Roman"/>
                      <w:color w:val="auto"/>
                      <w:sz w:val="21"/>
                      <w:szCs w:val="21"/>
                      <w:highlight w:val="none"/>
                      <w:shd w:val="clear" w:color="auto" w:fill="auto"/>
                      <w:lang w:val="en-US" w:eastAsia="zh-CN"/>
                    </w:rPr>
                    <w:t>2.1</w:t>
                  </w:r>
                  <w:r>
                    <w:rPr>
                      <w:rFonts w:hint="eastAsia" w:ascii="Times New Roman" w:hAnsi="Times New Roman" w:eastAsia="宋体" w:cs="Times New Roman"/>
                      <w:color w:val="auto"/>
                      <w:sz w:val="21"/>
                      <w:szCs w:val="21"/>
                      <w:highlight w:val="none"/>
                      <w:shd w:val="clear" w:color="auto" w:fill="auto"/>
                    </w:rPr>
                    <w:t>t，</w:t>
                  </w:r>
                  <w:r>
                    <w:rPr>
                      <w:rFonts w:hint="eastAsia" w:cs="Times New Roman"/>
                      <w:color w:val="auto"/>
                      <w:sz w:val="21"/>
                      <w:szCs w:val="21"/>
                      <w:highlight w:val="none"/>
                      <w:shd w:val="clear" w:color="auto" w:fill="auto"/>
                      <w:lang w:val="en-US" w:eastAsia="zh-CN"/>
                    </w:rPr>
                    <w:t>3200</w:t>
                  </w:r>
                  <w:r>
                    <w:rPr>
                      <w:rFonts w:hint="default" w:ascii="Times New Roman" w:hAnsi="Times New Roman" w:eastAsia="宋体" w:cs="Times New Roman"/>
                      <w:color w:val="auto"/>
                      <w:sz w:val="21"/>
                      <w:szCs w:val="21"/>
                      <w:highlight w:val="none"/>
                      <w:shd w:val="clear" w:color="auto" w:fill="auto"/>
                    </w:rPr>
                    <w:t>kVA</w:t>
                  </w:r>
                  <w:r>
                    <w:rPr>
                      <w:rFonts w:hint="eastAsia" w:ascii="Times New Roman" w:hAnsi="Times New Roman" w:eastAsia="宋体" w:cs="Times New Roman"/>
                      <w:color w:val="auto"/>
                      <w:sz w:val="21"/>
                      <w:szCs w:val="21"/>
                      <w:highlight w:val="none"/>
                      <w:shd w:val="clear" w:color="auto" w:fill="auto"/>
                    </w:rPr>
                    <w:t>箱变每台油重约</w:t>
                  </w:r>
                  <w:r>
                    <w:rPr>
                      <w:rFonts w:hint="eastAsia" w:cs="Times New Roman"/>
                      <w:color w:val="auto"/>
                      <w:sz w:val="21"/>
                      <w:szCs w:val="21"/>
                      <w:highlight w:val="none"/>
                      <w:shd w:val="clear" w:color="auto" w:fill="auto"/>
                      <w:lang w:val="en-US" w:eastAsia="zh-CN"/>
                    </w:rPr>
                    <w:t>2.52</w:t>
                  </w:r>
                  <w:r>
                    <w:rPr>
                      <w:rFonts w:hint="eastAsia" w:ascii="Times New Roman" w:hAnsi="Times New Roman" w:eastAsia="宋体" w:cs="Times New Roman"/>
                      <w:color w:val="auto"/>
                      <w:sz w:val="21"/>
                      <w:szCs w:val="21"/>
                      <w:highlight w:val="none"/>
                      <w:shd w:val="clear" w:color="auto" w:fill="auto"/>
                    </w:rPr>
                    <w:t>t，</w:t>
                  </w:r>
                  <w:r>
                    <w:rPr>
                      <w:rFonts w:hint="eastAsia" w:ascii="Times New Roman" w:hAnsi="Times New Roman" w:eastAsia="宋体" w:cs="Times New Roman"/>
                      <w:color w:val="auto"/>
                      <w:sz w:val="21"/>
                      <w:szCs w:val="21"/>
                      <w:highlight w:val="none"/>
                      <w:shd w:val="clear" w:color="auto" w:fill="auto"/>
                      <w:lang w:val="en-US" w:eastAsia="zh-CN"/>
                    </w:rPr>
                    <w:t>3600</w:t>
                  </w:r>
                  <w:r>
                    <w:rPr>
                      <w:rFonts w:hint="default" w:ascii="Times New Roman" w:hAnsi="Times New Roman" w:eastAsia="宋体" w:cs="Times New Roman"/>
                      <w:color w:val="auto"/>
                      <w:sz w:val="21"/>
                      <w:szCs w:val="21"/>
                      <w:highlight w:val="none"/>
                      <w:shd w:val="clear" w:color="auto" w:fill="auto"/>
                    </w:rPr>
                    <w:t>kVA</w:t>
                  </w:r>
                  <w:r>
                    <w:rPr>
                      <w:rFonts w:hint="eastAsia" w:ascii="Times New Roman" w:hAnsi="Times New Roman" w:eastAsia="宋体" w:cs="Times New Roman"/>
                      <w:color w:val="auto"/>
                      <w:sz w:val="21"/>
                      <w:szCs w:val="21"/>
                      <w:highlight w:val="none"/>
                      <w:shd w:val="clear" w:color="auto" w:fill="auto"/>
                    </w:rPr>
                    <w:t>箱变每台油重约</w:t>
                  </w:r>
                  <w:r>
                    <w:rPr>
                      <w:rFonts w:hint="eastAsia" w:cs="Times New Roman"/>
                      <w:color w:val="auto"/>
                      <w:sz w:val="21"/>
                      <w:szCs w:val="21"/>
                      <w:highlight w:val="none"/>
                      <w:shd w:val="clear" w:color="auto" w:fill="auto"/>
                      <w:lang w:val="en-US" w:eastAsia="zh-CN"/>
                    </w:rPr>
                    <w:t>2.65</w:t>
                  </w:r>
                  <w:r>
                    <w:rPr>
                      <w:rFonts w:hint="eastAsia" w:ascii="Times New Roman" w:hAnsi="Times New Roman" w:eastAsia="宋体" w:cs="Times New Roman"/>
                      <w:color w:val="auto"/>
                      <w:sz w:val="21"/>
                      <w:szCs w:val="21"/>
                      <w:highlight w:val="none"/>
                      <w:shd w:val="clear" w:color="auto" w:fill="auto"/>
                    </w:rPr>
                    <w:t>t</w:t>
                  </w:r>
                  <w:r>
                    <w:rPr>
                      <w:rFonts w:hint="eastAsia" w:ascii="Times New Roman" w:hAnsi="Times New Roman" w:eastAsia="宋体" w:cs="Times New Roman"/>
                      <w:color w:val="auto"/>
                      <w:sz w:val="21"/>
                      <w:szCs w:val="21"/>
                      <w:highlight w:val="none"/>
                      <w:shd w:val="clear" w:color="auto" w:fill="auto"/>
                      <w:lang w:eastAsia="zh-CN"/>
                    </w:rPr>
                    <w:t>）</w:t>
                  </w:r>
                </w:p>
              </w:tc>
              <w:tc>
                <w:tcPr>
                  <w:tcW w:w="1138" w:type="pct"/>
                  <w:tcBorders>
                    <w:top w:val="single" w:color="000000" w:sz="4" w:space="0"/>
                    <w:left w:val="single" w:color="000000" w:sz="4" w:space="0"/>
                    <w:bottom w:val="single" w:color="000000" w:sz="4" w:space="0"/>
                    <w:right w:val="single" w:color="000000" w:sz="4" w:space="0"/>
                  </w:tcBorders>
                  <w:vAlign w:val="center"/>
                </w:tcPr>
                <w:p w14:paraId="58CE873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default"/>
                      <w:bCs/>
                      <w:color w:val="auto"/>
                      <w:sz w:val="21"/>
                      <w:szCs w:val="21"/>
                      <w:highlight w:val="none"/>
                      <w:shd w:val="clear" w:color="auto" w:fill="auto"/>
                    </w:rPr>
                  </w:pPr>
                  <w:r>
                    <w:rPr>
                      <w:rFonts w:hint="eastAsia"/>
                      <w:bCs/>
                      <w:color w:val="auto"/>
                      <w:sz w:val="21"/>
                      <w:szCs w:val="21"/>
                      <w:highlight w:val="none"/>
                      <w:shd w:val="clear" w:color="auto" w:fill="auto"/>
                    </w:rPr>
                    <w:t>贮存在变压器内</w:t>
                  </w:r>
                </w:p>
              </w:tc>
            </w:tr>
            <w:tr w14:paraId="4F83B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3ACD976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bookmarkStart w:id="45" w:name="_Toc27488"/>
                  <w:bookmarkStart w:id="46" w:name="_Toc6842"/>
                  <w:bookmarkStart w:id="47" w:name="_Toc11567"/>
                  <w:bookmarkStart w:id="48" w:name="_Toc7534"/>
                  <w:r>
                    <w:rPr>
                      <w:rFonts w:hint="eastAsia"/>
                      <w:bCs/>
                      <w:color w:val="auto"/>
                      <w:szCs w:val="21"/>
                      <w:highlight w:val="none"/>
                      <w:shd w:val="clear" w:color="auto" w:fill="auto"/>
                      <w:lang w:val="en-US" w:eastAsia="zh-CN"/>
                    </w:rPr>
                    <w:t>废变压器油（单次维修废油）</w:t>
                  </w:r>
                </w:p>
              </w:tc>
              <w:tc>
                <w:tcPr>
                  <w:tcW w:w="575" w:type="pct"/>
                  <w:tcBorders>
                    <w:top w:val="single" w:color="000000" w:sz="4" w:space="0"/>
                    <w:left w:val="single" w:color="000000" w:sz="4" w:space="0"/>
                    <w:bottom w:val="single" w:color="000000" w:sz="4" w:space="0"/>
                    <w:right w:val="single" w:color="000000" w:sz="4" w:space="0"/>
                  </w:tcBorders>
                  <w:vAlign w:val="center"/>
                </w:tcPr>
                <w:p w14:paraId="06E4C6C3">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bCs/>
                      <w:color w:val="auto"/>
                      <w:sz w:val="21"/>
                      <w:szCs w:val="21"/>
                      <w:highlight w:val="none"/>
                      <w:shd w:val="clear" w:color="auto" w:fill="auto"/>
                    </w:rPr>
                    <w:t>液态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7C3C311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1.99</w:t>
                  </w:r>
                  <w:r>
                    <w:rPr>
                      <w:rFonts w:hint="eastAsia" w:ascii="Times New Roman" w:hAnsi="Times New Roman" w:cs="Times New Roman"/>
                      <w:color w:val="auto"/>
                      <w:sz w:val="21"/>
                      <w:szCs w:val="21"/>
                      <w:highlight w:val="none"/>
                      <w:shd w:val="clear" w:color="auto" w:fill="auto"/>
                      <w:lang w:val="en-US" w:eastAsia="zh-CN"/>
                    </w:rPr>
                    <w:t>t（桶装）</w:t>
                  </w:r>
                </w:p>
              </w:tc>
              <w:tc>
                <w:tcPr>
                  <w:tcW w:w="1138" w:type="pct"/>
                  <w:tcBorders>
                    <w:top w:val="single" w:color="000000" w:sz="4" w:space="0"/>
                    <w:left w:val="single" w:color="000000" w:sz="4" w:space="0"/>
                    <w:bottom w:val="single" w:color="000000" w:sz="4" w:space="0"/>
                    <w:right w:val="single" w:color="000000" w:sz="4" w:space="0"/>
                  </w:tcBorders>
                  <w:vAlign w:val="center"/>
                </w:tcPr>
                <w:p w14:paraId="6B92FE9C">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ascii="宋体" w:hAnsi="宋体" w:cs="宋体"/>
                      <w:color w:val="auto"/>
                      <w:kern w:val="0"/>
                      <w:sz w:val="21"/>
                      <w:szCs w:val="21"/>
                      <w:highlight w:val="none"/>
                      <w:lang w:val="en-US" w:eastAsia="zh-CN" w:bidi="ar"/>
                    </w:rPr>
                    <w:t>竹园沟光伏发电项目危废贮存库</w:t>
                  </w:r>
                  <w:r>
                    <w:rPr>
                      <w:rFonts w:hint="eastAsia" w:ascii="宋体" w:hAnsi="宋体" w:eastAsia="宋体" w:cs="宋体"/>
                      <w:color w:val="auto"/>
                      <w:kern w:val="0"/>
                      <w:sz w:val="21"/>
                      <w:szCs w:val="21"/>
                      <w:highlight w:val="none"/>
                      <w:lang w:val="en-US" w:eastAsia="zh-CN" w:bidi="ar"/>
                    </w:rPr>
                    <w:t>暂存</w:t>
                  </w:r>
                </w:p>
              </w:tc>
            </w:tr>
            <w:tr w14:paraId="0F8E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op w:val="single" w:color="000000" w:sz="4" w:space="0"/>
                    <w:left w:val="single" w:color="000000" w:sz="4" w:space="0"/>
                    <w:bottom w:val="single" w:color="000000" w:sz="4" w:space="0"/>
                    <w:right w:val="single" w:color="000000" w:sz="4" w:space="0"/>
                  </w:tcBorders>
                  <w:vAlign w:val="center"/>
                </w:tcPr>
                <w:p w14:paraId="3300DD3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事故废油</w:t>
                  </w:r>
                </w:p>
              </w:tc>
              <w:tc>
                <w:tcPr>
                  <w:tcW w:w="575" w:type="pct"/>
                  <w:tcBorders>
                    <w:top w:val="single" w:color="000000" w:sz="4" w:space="0"/>
                    <w:left w:val="single" w:color="000000" w:sz="4" w:space="0"/>
                    <w:bottom w:val="single" w:color="000000" w:sz="4" w:space="0"/>
                    <w:right w:val="single" w:color="000000" w:sz="4" w:space="0"/>
                  </w:tcBorders>
                  <w:vAlign w:val="center"/>
                </w:tcPr>
                <w:p w14:paraId="38E096F7">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bCs/>
                      <w:color w:val="auto"/>
                      <w:sz w:val="21"/>
                      <w:szCs w:val="21"/>
                      <w:highlight w:val="none"/>
                      <w:shd w:val="clear" w:color="auto" w:fill="auto"/>
                    </w:rPr>
                  </w:pPr>
                  <w:r>
                    <w:rPr>
                      <w:rFonts w:hint="eastAsia"/>
                      <w:bCs/>
                      <w:color w:val="auto"/>
                      <w:sz w:val="21"/>
                      <w:szCs w:val="21"/>
                      <w:highlight w:val="none"/>
                      <w:shd w:val="clear" w:color="auto" w:fill="auto"/>
                    </w:rPr>
                    <w:t>液态</w:t>
                  </w:r>
                </w:p>
              </w:tc>
              <w:tc>
                <w:tcPr>
                  <w:tcW w:w="2248" w:type="pct"/>
                  <w:tcBorders>
                    <w:top w:val="single" w:color="000000" w:sz="4" w:space="0"/>
                    <w:left w:val="single" w:color="000000" w:sz="4" w:space="0"/>
                    <w:bottom w:val="single" w:color="000000" w:sz="4" w:space="0"/>
                    <w:right w:val="single" w:color="000000" w:sz="4" w:space="0"/>
                  </w:tcBorders>
                  <w:vAlign w:val="center"/>
                </w:tcPr>
                <w:p w14:paraId="29CFD97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3.19</w:t>
                  </w:r>
                  <w:r>
                    <w:rPr>
                      <w:rFonts w:hint="eastAsia"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cs="Times New Roman"/>
                      <w:color w:val="auto"/>
                      <w:sz w:val="21"/>
                      <w:szCs w:val="21"/>
                      <w:highlight w:val="none"/>
                      <w:shd w:val="clear" w:color="auto" w:fill="auto"/>
                      <w:lang w:val="en-US" w:eastAsia="zh-CN"/>
                    </w:rPr>
                    <w:t>（桶装）</w:t>
                  </w:r>
                </w:p>
              </w:tc>
              <w:tc>
                <w:tcPr>
                  <w:tcW w:w="1138" w:type="pct"/>
                  <w:tcBorders>
                    <w:top w:val="single" w:color="000000" w:sz="4" w:space="0"/>
                    <w:left w:val="single" w:color="000000" w:sz="4" w:space="0"/>
                    <w:bottom w:val="single" w:color="000000" w:sz="4" w:space="0"/>
                    <w:right w:val="single" w:color="000000" w:sz="4" w:space="0"/>
                  </w:tcBorders>
                  <w:vAlign w:val="center"/>
                </w:tcPr>
                <w:p w14:paraId="3058A20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宋体" w:hAnsi="宋体" w:eastAsia="宋体" w:cs="宋体"/>
                      <w:color w:val="auto"/>
                      <w:kern w:val="0"/>
                      <w:sz w:val="20"/>
                      <w:szCs w:val="20"/>
                      <w:highlight w:val="none"/>
                      <w:lang w:val="en-US" w:eastAsia="zh-CN" w:bidi="ar"/>
                    </w:rPr>
                  </w:pPr>
                  <w:r>
                    <w:rPr>
                      <w:rFonts w:hint="eastAsia" w:ascii="宋体" w:hAnsi="宋体" w:cs="宋体"/>
                      <w:color w:val="auto"/>
                      <w:kern w:val="0"/>
                      <w:sz w:val="21"/>
                      <w:szCs w:val="21"/>
                      <w:highlight w:val="none"/>
                      <w:lang w:val="en-US" w:eastAsia="zh-CN" w:bidi="ar"/>
                    </w:rPr>
                    <w:t>竹园沟光伏发电项目危废贮存库</w:t>
                  </w:r>
                  <w:r>
                    <w:rPr>
                      <w:rFonts w:hint="eastAsia" w:ascii="宋体" w:hAnsi="宋体" w:eastAsia="宋体" w:cs="宋体"/>
                      <w:color w:val="auto"/>
                      <w:kern w:val="0"/>
                      <w:sz w:val="21"/>
                      <w:szCs w:val="21"/>
                      <w:highlight w:val="none"/>
                      <w:lang w:val="en-US" w:eastAsia="zh-CN" w:bidi="ar"/>
                    </w:rPr>
                    <w:t>暂存</w:t>
                  </w:r>
                </w:p>
              </w:tc>
            </w:tr>
          </w:tbl>
          <w:p w14:paraId="0C25AFDE">
            <w:pPr>
              <w:keepNext w:val="0"/>
              <w:keepLines w:val="0"/>
              <w:suppressLineNumbers w:val="0"/>
              <w:shd w:val="clear"/>
              <w:adjustRightInd w:val="0"/>
              <w:snapToGrid w:val="0"/>
              <w:spacing w:before="0" w:beforeAutospacing="0" w:after="0" w:afterAutospacing="0" w:line="360" w:lineRule="auto"/>
              <w:ind w:left="0" w:right="0" w:firstLine="480" w:firstLineChars="200"/>
              <w:outlineLvl w:val="0"/>
              <w:rPr>
                <w:rFonts w:hint="default" w:cs="宋体"/>
                <w:color w:val="auto"/>
                <w:sz w:val="24"/>
                <w:highlight w:val="none"/>
                <w:shd w:val="clear" w:color="auto" w:fill="auto"/>
              </w:rPr>
            </w:pPr>
            <w:bookmarkStart w:id="49" w:name="_Toc14946"/>
            <w:bookmarkStart w:id="50" w:name="_Toc15416"/>
            <w:bookmarkStart w:id="51" w:name="_Toc25056"/>
            <w:bookmarkStart w:id="52" w:name="_Toc12381"/>
            <w:bookmarkStart w:id="53" w:name="_Toc4341"/>
            <w:r>
              <w:rPr>
                <w:rFonts w:hint="eastAsia" w:cs="宋体"/>
                <w:color w:val="auto"/>
                <w:sz w:val="24"/>
                <w:highlight w:val="none"/>
                <w:shd w:val="clear" w:color="auto" w:fill="auto"/>
              </w:rPr>
              <w:t>本项目所涉及的环境风险物质的危险特性及理化性质如下：</w:t>
            </w:r>
            <w:bookmarkEnd w:id="45"/>
            <w:bookmarkEnd w:id="46"/>
            <w:bookmarkEnd w:id="47"/>
            <w:bookmarkEnd w:id="48"/>
            <w:bookmarkEnd w:id="49"/>
            <w:bookmarkEnd w:id="50"/>
            <w:bookmarkEnd w:id="51"/>
            <w:bookmarkEnd w:id="52"/>
            <w:bookmarkEnd w:id="53"/>
          </w:p>
          <w:p w14:paraId="37AAD7E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3</w:t>
            </w:r>
            <w:r>
              <w:rPr>
                <w:rFonts w:hint="eastAsia"/>
                <w:b/>
                <w:bCs/>
                <w:color w:val="auto"/>
                <w:szCs w:val="21"/>
                <w:highlight w:val="none"/>
                <w:shd w:val="clear" w:color="auto" w:fill="auto"/>
              </w:rPr>
              <w:t xml:space="preserve">  变压器油理化性质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6950"/>
            </w:tblGrid>
            <w:tr w14:paraId="490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619" w:type="pct"/>
                  <w:vAlign w:val="center"/>
                </w:tcPr>
                <w:p w14:paraId="0E6F6FA6">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名称</w:t>
                  </w:r>
                </w:p>
              </w:tc>
              <w:tc>
                <w:tcPr>
                  <w:tcW w:w="4380" w:type="pct"/>
                  <w:vAlign w:val="center"/>
                </w:tcPr>
                <w:p w14:paraId="462F663A">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理化性质</w:t>
                  </w:r>
                </w:p>
              </w:tc>
            </w:tr>
            <w:tr w14:paraId="28A2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19" w:type="pct"/>
                  <w:vAlign w:val="center"/>
                </w:tcPr>
                <w:p w14:paraId="29EB28E1">
                  <w:pPr>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Cs/>
                      <w:color w:val="auto"/>
                      <w:szCs w:val="21"/>
                      <w:highlight w:val="none"/>
                      <w:shd w:val="clear" w:color="auto" w:fill="auto"/>
                    </w:rPr>
                  </w:pPr>
                  <w:r>
                    <w:rPr>
                      <w:rFonts w:hint="default" w:hAnsi="宋体"/>
                      <w:color w:val="auto"/>
                      <w:szCs w:val="21"/>
                      <w:highlight w:val="none"/>
                      <w:shd w:val="clear" w:color="auto" w:fill="auto"/>
                    </w:rPr>
                    <w:t>变压器油</w:t>
                  </w:r>
                </w:p>
              </w:tc>
              <w:tc>
                <w:tcPr>
                  <w:tcW w:w="4380" w:type="pct"/>
                  <w:vAlign w:val="center"/>
                </w:tcPr>
                <w:p w14:paraId="55D19843">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外观与性状：稍有粘稠半透明液体；</w:t>
                  </w:r>
                </w:p>
                <w:p w14:paraId="2981932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相对密度（水</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0.86~0.895</w:t>
                  </w:r>
                  <w:r>
                    <w:rPr>
                      <w:rFonts w:hint="default" w:hAnsi="宋体"/>
                      <w:color w:val="auto"/>
                      <w:szCs w:val="21"/>
                      <w:highlight w:val="none"/>
                      <w:shd w:val="clear" w:color="auto" w:fill="auto"/>
                    </w:rPr>
                    <w:t>；</w:t>
                  </w:r>
                </w:p>
                <w:p w14:paraId="3261CD77">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相对蒸气密度（空气</w:t>
                  </w:r>
                  <w:r>
                    <w:rPr>
                      <w:rFonts w:hint="default"/>
                      <w:color w:val="auto"/>
                      <w:szCs w:val="21"/>
                      <w:highlight w:val="none"/>
                      <w:shd w:val="clear" w:color="auto" w:fill="auto"/>
                    </w:rPr>
                    <w:t>=1</w:t>
                  </w:r>
                  <w:r>
                    <w:rPr>
                      <w:rFonts w:hint="default" w:hAnsi="宋体"/>
                      <w:color w:val="auto"/>
                      <w:szCs w:val="21"/>
                      <w:highlight w:val="none"/>
                      <w:shd w:val="clear" w:color="auto" w:fill="auto"/>
                    </w:rPr>
                    <w:t>）：</w:t>
                  </w:r>
                  <w:r>
                    <w:rPr>
                      <w:rFonts w:hint="default"/>
                      <w:color w:val="auto"/>
                      <w:szCs w:val="21"/>
                      <w:highlight w:val="none"/>
                      <w:shd w:val="clear" w:color="auto" w:fill="auto"/>
                    </w:rPr>
                    <w:t>1.4</w:t>
                  </w:r>
                  <w:r>
                    <w:rPr>
                      <w:rFonts w:hint="default" w:hAnsi="宋体"/>
                      <w:color w:val="auto"/>
                      <w:szCs w:val="21"/>
                      <w:highlight w:val="none"/>
                      <w:shd w:val="clear" w:color="auto" w:fill="auto"/>
                    </w:rPr>
                    <w:t>；</w:t>
                  </w:r>
                </w:p>
                <w:p w14:paraId="00755A4F">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闪点（</w:t>
                  </w:r>
                  <w:r>
                    <w:rPr>
                      <w:rFonts w:hint="default" w:ascii="宋体" w:hAnsi="宋体"/>
                      <w:color w:val="auto"/>
                      <w:szCs w:val="21"/>
                      <w:highlight w:val="none"/>
                      <w:shd w:val="clear" w:color="auto" w:fill="auto"/>
                    </w:rPr>
                    <w:t>℃</w:t>
                  </w:r>
                  <w:r>
                    <w:rPr>
                      <w:rFonts w:hint="default" w:hAnsi="宋体"/>
                      <w:color w:val="auto"/>
                      <w:szCs w:val="21"/>
                      <w:highlight w:val="none"/>
                      <w:shd w:val="clear" w:color="auto" w:fill="auto"/>
                    </w:rPr>
                    <w:t>）：</w:t>
                  </w:r>
                  <w:r>
                    <w:rPr>
                      <w:rFonts w:hint="default"/>
                      <w:color w:val="auto"/>
                      <w:szCs w:val="21"/>
                      <w:highlight w:val="none"/>
                      <w:shd w:val="clear" w:color="auto" w:fill="auto"/>
                    </w:rPr>
                    <w:t>≥135</w:t>
                  </w:r>
                  <w:r>
                    <w:rPr>
                      <w:rFonts w:hint="default" w:hAnsi="宋体"/>
                      <w:color w:val="auto"/>
                      <w:szCs w:val="21"/>
                      <w:highlight w:val="none"/>
                      <w:shd w:val="clear" w:color="auto" w:fill="auto"/>
                    </w:rPr>
                    <w:t>；</w:t>
                  </w:r>
                </w:p>
                <w:p w14:paraId="20042A8F">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溶解性：不溶于水</w:t>
                  </w:r>
                  <w:r>
                    <w:rPr>
                      <w:rFonts w:hint="eastAsia" w:hAnsi="宋体" w:eastAsia="宋体"/>
                      <w:color w:val="auto"/>
                      <w:szCs w:val="21"/>
                      <w:highlight w:val="none"/>
                      <w:shd w:val="clear" w:color="auto" w:fill="auto"/>
                      <w:lang w:eastAsia="zh-CN"/>
                    </w:rPr>
                    <w:t>；</w:t>
                  </w:r>
                </w:p>
                <w:p w14:paraId="2C8576C3">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eastAsia" w:eastAsia="宋体"/>
                      <w:color w:val="auto"/>
                      <w:szCs w:val="21"/>
                      <w:highlight w:val="none"/>
                      <w:shd w:val="clear" w:color="auto" w:fill="auto"/>
                      <w:lang w:eastAsia="zh-CN"/>
                    </w:rPr>
                  </w:pPr>
                  <w:r>
                    <w:rPr>
                      <w:rFonts w:hint="default" w:hAnsi="宋体"/>
                      <w:color w:val="auto"/>
                      <w:szCs w:val="21"/>
                      <w:highlight w:val="none"/>
                      <w:shd w:val="clear" w:color="auto" w:fill="auto"/>
                    </w:rPr>
                    <w:t>火灾类别：丙类，可燃液体</w:t>
                  </w:r>
                  <w:r>
                    <w:rPr>
                      <w:rFonts w:hint="eastAsia" w:hAnsi="宋体" w:eastAsia="宋体"/>
                      <w:color w:val="auto"/>
                      <w:szCs w:val="21"/>
                      <w:highlight w:val="none"/>
                      <w:shd w:val="clear" w:color="auto" w:fill="auto"/>
                      <w:lang w:eastAsia="zh-CN"/>
                    </w:rPr>
                    <w:t>；</w:t>
                  </w:r>
                </w:p>
                <w:p w14:paraId="260E3C11">
                  <w:pPr>
                    <w:pStyle w:val="91"/>
                    <w:keepNext w:val="0"/>
                    <w:keepLines w:val="0"/>
                    <w:pageBreakBefore w:val="0"/>
                    <w:widowControl w:val="0"/>
                    <w:suppressLineNumbers w:val="0"/>
                    <w:shd w:val="clear"/>
                    <w:tabs>
                      <w:tab w:val="right" w:leader="dot" w:pos="8296"/>
                    </w:tabs>
                    <w:kinsoku/>
                    <w:wordWrap/>
                    <w:overflowPunct/>
                    <w:topLinePunct w:val="0"/>
                    <w:autoSpaceDE/>
                    <w:autoSpaceDN/>
                    <w:bidi w:val="0"/>
                    <w:adjustRightInd/>
                    <w:snapToGrid/>
                    <w:spacing w:beforeAutospacing="0" w:after="0" w:afterAutospacing="0" w:line="300" w:lineRule="exact"/>
                    <w:ind w:left="0" w:right="0"/>
                    <w:jc w:val="both"/>
                    <w:textAlignment w:val="auto"/>
                    <w:rPr>
                      <w:rFonts w:hint="default"/>
                      <w:color w:val="auto"/>
                      <w:szCs w:val="21"/>
                      <w:highlight w:val="none"/>
                      <w:shd w:val="clear" w:color="auto" w:fill="auto"/>
                    </w:rPr>
                  </w:pPr>
                  <w:r>
                    <w:rPr>
                      <w:rFonts w:hint="default" w:hAnsi="宋体"/>
                      <w:color w:val="auto"/>
                      <w:szCs w:val="21"/>
                      <w:highlight w:val="none"/>
                      <w:shd w:val="clear" w:color="auto" w:fill="auto"/>
                    </w:rPr>
                    <w:t>急性毒性：大鼠吸入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个月）；小鼠吸入</w:t>
                  </w:r>
                  <w:r>
                    <w:rPr>
                      <w:rFonts w:hint="default"/>
                      <w:color w:val="auto"/>
                      <w:szCs w:val="21"/>
                      <w:highlight w:val="none"/>
                      <w:shd w:val="clear" w:color="auto" w:fill="auto"/>
                    </w:rPr>
                    <w:t>LC50</w:t>
                  </w:r>
                  <w:r>
                    <w:rPr>
                      <w:rFonts w:hint="default" w:hAnsi="宋体"/>
                      <w:color w:val="auto"/>
                      <w:szCs w:val="21"/>
                      <w:highlight w:val="none"/>
                      <w:shd w:val="clear" w:color="auto" w:fill="auto"/>
                    </w:rPr>
                    <w:t>：</w:t>
                  </w:r>
                  <w:r>
                    <w:rPr>
                      <w:rFonts w:hint="default"/>
                      <w:color w:val="auto"/>
                      <w:szCs w:val="21"/>
                      <w:highlight w:val="none"/>
                      <w:shd w:val="clear" w:color="auto" w:fill="auto"/>
                    </w:rPr>
                    <w:t>300000mg/m</w:t>
                  </w:r>
                  <w:r>
                    <w:rPr>
                      <w:rFonts w:hint="default"/>
                      <w:color w:val="auto"/>
                      <w:szCs w:val="21"/>
                      <w:highlight w:val="none"/>
                      <w:shd w:val="clear" w:color="auto" w:fill="auto"/>
                      <w:vertAlign w:val="superscript"/>
                    </w:rPr>
                    <w:t>3</w:t>
                  </w:r>
                  <w:r>
                    <w:rPr>
                      <w:rFonts w:hint="default" w:hAnsi="宋体"/>
                      <w:color w:val="auto"/>
                      <w:szCs w:val="21"/>
                      <w:highlight w:val="none"/>
                      <w:shd w:val="clear" w:color="auto" w:fill="auto"/>
                    </w:rPr>
                    <w:t>（</w:t>
                  </w:r>
                  <w:r>
                    <w:rPr>
                      <w:rFonts w:hint="default"/>
                      <w:color w:val="auto"/>
                      <w:szCs w:val="21"/>
                      <w:highlight w:val="none"/>
                      <w:shd w:val="clear" w:color="auto" w:fill="auto"/>
                    </w:rPr>
                    <w:t>5</w:t>
                  </w:r>
                  <w:r>
                    <w:rPr>
                      <w:rFonts w:hint="default" w:hAnsi="宋体"/>
                      <w:color w:val="auto"/>
                      <w:szCs w:val="21"/>
                      <w:highlight w:val="none"/>
                      <w:shd w:val="clear" w:color="auto" w:fill="auto"/>
                    </w:rPr>
                    <w:t>个月）。</w:t>
                  </w:r>
                </w:p>
              </w:tc>
            </w:tr>
          </w:tbl>
          <w:p w14:paraId="514E7419">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p>
          <w:p w14:paraId="0EB82126">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4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危险物质主要成分基本性质一览表</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176"/>
              <w:gridCol w:w="6074"/>
            </w:tblGrid>
            <w:tr w14:paraId="66D36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0" w:type="pct"/>
                  <w:vMerge w:val="restart"/>
                  <w:tcBorders>
                    <w:top w:val="single" w:color="000000" w:sz="4" w:space="0"/>
                    <w:left w:val="single" w:color="000000" w:sz="4" w:space="0"/>
                    <w:bottom w:val="single" w:color="000000" w:sz="4" w:space="0"/>
                    <w:right w:val="single" w:color="000000" w:sz="4" w:space="0"/>
                  </w:tcBorders>
                  <w:vAlign w:val="center"/>
                </w:tcPr>
                <w:p w14:paraId="0E0D80A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w:t>
                  </w:r>
                </w:p>
              </w:tc>
              <w:tc>
                <w:tcPr>
                  <w:tcW w:w="741" w:type="pct"/>
                  <w:tcBorders>
                    <w:top w:val="single" w:color="000000" w:sz="4" w:space="0"/>
                    <w:left w:val="single" w:color="000000" w:sz="4" w:space="0"/>
                    <w:bottom w:val="single" w:color="000000" w:sz="4" w:space="0"/>
                    <w:right w:val="single" w:color="000000" w:sz="4" w:space="0"/>
                  </w:tcBorders>
                  <w:vAlign w:val="center"/>
                </w:tcPr>
                <w:p w14:paraId="636168ED">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危险废物</w:t>
                  </w:r>
                </w:p>
              </w:tc>
              <w:tc>
                <w:tcPr>
                  <w:tcW w:w="3828" w:type="pct"/>
                  <w:tcBorders>
                    <w:top w:val="single" w:color="000000" w:sz="4" w:space="0"/>
                    <w:left w:val="single" w:color="000000" w:sz="4" w:space="0"/>
                    <w:bottom w:val="single" w:color="000000" w:sz="4" w:space="0"/>
                    <w:right w:val="single" w:color="000000" w:sz="4" w:space="0"/>
                  </w:tcBorders>
                  <w:vAlign w:val="center"/>
                </w:tcPr>
                <w:p w14:paraId="46955D5C">
                  <w:pPr>
                    <w:keepNext w:val="0"/>
                    <w:keepLines w:val="0"/>
                    <w:pageBreakBefore w:val="0"/>
                    <w:widowControl w:val="0"/>
                    <w:suppressLineNumbers w:val="0"/>
                    <w:shd w:val="clear"/>
                    <w:kinsoku/>
                    <w:wordWrap/>
                    <w:overflowPunct/>
                    <w:topLinePunct w:val="0"/>
                    <w:autoSpaceDE w:val="0"/>
                    <w:autoSpaceDN w:val="0"/>
                    <w:bidi w:val="0"/>
                    <w:adjustRightInd w:val="0"/>
                    <w:spacing w:before="0" w:beforeAutospacing="0" w:after="0" w:afterAutospacing="0" w:line="320" w:lineRule="exact"/>
                    <w:ind w:left="0" w:right="0"/>
                    <w:jc w:val="center"/>
                    <w:textAlignment w:val="auto"/>
                    <w:rPr>
                      <w:rFonts w:hint="default" w:ascii="宋体" w:cs="宋体"/>
                      <w:color w:val="auto"/>
                      <w:kern w:val="0"/>
                      <w:szCs w:val="21"/>
                      <w:highlight w:val="none"/>
                      <w:shd w:val="clear" w:color="auto" w:fill="auto"/>
                    </w:rPr>
                  </w:pPr>
                  <w:r>
                    <w:rPr>
                      <w:rFonts w:hint="eastAsia" w:ascii="宋体" w:cs="宋体"/>
                      <w:color w:val="auto"/>
                      <w:kern w:val="0"/>
                      <w:szCs w:val="21"/>
                      <w:highlight w:val="none"/>
                      <w:shd w:val="clear" w:color="auto" w:fill="auto"/>
                    </w:rPr>
                    <w:t>变压器</w:t>
                  </w:r>
                  <w:r>
                    <w:rPr>
                      <w:rFonts w:hint="eastAsia" w:ascii="宋体" w:cs="宋体"/>
                      <w:color w:val="auto"/>
                      <w:kern w:val="0"/>
                      <w:szCs w:val="21"/>
                      <w:highlight w:val="none"/>
                      <w:shd w:val="clear" w:color="auto" w:fill="auto"/>
                      <w:lang w:val="en-US" w:eastAsia="zh-CN"/>
                    </w:rPr>
                    <w:t>检修</w:t>
                  </w:r>
                  <w:r>
                    <w:rPr>
                      <w:rFonts w:hint="eastAsia" w:ascii="宋体" w:cs="宋体"/>
                      <w:color w:val="auto"/>
                      <w:kern w:val="0"/>
                      <w:szCs w:val="21"/>
                      <w:highlight w:val="none"/>
                      <w:shd w:val="clear" w:color="auto" w:fill="auto"/>
                    </w:rPr>
                    <w:t>和</w:t>
                  </w:r>
                  <w:r>
                    <w:rPr>
                      <w:rFonts w:hint="eastAsia" w:ascii="宋体" w:cs="宋体"/>
                      <w:color w:val="auto"/>
                      <w:kern w:val="0"/>
                      <w:szCs w:val="21"/>
                      <w:highlight w:val="none"/>
                      <w:shd w:val="clear" w:color="auto" w:fill="auto"/>
                      <w:lang w:val="en-US" w:eastAsia="zh-CN"/>
                    </w:rPr>
                    <w:t>事故</w:t>
                  </w:r>
                  <w:r>
                    <w:rPr>
                      <w:rFonts w:hint="eastAsia" w:ascii="宋体" w:cs="宋体"/>
                      <w:color w:val="auto"/>
                      <w:kern w:val="0"/>
                      <w:szCs w:val="21"/>
                      <w:highlight w:val="none"/>
                      <w:shd w:val="clear" w:color="auto" w:fill="auto"/>
                    </w:rPr>
                    <w:t>过程中产生的废变压器油</w:t>
                  </w:r>
                </w:p>
              </w:tc>
            </w:tr>
            <w:tr w14:paraId="4102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766EC99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24FDEF53">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废物类别</w:t>
                  </w:r>
                </w:p>
              </w:tc>
              <w:tc>
                <w:tcPr>
                  <w:tcW w:w="3828" w:type="pct"/>
                  <w:tcBorders>
                    <w:top w:val="single" w:color="000000" w:sz="4" w:space="0"/>
                    <w:left w:val="single" w:color="000000" w:sz="4" w:space="0"/>
                    <w:bottom w:val="single" w:color="000000" w:sz="4" w:space="0"/>
                    <w:right w:val="single" w:color="000000" w:sz="4" w:space="0"/>
                  </w:tcBorders>
                  <w:vAlign w:val="center"/>
                </w:tcPr>
                <w:p w14:paraId="19354FC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HW08废矿物油与含矿物油废物</w:t>
                  </w:r>
                </w:p>
              </w:tc>
            </w:tr>
            <w:tr w14:paraId="660F7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5E23AAB0">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6DE7032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危险代码</w:t>
                  </w:r>
                </w:p>
              </w:tc>
              <w:tc>
                <w:tcPr>
                  <w:tcW w:w="3828" w:type="pct"/>
                  <w:tcBorders>
                    <w:top w:val="single" w:color="000000" w:sz="4" w:space="0"/>
                    <w:left w:val="single" w:color="000000" w:sz="4" w:space="0"/>
                    <w:bottom w:val="single" w:color="000000" w:sz="4" w:space="0"/>
                    <w:right w:val="single" w:color="000000" w:sz="4" w:space="0"/>
                  </w:tcBorders>
                  <w:vAlign w:val="center"/>
                </w:tcPr>
                <w:p w14:paraId="62D8A168">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900-220-08</w:t>
                  </w:r>
                </w:p>
              </w:tc>
            </w:tr>
            <w:tr w14:paraId="68029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3821AB99">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707954C3">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危险特征</w:t>
                  </w:r>
                </w:p>
              </w:tc>
              <w:tc>
                <w:tcPr>
                  <w:tcW w:w="3828" w:type="pct"/>
                  <w:tcBorders>
                    <w:top w:val="single" w:color="000000" w:sz="4" w:space="0"/>
                    <w:left w:val="single" w:color="000000" w:sz="4" w:space="0"/>
                    <w:bottom w:val="single" w:color="000000" w:sz="4" w:space="0"/>
                    <w:right w:val="single" w:color="000000" w:sz="4" w:space="0"/>
                  </w:tcBorders>
                  <w:vAlign w:val="center"/>
                </w:tcPr>
                <w:p w14:paraId="67E9DE3E">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T（毒性），</w:t>
                  </w:r>
                  <w:r>
                    <w:rPr>
                      <w:rFonts w:hint="default"/>
                      <w:bCs/>
                      <w:color w:val="auto"/>
                      <w:szCs w:val="21"/>
                      <w:highlight w:val="none"/>
                      <w:shd w:val="clear" w:color="auto" w:fill="auto"/>
                    </w:rPr>
                    <w:t>I</w:t>
                  </w:r>
                  <w:r>
                    <w:rPr>
                      <w:rFonts w:hint="eastAsia"/>
                      <w:bCs/>
                      <w:color w:val="auto"/>
                      <w:szCs w:val="21"/>
                      <w:highlight w:val="none"/>
                      <w:shd w:val="clear" w:color="auto" w:fill="auto"/>
                    </w:rPr>
                    <w:t>（易燃性）</w:t>
                  </w:r>
                </w:p>
              </w:tc>
            </w:tr>
            <w:tr w14:paraId="67429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 w:type="pct"/>
                  <w:vMerge w:val="continue"/>
                  <w:tcBorders>
                    <w:top w:val="single" w:color="000000" w:sz="4" w:space="0"/>
                    <w:left w:val="single" w:color="000000" w:sz="4" w:space="0"/>
                    <w:bottom w:val="single" w:color="000000" w:sz="4" w:space="0"/>
                    <w:right w:val="single" w:color="000000" w:sz="4" w:space="0"/>
                  </w:tcBorders>
                  <w:vAlign w:val="center"/>
                </w:tcPr>
                <w:p w14:paraId="6685D33A">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p>
              </w:tc>
              <w:tc>
                <w:tcPr>
                  <w:tcW w:w="741" w:type="pct"/>
                  <w:tcBorders>
                    <w:top w:val="single" w:color="000000" w:sz="4" w:space="0"/>
                    <w:left w:val="single" w:color="000000" w:sz="4" w:space="0"/>
                    <w:bottom w:val="single" w:color="000000" w:sz="4" w:space="0"/>
                    <w:right w:val="single" w:color="000000" w:sz="4" w:space="0"/>
                  </w:tcBorders>
                  <w:vAlign w:val="center"/>
                </w:tcPr>
                <w:p w14:paraId="577BE5FB">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危险特性</w:t>
                  </w:r>
                </w:p>
              </w:tc>
              <w:tc>
                <w:tcPr>
                  <w:tcW w:w="3828" w:type="pct"/>
                  <w:tcBorders>
                    <w:top w:val="single" w:color="000000" w:sz="4" w:space="0"/>
                    <w:left w:val="single" w:color="000000" w:sz="4" w:space="0"/>
                    <w:bottom w:val="single" w:color="000000" w:sz="4" w:space="0"/>
                    <w:right w:val="single" w:color="000000" w:sz="4" w:space="0"/>
                  </w:tcBorders>
                  <w:vAlign w:val="center"/>
                </w:tcPr>
                <w:p w14:paraId="6FE76392">
                  <w:pPr>
                    <w:keepNext w:val="0"/>
                    <w:keepLines w:val="0"/>
                    <w:pageBreakBefore w:val="0"/>
                    <w:widowControl w:val="0"/>
                    <w:suppressLineNumbers w:val="0"/>
                    <w:shd w:val="clear"/>
                    <w:kinsoku/>
                    <w:wordWrap/>
                    <w:overflowPunct/>
                    <w:topLinePunct w:val="0"/>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废变压油中含有致癌，致突变，致变形物质及废酸，重金属等物质，对人体危害极大</w:t>
                  </w:r>
                </w:p>
              </w:tc>
            </w:tr>
          </w:tbl>
          <w:p w14:paraId="1FA89E7A">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cs="宋体"/>
                <w:b/>
                <w:bCs/>
                <w:color w:val="auto"/>
                <w:sz w:val="24"/>
                <w:highlight w:val="none"/>
                <w:shd w:val="clear" w:color="auto" w:fill="auto"/>
              </w:rPr>
            </w:pPr>
            <w:bookmarkStart w:id="54" w:name="_Toc31849"/>
            <w:bookmarkStart w:id="55" w:name="_Toc21003"/>
            <w:bookmarkStart w:id="56" w:name="_Toc13985"/>
            <w:bookmarkStart w:id="57" w:name="_Toc11376"/>
            <w:bookmarkStart w:id="58" w:name="_Toc29388"/>
            <w:bookmarkStart w:id="59" w:name="_Toc17531"/>
            <w:bookmarkStart w:id="60" w:name="_Toc18601"/>
            <w:bookmarkStart w:id="61" w:name="_Toc4764"/>
            <w:bookmarkStart w:id="62" w:name="_Toc24053"/>
            <w:r>
              <w:rPr>
                <w:rFonts w:hint="eastAsia" w:cs="宋体"/>
                <w:b/>
                <w:bCs/>
                <w:color w:val="auto"/>
                <w:sz w:val="24"/>
                <w:highlight w:val="none"/>
                <w:shd w:val="clear" w:color="auto" w:fill="auto"/>
              </w:rPr>
              <w:t>2）环境敏感目标概况</w:t>
            </w:r>
            <w:bookmarkEnd w:id="54"/>
            <w:bookmarkEnd w:id="55"/>
            <w:bookmarkEnd w:id="56"/>
            <w:bookmarkEnd w:id="57"/>
            <w:bookmarkEnd w:id="58"/>
            <w:bookmarkEnd w:id="59"/>
            <w:bookmarkEnd w:id="60"/>
            <w:bookmarkEnd w:id="61"/>
            <w:bookmarkEnd w:id="62"/>
          </w:p>
          <w:p w14:paraId="670A4A6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项目存在的风险物质发生泄漏或泄漏事故发生后燃烧、爆炸产生的次生污染物，可能对区域大气环境、地表水环境及地下水环境产生影响，项目环境风险敏感目</w:t>
            </w:r>
            <w:r>
              <w:rPr>
                <w:rFonts w:hint="eastAsia"/>
                <w:bCs/>
                <w:color w:val="auto"/>
                <w:sz w:val="24"/>
                <w:highlight w:val="none"/>
                <w:shd w:val="clear" w:color="auto" w:fill="auto"/>
                <w:lang w:val="en-US" w:eastAsia="zh-CN"/>
              </w:rPr>
              <w:t>标</w:t>
            </w:r>
            <w:r>
              <w:rPr>
                <w:rFonts w:hint="eastAsia"/>
                <w:bCs/>
                <w:color w:val="auto"/>
                <w:sz w:val="24"/>
                <w:highlight w:val="none"/>
                <w:shd w:val="clear" w:color="auto" w:fill="auto"/>
              </w:rPr>
              <w:t>详见表</w:t>
            </w:r>
            <w:r>
              <w:rPr>
                <w:rFonts w:hint="default"/>
                <w:bCs/>
                <w:color w:val="auto"/>
                <w:sz w:val="24"/>
                <w:highlight w:val="none"/>
                <w:shd w:val="clear" w:color="auto" w:fill="auto"/>
              </w:rPr>
              <w:t>3-</w:t>
            </w:r>
            <w:r>
              <w:rPr>
                <w:rFonts w:hint="eastAsia"/>
                <w:bCs/>
                <w:color w:val="auto"/>
                <w:sz w:val="24"/>
                <w:highlight w:val="none"/>
                <w:shd w:val="clear" w:color="auto" w:fill="auto"/>
                <w:lang w:val="en-US" w:eastAsia="zh-CN"/>
              </w:rPr>
              <w:t>7至3-8</w:t>
            </w:r>
            <w:r>
              <w:rPr>
                <w:rFonts w:hint="eastAsia"/>
                <w:bCs/>
                <w:color w:val="auto"/>
                <w:sz w:val="24"/>
                <w:highlight w:val="none"/>
                <w:shd w:val="clear" w:color="auto" w:fill="auto"/>
              </w:rPr>
              <w:t>，同时为防止造成地下水污染，增加项目区浅层地下水作为保护目标。</w:t>
            </w:r>
          </w:p>
          <w:p w14:paraId="7F299B75">
            <w:pPr>
              <w:keepNext w:val="0"/>
              <w:keepLines w:val="0"/>
              <w:suppressLineNumbers w:val="0"/>
              <w:shd w:val="clear"/>
              <w:adjustRightInd w:val="0"/>
              <w:snapToGrid w:val="0"/>
              <w:spacing w:before="0" w:beforeAutospacing="0" w:after="0" w:afterAutospacing="0" w:line="360" w:lineRule="auto"/>
              <w:ind w:left="0" w:right="0" w:firstLine="482" w:firstLineChars="200"/>
              <w:outlineLvl w:val="0"/>
              <w:rPr>
                <w:rFonts w:hint="default"/>
                <w:bCs/>
                <w:color w:val="auto"/>
                <w:sz w:val="24"/>
                <w:highlight w:val="none"/>
                <w:shd w:val="clear" w:color="auto" w:fill="auto"/>
              </w:rPr>
            </w:pPr>
            <w:bookmarkStart w:id="63" w:name="_Toc15568"/>
            <w:bookmarkStart w:id="64" w:name="_Toc5864"/>
            <w:bookmarkStart w:id="65" w:name="_Toc24531"/>
            <w:bookmarkStart w:id="66" w:name="_Toc9608"/>
            <w:bookmarkStart w:id="67" w:name="_Toc15221"/>
            <w:bookmarkStart w:id="68" w:name="_Toc22680"/>
            <w:bookmarkStart w:id="69" w:name="_Toc11373"/>
            <w:bookmarkStart w:id="70" w:name="_Toc31010"/>
            <w:bookmarkStart w:id="71" w:name="_Toc29300"/>
            <w:r>
              <w:rPr>
                <w:rFonts w:hint="eastAsia" w:cs="宋体"/>
                <w:b/>
                <w:bCs/>
                <w:color w:val="auto"/>
                <w:sz w:val="24"/>
                <w:highlight w:val="none"/>
                <w:shd w:val="clear" w:color="auto" w:fill="auto"/>
              </w:rPr>
              <w:t>3）风险潜势初判及评价等级</w:t>
            </w:r>
            <w:bookmarkEnd w:id="63"/>
            <w:bookmarkEnd w:id="64"/>
            <w:bookmarkEnd w:id="65"/>
            <w:bookmarkEnd w:id="66"/>
            <w:bookmarkEnd w:id="67"/>
            <w:bookmarkEnd w:id="68"/>
            <w:bookmarkEnd w:id="69"/>
            <w:bookmarkEnd w:id="70"/>
            <w:bookmarkEnd w:id="71"/>
          </w:p>
          <w:p w14:paraId="046EC7B5">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根据《建设项目环境风险评价技术导则》（HJ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169-2018）的要求，建设项目环境风险潜势划分为Ⅰ、Ⅱ、Ⅲ、Ⅳ/Ⅳ</w:t>
            </w:r>
            <w:r>
              <w:rPr>
                <w:rFonts w:hint="default"/>
                <w:bCs/>
                <w:color w:val="auto"/>
                <w:sz w:val="24"/>
                <w:highlight w:val="none"/>
                <w:shd w:val="clear" w:color="auto" w:fill="auto"/>
                <w:vertAlign w:val="superscript"/>
              </w:rPr>
              <w:t>+</w:t>
            </w:r>
            <w:r>
              <w:rPr>
                <w:rFonts w:hint="default"/>
                <w:bCs/>
                <w:color w:val="auto"/>
                <w:sz w:val="24"/>
                <w:highlight w:val="none"/>
                <w:shd w:val="clear" w:color="auto" w:fill="auto"/>
              </w:rPr>
              <w:t>级。</w:t>
            </w:r>
          </w:p>
          <w:p w14:paraId="36940F9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计算所涉及的每种危险物质在厂界内的最大存在总量与其在《建设项目环境风险评价技术导则》（HJ</w:t>
            </w:r>
            <w:r>
              <w:rPr>
                <w:rFonts w:hint="eastAsia"/>
                <w:bCs/>
                <w:color w:val="auto"/>
                <w:sz w:val="24"/>
                <w:highlight w:val="none"/>
                <w:shd w:val="clear" w:color="auto" w:fill="auto"/>
              </w:rPr>
              <w:t xml:space="preserve"> </w:t>
            </w:r>
            <w:r>
              <w:rPr>
                <w:rFonts w:hint="default"/>
                <w:bCs/>
                <w:color w:val="auto"/>
                <w:sz w:val="24"/>
                <w:highlight w:val="none"/>
                <w:shd w:val="clear" w:color="auto" w:fill="auto"/>
              </w:rPr>
              <w:t>169-2018）附录B中对应临界量的比值Q。在不同厂区的同一种物质，按其在厂界内的最大存在总量计算。</w:t>
            </w:r>
          </w:p>
          <w:p w14:paraId="1D00758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当只涉及一种危险物质时，计算该物质的总量与其临界量比值，即为Q；当存在多种危险物质时，则按下式计算物质总量与其临界量比值（Q）：</w:t>
            </w:r>
          </w:p>
          <w:p w14:paraId="7A757021">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 ······+q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p>
          <w:p w14:paraId="0DFA90DA">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式中q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n</w:t>
            </w:r>
            <w:r>
              <w:rPr>
                <w:rFonts w:hint="default"/>
                <w:bCs/>
                <w:color w:val="auto"/>
                <w:sz w:val="24"/>
                <w:highlight w:val="none"/>
                <w:shd w:val="clear" w:color="auto" w:fill="auto"/>
              </w:rPr>
              <w:t>--每种危险物质实际存在量，t；</w:t>
            </w:r>
          </w:p>
          <w:p w14:paraId="6283D102">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1</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2</w:t>
            </w:r>
            <w:r>
              <w:rPr>
                <w:rFonts w:hint="default"/>
                <w:bCs/>
                <w:color w:val="auto"/>
                <w:sz w:val="24"/>
                <w:highlight w:val="none"/>
                <w:shd w:val="clear" w:color="auto" w:fill="auto"/>
              </w:rPr>
              <w:t>，Q</w:t>
            </w:r>
            <w:r>
              <w:rPr>
                <w:rFonts w:hint="default"/>
                <w:bCs/>
                <w:color w:val="auto"/>
                <w:sz w:val="24"/>
                <w:highlight w:val="none"/>
                <w:shd w:val="clear" w:color="auto" w:fill="auto"/>
                <w:vertAlign w:val="subscript"/>
              </w:rPr>
              <w:t>3</w:t>
            </w:r>
            <w:r>
              <w:rPr>
                <w:rFonts w:hint="default"/>
                <w:bCs/>
                <w:color w:val="auto"/>
                <w:sz w:val="24"/>
                <w:highlight w:val="none"/>
                <w:shd w:val="clear" w:color="auto" w:fill="auto"/>
              </w:rPr>
              <w:t>·····，Qn--与各危险物质相对应的生产场所或贮存区的临界量，t。</w:t>
            </w:r>
          </w:p>
          <w:p w14:paraId="5231021F">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当Q＜1时，该项目环境风险潜势为I。</w:t>
            </w:r>
          </w:p>
          <w:p w14:paraId="75C070F6">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 xml:space="preserve">当Q≥1时，将Q值划分为：（1）1≤Q＜10；（2）10≤Q＜100；（3）Q≥100。 </w:t>
            </w:r>
          </w:p>
          <w:p w14:paraId="79F3C71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项目涉及的主要危险物质最大贮存量及临界量见下表：</w:t>
            </w:r>
          </w:p>
          <w:p w14:paraId="1A8E07C8">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5</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危险物质数量与临界量比值Q计算一览表</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4" w:type="dxa"/>
                <w:bottom w:w="0" w:type="dxa"/>
                <w:right w:w="34" w:type="dxa"/>
              </w:tblCellMar>
            </w:tblPr>
            <w:tblGrid>
              <w:gridCol w:w="1523"/>
              <w:gridCol w:w="1231"/>
              <w:gridCol w:w="1636"/>
              <w:gridCol w:w="1425"/>
              <w:gridCol w:w="1012"/>
              <w:gridCol w:w="1104"/>
            </w:tblGrid>
            <w:tr w14:paraId="60033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4A829B8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危险品名称</w:t>
                  </w:r>
                </w:p>
              </w:tc>
              <w:tc>
                <w:tcPr>
                  <w:tcW w:w="776" w:type="pct"/>
                  <w:tcBorders>
                    <w:top w:val="single" w:color="000000" w:sz="4" w:space="0"/>
                    <w:left w:val="single" w:color="000000" w:sz="4" w:space="0"/>
                    <w:bottom w:val="single" w:color="000000" w:sz="4" w:space="0"/>
                    <w:right w:val="single" w:color="000000" w:sz="4" w:space="0"/>
                  </w:tcBorders>
                  <w:vAlign w:val="center"/>
                </w:tcPr>
                <w:p w14:paraId="3CC7762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贮存设施</w:t>
                  </w:r>
                </w:p>
              </w:tc>
              <w:tc>
                <w:tcPr>
                  <w:tcW w:w="1031" w:type="pct"/>
                  <w:tcBorders>
                    <w:top w:val="single" w:color="000000" w:sz="4" w:space="0"/>
                    <w:left w:val="single" w:color="000000" w:sz="4" w:space="0"/>
                    <w:bottom w:val="single" w:color="000000" w:sz="4" w:space="0"/>
                    <w:right w:val="single" w:color="000000" w:sz="4" w:space="0"/>
                  </w:tcBorders>
                  <w:vAlign w:val="center"/>
                </w:tcPr>
                <w:p w14:paraId="124ABDA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贮存方式</w:t>
                  </w:r>
                </w:p>
              </w:tc>
              <w:tc>
                <w:tcPr>
                  <w:tcW w:w="898" w:type="pct"/>
                  <w:tcBorders>
                    <w:top w:val="single" w:color="000000" w:sz="4" w:space="0"/>
                    <w:left w:val="single" w:color="000000" w:sz="4" w:space="0"/>
                    <w:bottom w:val="single" w:color="000000" w:sz="4" w:space="0"/>
                    <w:right w:val="single" w:color="000000" w:sz="4" w:space="0"/>
                  </w:tcBorders>
                  <w:vAlign w:val="center"/>
                </w:tcPr>
                <w:p w14:paraId="5CC2A87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最大贮存量（t）</w:t>
                  </w:r>
                </w:p>
              </w:tc>
              <w:tc>
                <w:tcPr>
                  <w:tcW w:w="638" w:type="pct"/>
                  <w:tcBorders>
                    <w:top w:val="single" w:color="000000" w:sz="4" w:space="0"/>
                    <w:left w:val="single" w:color="000000" w:sz="4" w:space="0"/>
                    <w:bottom w:val="single" w:color="000000" w:sz="4" w:space="0"/>
                    <w:right w:val="single" w:color="000000" w:sz="4" w:space="0"/>
                  </w:tcBorders>
                  <w:vAlign w:val="center"/>
                </w:tcPr>
                <w:p w14:paraId="47B7208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临界量（t）</w:t>
                  </w:r>
                </w:p>
              </w:tc>
              <w:tc>
                <w:tcPr>
                  <w:tcW w:w="696" w:type="pct"/>
                  <w:tcBorders>
                    <w:top w:val="single" w:color="000000" w:sz="4" w:space="0"/>
                    <w:left w:val="single" w:color="000000" w:sz="4" w:space="0"/>
                    <w:bottom w:val="single" w:color="000000" w:sz="4" w:space="0"/>
                    <w:right w:val="single" w:color="000000" w:sz="4" w:space="0"/>
                  </w:tcBorders>
                  <w:vAlign w:val="center"/>
                </w:tcPr>
                <w:p w14:paraId="48C7F9E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q/Q</w:t>
                  </w:r>
                </w:p>
              </w:tc>
            </w:tr>
            <w:tr w14:paraId="45F5F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35673FE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变压器油</w:t>
                  </w:r>
                </w:p>
              </w:tc>
              <w:tc>
                <w:tcPr>
                  <w:tcW w:w="776" w:type="pct"/>
                  <w:tcBorders>
                    <w:top w:val="single" w:color="000000" w:sz="4" w:space="0"/>
                    <w:left w:val="single" w:color="000000" w:sz="4" w:space="0"/>
                    <w:bottom w:val="single" w:color="000000" w:sz="4" w:space="0"/>
                    <w:right w:val="single" w:color="000000" w:sz="4" w:space="0"/>
                  </w:tcBorders>
                  <w:vAlign w:val="center"/>
                </w:tcPr>
                <w:p w14:paraId="7973776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lang w:eastAsia="zh-CN"/>
                    </w:rPr>
                    <w:t>箱式</w:t>
                  </w:r>
                  <w:r>
                    <w:rPr>
                      <w:rFonts w:hint="eastAsia"/>
                      <w:bCs/>
                      <w:color w:val="auto"/>
                      <w:szCs w:val="21"/>
                      <w:highlight w:val="none"/>
                      <w:shd w:val="clear" w:color="auto" w:fill="auto"/>
                    </w:rPr>
                    <w:t>变压器内</w:t>
                  </w:r>
                </w:p>
              </w:tc>
              <w:tc>
                <w:tcPr>
                  <w:tcW w:w="1031" w:type="pct"/>
                  <w:tcBorders>
                    <w:top w:val="single" w:color="000000" w:sz="4" w:space="0"/>
                    <w:left w:val="single" w:color="000000" w:sz="4" w:space="0"/>
                    <w:bottom w:val="single" w:color="000000" w:sz="4" w:space="0"/>
                    <w:right w:val="single" w:color="000000" w:sz="4" w:space="0"/>
                  </w:tcBorders>
                  <w:vAlign w:val="center"/>
                </w:tcPr>
                <w:p w14:paraId="6D9A82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w:t>
                  </w:r>
                </w:p>
              </w:tc>
              <w:tc>
                <w:tcPr>
                  <w:tcW w:w="898" w:type="pct"/>
                  <w:tcBorders>
                    <w:top w:val="single" w:color="000000" w:sz="4" w:space="0"/>
                    <w:left w:val="single" w:color="000000" w:sz="4" w:space="0"/>
                    <w:bottom w:val="single" w:color="000000" w:sz="4" w:space="0"/>
                    <w:right w:val="single" w:color="000000" w:sz="4" w:space="0"/>
                  </w:tcBorders>
                  <w:vAlign w:val="center"/>
                </w:tcPr>
                <w:p w14:paraId="76C8F47D">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 w:val="21"/>
                      <w:szCs w:val="21"/>
                      <w:highlight w:val="none"/>
                      <w:shd w:val="clear" w:color="auto" w:fill="auto"/>
                      <w:lang w:val="en-US" w:eastAsia="zh-CN"/>
                    </w:rPr>
                    <w:t>39.84</w:t>
                  </w:r>
                </w:p>
              </w:tc>
              <w:tc>
                <w:tcPr>
                  <w:tcW w:w="638" w:type="pct"/>
                  <w:tcBorders>
                    <w:top w:val="single" w:color="000000" w:sz="4" w:space="0"/>
                    <w:left w:val="single" w:color="000000" w:sz="4" w:space="0"/>
                    <w:bottom w:val="single" w:color="000000" w:sz="4" w:space="0"/>
                    <w:right w:val="single" w:color="000000" w:sz="4" w:space="0"/>
                  </w:tcBorders>
                  <w:vAlign w:val="center"/>
                </w:tcPr>
                <w:p w14:paraId="0EDB0E1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rPr>
                  </w:pPr>
                  <w:r>
                    <w:rPr>
                      <w:rFonts w:hint="eastAsia"/>
                      <w:bCs/>
                      <w:color w:val="auto"/>
                      <w:szCs w:val="21"/>
                      <w:highlight w:val="none"/>
                      <w:shd w:val="clear" w:color="auto" w:fill="auto"/>
                    </w:rPr>
                    <w:t>2500</w:t>
                  </w:r>
                </w:p>
              </w:tc>
              <w:tc>
                <w:tcPr>
                  <w:tcW w:w="696" w:type="pct"/>
                  <w:tcBorders>
                    <w:top w:val="single" w:color="000000" w:sz="4" w:space="0"/>
                    <w:left w:val="single" w:color="000000" w:sz="4" w:space="0"/>
                    <w:bottom w:val="single" w:color="000000" w:sz="4" w:space="0"/>
                    <w:right w:val="single" w:color="000000" w:sz="4" w:space="0"/>
                  </w:tcBorders>
                  <w:vAlign w:val="center"/>
                </w:tcPr>
                <w:p w14:paraId="4488ED60">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eastAsia="宋体"/>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0.015936</w:t>
                  </w:r>
                </w:p>
              </w:tc>
            </w:tr>
            <w:tr w14:paraId="50749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4" w:type="dxa"/>
                  <w:bottom w:w="0" w:type="dxa"/>
                  <w:right w:w="34" w:type="dxa"/>
                </w:tblCellMar>
              </w:tblPrEx>
              <w:trPr>
                <w:jc w:val="center"/>
              </w:trPr>
              <w:tc>
                <w:tcPr>
                  <w:tcW w:w="960" w:type="pct"/>
                  <w:tcBorders>
                    <w:top w:val="single" w:color="000000" w:sz="4" w:space="0"/>
                    <w:left w:val="single" w:color="000000" w:sz="4" w:space="0"/>
                    <w:bottom w:val="single" w:color="000000" w:sz="4" w:space="0"/>
                    <w:right w:val="single" w:color="000000" w:sz="4" w:space="0"/>
                  </w:tcBorders>
                  <w:vAlign w:val="center"/>
                </w:tcPr>
                <w:p w14:paraId="6BAAA9CE">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default"/>
                      <w:bCs/>
                      <w:color w:val="auto"/>
                      <w:szCs w:val="21"/>
                      <w:highlight w:val="none"/>
                      <w:shd w:val="clear" w:color="auto" w:fill="auto"/>
                    </w:rPr>
                    <w:t>合计</w:t>
                  </w:r>
                </w:p>
              </w:tc>
              <w:tc>
                <w:tcPr>
                  <w:tcW w:w="3343" w:type="pct"/>
                  <w:gridSpan w:val="4"/>
                  <w:tcBorders>
                    <w:top w:val="single" w:color="000000" w:sz="4" w:space="0"/>
                    <w:left w:val="single" w:color="000000" w:sz="4" w:space="0"/>
                    <w:bottom w:val="single" w:color="000000" w:sz="4" w:space="0"/>
                    <w:right w:val="single" w:color="000000" w:sz="4" w:space="0"/>
                  </w:tcBorders>
                  <w:vAlign w:val="center"/>
                </w:tcPr>
                <w:p w14:paraId="22E36BE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bCs/>
                      <w:color w:val="auto"/>
                      <w:szCs w:val="21"/>
                      <w:highlight w:val="none"/>
                      <w:shd w:val="clear" w:color="auto" w:fill="auto"/>
                      <w:lang w:val="en-US" w:eastAsia="zh-CN"/>
                    </w:rPr>
                  </w:pP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r>
                    <w:rPr>
                      <w:rFonts w:hint="default"/>
                      <w:bCs/>
                      <w:color w:val="auto"/>
                      <w:szCs w:val="21"/>
                      <w:highlight w:val="none"/>
                      <w:shd w:val="clear" w:color="auto" w:fill="auto"/>
                    </w:rPr>
                    <w:t>/Q</w:t>
                  </w:r>
                  <w:r>
                    <w:rPr>
                      <w:rFonts w:hint="default"/>
                      <w:bCs/>
                      <w:color w:val="auto"/>
                      <w:szCs w:val="21"/>
                      <w:highlight w:val="none"/>
                      <w:shd w:val="clear" w:color="auto" w:fill="auto"/>
                      <w:vertAlign w:val="subscript"/>
                    </w:rPr>
                    <w:t>n</w:t>
                  </w:r>
                </w:p>
              </w:tc>
              <w:tc>
                <w:tcPr>
                  <w:tcW w:w="696" w:type="pct"/>
                  <w:tcBorders>
                    <w:top w:val="single" w:color="000000" w:sz="4" w:space="0"/>
                    <w:left w:val="single" w:color="000000" w:sz="4" w:space="0"/>
                    <w:bottom w:val="single" w:color="000000" w:sz="4" w:space="0"/>
                    <w:right w:val="single" w:color="000000" w:sz="4" w:space="0"/>
                  </w:tcBorders>
                  <w:vAlign w:val="center"/>
                </w:tcPr>
                <w:p w14:paraId="763F1F28">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bCs/>
                      <w:color w:val="auto"/>
                      <w:szCs w:val="21"/>
                      <w:highlight w:val="none"/>
                      <w:shd w:val="clear" w:color="auto" w:fill="auto"/>
                      <w:lang w:val="en-US" w:eastAsia="zh-CN"/>
                    </w:rPr>
                  </w:pPr>
                  <w:r>
                    <w:rPr>
                      <w:rFonts w:hint="eastAsia"/>
                      <w:bCs/>
                      <w:color w:val="auto"/>
                      <w:szCs w:val="21"/>
                      <w:highlight w:val="none"/>
                      <w:shd w:val="clear" w:color="auto" w:fill="auto"/>
                      <w:lang w:val="en-US" w:eastAsia="zh-CN"/>
                    </w:rPr>
                    <w:t>0.015936</w:t>
                  </w:r>
                </w:p>
              </w:tc>
            </w:tr>
          </w:tbl>
          <w:p w14:paraId="6046022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default"/>
                <w:bCs/>
                <w:color w:val="auto"/>
                <w:sz w:val="24"/>
                <w:highlight w:val="none"/>
                <w:shd w:val="clear" w:color="auto" w:fill="auto"/>
              </w:rPr>
              <w:t>环境风险评价工作等级划分为一级、二级、三级。根据建设项目涉及的物质及工艺系统危险性和所在地的环境敏感性确定环境风险潜势，按照下表确定评价工作等级。</w:t>
            </w:r>
          </w:p>
          <w:p w14:paraId="674D165E">
            <w:pPr>
              <w:keepNext w:val="0"/>
              <w:keepLines w:val="0"/>
              <w:suppressLineNumbers w:val="0"/>
              <w:shd w:val="clear"/>
              <w:adjustRightInd w:val="0"/>
              <w:snapToGrid w:val="0"/>
              <w:spacing w:before="0" w:beforeAutospacing="0" w:after="0" w:afterAutospacing="0"/>
              <w:ind w:left="0" w:right="0"/>
              <w:jc w:val="center"/>
              <w:rPr>
                <w:rFonts w:hint="default"/>
                <w:b/>
                <w:bCs/>
                <w:color w:val="auto"/>
                <w:szCs w:val="21"/>
                <w:highlight w:val="none"/>
                <w:shd w:val="clear" w:color="auto" w:fill="auto"/>
              </w:rPr>
            </w:pPr>
            <w:r>
              <w:rPr>
                <w:rFonts w:hint="eastAsia"/>
                <w:b/>
                <w:bCs/>
                <w:color w:val="auto"/>
                <w:szCs w:val="21"/>
                <w:highlight w:val="none"/>
                <w:shd w:val="clear" w:color="auto" w:fill="auto"/>
              </w:rPr>
              <w:t>表4-1</w:t>
            </w:r>
            <w:r>
              <w:rPr>
                <w:rFonts w:hint="eastAsia"/>
                <w:b/>
                <w:bCs/>
                <w:color w:val="auto"/>
                <w:szCs w:val="21"/>
                <w:highlight w:val="none"/>
                <w:shd w:val="clear" w:color="auto" w:fill="auto"/>
                <w:lang w:val="en-US" w:eastAsia="zh-CN"/>
              </w:rPr>
              <w:t xml:space="preserve">6 </w:t>
            </w:r>
            <w:r>
              <w:rPr>
                <w:rFonts w:hint="eastAsia"/>
                <w:b/>
                <w:bCs/>
                <w:color w:val="auto"/>
                <w:szCs w:val="21"/>
                <w:highlight w:val="none"/>
                <w:shd w:val="clear" w:color="auto" w:fill="auto"/>
              </w:rPr>
              <w:t xml:space="preserve"> </w:t>
            </w:r>
            <w:r>
              <w:rPr>
                <w:rFonts w:hint="default"/>
                <w:b/>
                <w:bCs/>
                <w:color w:val="auto"/>
                <w:szCs w:val="21"/>
                <w:highlight w:val="none"/>
                <w:shd w:val="clear" w:color="auto" w:fill="auto"/>
              </w:rPr>
              <w:t>评价工作等级划分</w:t>
            </w:r>
          </w:p>
          <w:tbl>
            <w:tblPr>
              <w:tblStyle w:val="4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5"/>
              <w:gridCol w:w="1585"/>
              <w:gridCol w:w="1585"/>
              <w:gridCol w:w="1588"/>
              <w:gridCol w:w="1588"/>
            </w:tblGrid>
            <w:tr w14:paraId="609D8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58F260C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环境风险潜势</w:t>
                  </w:r>
                </w:p>
              </w:tc>
              <w:tc>
                <w:tcPr>
                  <w:tcW w:w="999" w:type="pct"/>
                  <w:tcBorders>
                    <w:top w:val="single" w:color="000000" w:sz="4" w:space="0"/>
                    <w:left w:val="single" w:color="000000" w:sz="4" w:space="0"/>
                    <w:bottom w:val="single" w:color="000000" w:sz="4" w:space="0"/>
                    <w:right w:val="single" w:color="000000" w:sz="4" w:space="0"/>
                  </w:tcBorders>
                  <w:vAlign w:val="center"/>
                </w:tcPr>
                <w:p w14:paraId="4318DB3B">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Ⅳ、Ⅳ</w:t>
                  </w:r>
                  <w:r>
                    <w:rPr>
                      <w:rFonts w:hint="default"/>
                      <w:bCs/>
                      <w:color w:val="auto"/>
                      <w:szCs w:val="21"/>
                      <w:highlight w:val="none"/>
                      <w:shd w:val="clear" w:color="auto" w:fill="auto"/>
                      <w:vertAlign w:val="superscript"/>
                    </w:rPr>
                    <w:t>+</w:t>
                  </w:r>
                </w:p>
              </w:tc>
              <w:tc>
                <w:tcPr>
                  <w:tcW w:w="999" w:type="pct"/>
                  <w:tcBorders>
                    <w:top w:val="single" w:color="000000" w:sz="4" w:space="0"/>
                    <w:left w:val="single" w:color="000000" w:sz="4" w:space="0"/>
                    <w:bottom w:val="single" w:color="000000" w:sz="4" w:space="0"/>
                    <w:right w:val="single" w:color="000000" w:sz="4" w:space="0"/>
                  </w:tcBorders>
                  <w:vAlign w:val="center"/>
                </w:tcPr>
                <w:p w14:paraId="26AEE85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Ⅲ</w:t>
                  </w:r>
                </w:p>
              </w:tc>
              <w:tc>
                <w:tcPr>
                  <w:tcW w:w="1001" w:type="pct"/>
                  <w:tcBorders>
                    <w:top w:val="single" w:color="000000" w:sz="4" w:space="0"/>
                    <w:left w:val="single" w:color="000000" w:sz="4" w:space="0"/>
                    <w:bottom w:val="single" w:color="000000" w:sz="4" w:space="0"/>
                    <w:right w:val="single" w:color="000000" w:sz="4" w:space="0"/>
                  </w:tcBorders>
                  <w:vAlign w:val="center"/>
                </w:tcPr>
                <w:p w14:paraId="5B16F5E9">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Ⅱ</w:t>
                  </w:r>
                </w:p>
              </w:tc>
              <w:tc>
                <w:tcPr>
                  <w:tcW w:w="1001" w:type="pct"/>
                  <w:tcBorders>
                    <w:top w:val="single" w:color="000000" w:sz="4" w:space="0"/>
                    <w:left w:val="single" w:color="000000" w:sz="4" w:space="0"/>
                    <w:bottom w:val="single" w:color="000000" w:sz="4" w:space="0"/>
                    <w:right w:val="single" w:color="000000" w:sz="4" w:space="0"/>
                  </w:tcBorders>
                  <w:vAlign w:val="center"/>
                </w:tcPr>
                <w:p w14:paraId="3EDC6F02">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Ⅰ</w:t>
                  </w:r>
                </w:p>
              </w:tc>
            </w:tr>
            <w:tr w14:paraId="1481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tcBorders>
                    <w:top w:val="single" w:color="000000" w:sz="4" w:space="0"/>
                    <w:left w:val="single" w:color="000000" w:sz="4" w:space="0"/>
                    <w:bottom w:val="single" w:color="000000" w:sz="4" w:space="0"/>
                    <w:right w:val="single" w:color="000000" w:sz="4" w:space="0"/>
                  </w:tcBorders>
                  <w:vAlign w:val="center"/>
                </w:tcPr>
                <w:p w14:paraId="07747D6A">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
                      <w:color w:val="auto"/>
                      <w:szCs w:val="21"/>
                      <w:highlight w:val="none"/>
                      <w:shd w:val="clear" w:color="auto" w:fill="auto"/>
                    </w:rPr>
                  </w:pPr>
                  <w:r>
                    <w:rPr>
                      <w:rFonts w:hint="default"/>
                      <w:b/>
                      <w:color w:val="auto"/>
                      <w:szCs w:val="21"/>
                      <w:highlight w:val="none"/>
                      <w:shd w:val="clear" w:color="auto" w:fill="auto"/>
                    </w:rPr>
                    <w:t>评价工作等级</w:t>
                  </w:r>
                </w:p>
              </w:tc>
              <w:tc>
                <w:tcPr>
                  <w:tcW w:w="999" w:type="pct"/>
                  <w:tcBorders>
                    <w:top w:val="single" w:color="000000" w:sz="4" w:space="0"/>
                    <w:left w:val="single" w:color="000000" w:sz="4" w:space="0"/>
                    <w:bottom w:val="single" w:color="000000" w:sz="4" w:space="0"/>
                    <w:right w:val="single" w:color="000000" w:sz="4" w:space="0"/>
                  </w:tcBorders>
                  <w:vAlign w:val="center"/>
                </w:tcPr>
                <w:p w14:paraId="0332163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一</w:t>
                  </w:r>
                </w:p>
              </w:tc>
              <w:tc>
                <w:tcPr>
                  <w:tcW w:w="999" w:type="pct"/>
                  <w:tcBorders>
                    <w:top w:val="single" w:color="000000" w:sz="4" w:space="0"/>
                    <w:left w:val="single" w:color="000000" w:sz="4" w:space="0"/>
                    <w:bottom w:val="single" w:color="000000" w:sz="4" w:space="0"/>
                    <w:right w:val="single" w:color="000000" w:sz="4" w:space="0"/>
                  </w:tcBorders>
                  <w:vAlign w:val="center"/>
                </w:tcPr>
                <w:p w14:paraId="3E1558B5">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二</w:t>
                  </w:r>
                </w:p>
              </w:tc>
              <w:tc>
                <w:tcPr>
                  <w:tcW w:w="1001" w:type="pct"/>
                  <w:tcBorders>
                    <w:top w:val="single" w:color="000000" w:sz="4" w:space="0"/>
                    <w:left w:val="single" w:color="000000" w:sz="4" w:space="0"/>
                    <w:bottom w:val="single" w:color="000000" w:sz="4" w:space="0"/>
                    <w:right w:val="single" w:color="000000" w:sz="4" w:space="0"/>
                  </w:tcBorders>
                  <w:vAlign w:val="center"/>
                </w:tcPr>
                <w:p w14:paraId="4FB48964">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三</w:t>
                  </w:r>
                </w:p>
              </w:tc>
              <w:tc>
                <w:tcPr>
                  <w:tcW w:w="1001" w:type="pct"/>
                  <w:tcBorders>
                    <w:top w:val="single" w:color="000000" w:sz="4" w:space="0"/>
                    <w:left w:val="single" w:color="000000" w:sz="4" w:space="0"/>
                    <w:bottom w:val="single" w:color="000000" w:sz="4" w:space="0"/>
                    <w:right w:val="single" w:color="000000" w:sz="4" w:space="0"/>
                  </w:tcBorders>
                  <w:vAlign w:val="center"/>
                </w:tcPr>
                <w:p w14:paraId="3EF9D446">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40" w:lineRule="exact"/>
                    <w:ind w:left="0" w:right="0"/>
                    <w:jc w:val="center"/>
                    <w:textAlignment w:val="auto"/>
                    <w:rPr>
                      <w:rFonts w:hint="default"/>
                      <w:bCs/>
                      <w:color w:val="auto"/>
                      <w:szCs w:val="21"/>
                      <w:highlight w:val="none"/>
                      <w:shd w:val="clear" w:color="auto" w:fill="auto"/>
                    </w:rPr>
                  </w:pPr>
                  <w:r>
                    <w:rPr>
                      <w:rFonts w:hint="default"/>
                      <w:bCs/>
                      <w:color w:val="auto"/>
                      <w:szCs w:val="21"/>
                      <w:highlight w:val="none"/>
                      <w:shd w:val="clear" w:color="auto" w:fill="auto"/>
                    </w:rPr>
                    <w:t>简单分析</w:t>
                  </w:r>
                </w:p>
              </w:tc>
            </w:tr>
          </w:tbl>
          <w:p w14:paraId="157272F0">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由上表可知，本项目危险物质与临界量的比值</w:t>
            </w:r>
            <w:r>
              <w:rPr>
                <w:rFonts w:hint="default"/>
                <w:bCs/>
                <w:color w:val="auto"/>
                <w:sz w:val="24"/>
                <w:highlight w:val="none"/>
                <w:shd w:val="clear" w:color="auto" w:fill="auto"/>
              </w:rPr>
              <w:t>Q</w:t>
            </w:r>
            <w:r>
              <w:rPr>
                <w:rFonts w:hint="eastAsia"/>
                <w:bCs/>
                <w:color w:val="auto"/>
                <w:sz w:val="24"/>
                <w:highlight w:val="none"/>
                <w:shd w:val="clear" w:color="auto" w:fill="auto"/>
              </w:rPr>
              <w:t>为</w:t>
            </w:r>
            <w:r>
              <w:rPr>
                <w:rFonts w:hint="eastAsia"/>
                <w:bCs/>
                <w:color w:val="auto"/>
                <w:sz w:val="24"/>
                <w:szCs w:val="24"/>
                <w:highlight w:val="none"/>
                <w:shd w:val="clear" w:color="auto" w:fill="auto"/>
                <w:lang w:val="en-US" w:eastAsia="zh-CN"/>
              </w:rPr>
              <w:t>0.015936</w:t>
            </w:r>
            <w:r>
              <w:rPr>
                <w:rFonts w:hint="eastAsia"/>
                <w:bCs/>
                <w:color w:val="auto"/>
                <w:sz w:val="24"/>
                <w:szCs w:val="24"/>
                <w:highlight w:val="none"/>
                <w:shd w:val="clear" w:color="auto" w:fill="auto"/>
              </w:rPr>
              <w:t>，</w:t>
            </w:r>
            <w:r>
              <w:rPr>
                <w:rFonts w:hint="default"/>
                <w:bCs/>
                <w:color w:val="auto"/>
                <w:sz w:val="24"/>
                <w:szCs w:val="24"/>
                <w:highlight w:val="none"/>
                <w:shd w:val="clear" w:color="auto" w:fill="auto"/>
              </w:rPr>
              <w:t>Q</w:t>
            </w:r>
            <w:r>
              <w:rPr>
                <w:rFonts w:hint="eastAsia"/>
                <w:bCs/>
                <w:color w:val="auto"/>
                <w:sz w:val="24"/>
                <w:szCs w:val="24"/>
                <w:highlight w:val="none"/>
                <w:shd w:val="clear" w:color="auto" w:fill="auto"/>
              </w:rPr>
              <w:t>＜</w:t>
            </w:r>
            <w:r>
              <w:rPr>
                <w:rFonts w:hint="default"/>
                <w:bCs/>
                <w:color w:val="auto"/>
                <w:sz w:val="24"/>
                <w:highlight w:val="none"/>
                <w:shd w:val="clear" w:color="auto" w:fill="auto"/>
              </w:rPr>
              <w:t>1</w:t>
            </w:r>
            <w:r>
              <w:rPr>
                <w:rFonts w:hint="eastAsia"/>
                <w:bCs/>
                <w:color w:val="auto"/>
                <w:sz w:val="24"/>
                <w:highlight w:val="none"/>
                <w:shd w:val="clear" w:color="auto" w:fill="auto"/>
              </w:rPr>
              <w:t>，确定本项目环境风险潜势为Ⅰ，环境风险评价工作等级为简单分析。</w:t>
            </w:r>
          </w:p>
          <w:p w14:paraId="5BEE2235">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4</w:t>
            </w:r>
            <w:r>
              <w:rPr>
                <w:rStyle w:val="104"/>
                <w:rFonts w:hint="eastAsia"/>
                <w:b/>
                <w:bCs/>
                <w:color w:val="auto"/>
                <w:highlight w:val="none"/>
                <w:shd w:val="clear" w:color="auto" w:fill="auto"/>
              </w:rPr>
              <w:t>）</w:t>
            </w:r>
            <w:r>
              <w:rPr>
                <w:rStyle w:val="104"/>
                <w:rFonts w:hint="eastAsia" w:ascii="Times New Roman" w:hAnsi="Times New Roman"/>
                <w:b/>
                <w:bCs/>
                <w:color w:val="auto"/>
                <w:highlight w:val="none"/>
                <w:shd w:val="clear" w:color="auto" w:fill="auto"/>
              </w:rPr>
              <w:t>环境风险识别</w:t>
            </w:r>
          </w:p>
          <w:p w14:paraId="4EDE6498">
            <w:pPr>
              <w:keepNext w:val="0"/>
              <w:keepLines w:val="0"/>
              <w:suppressLineNumbers w:val="0"/>
              <w:shd w:val="clear"/>
              <w:adjustRightInd w:val="0"/>
              <w:snapToGrid w:val="0"/>
              <w:spacing w:before="0" w:beforeAutospacing="0" w:after="0" w:afterAutospacing="0" w:line="360" w:lineRule="auto"/>
              <w:ind w:left="0" w:right="0" w:firstLine="480"/>
              <w:rPr>
                <w:rFonts w:hint="default"/>
                <w:bCs/>
                <w:color w:val="auto"/>
                <w:sz w:val="24"/>
                <w:highlight w:val="none"/>
                <w:shd w:val="clear" w:color="auto" w:fill="auto"/>
              </w:rPr>
            </w:pPr>
            <w:r>
              <w:rPr>
                <w:rFonts w:hint="eastAsia"/>
                <w:bCs/>
                <w:color w:val="auto"/>
                <w:sz w:val="24"/>
                <w:highlight w:val="none"/>
                <w:shd w:val="clear" w:color="auto" w:fill="auto"/>
              </w:rPr>
              <w:t>根据项目涉及的主要危险物质的识别，可能产生的环境风险类型有变压器油在使用过程中若操作不当造成物质泄漏</w:t>
            </w:r>
            <w:r>
              <w:rPr>
                <w:rFonts w:hint="default" w:ascii="Times New Roman" w:hAnsi="Times New Roman" w:eastAsia="宋体" w:cs="Times New Roman"/>
                <w:color w:val="auto"/>
                <w:sz w:val="24"/>
                <w:szCs w:val="24"/>
                <w:highlight w:val="none"/>
                <w:lang w:val="zh-CN"/>
              </w:rPr>
              <w:t>和危险废物暂存间泄漏</w:t>
            </w:r>
            <w:r>
              <w:rPr>
                <w:rFonts w:hint="eastAsia" w:ascii="Times New Roman" w:hAnsi="Times New Roman" w:eastAsia="宋体" w:cs="Times New Roman"/>
                <w:color w:val="auto"/>
                <w:sz w:val="24"/>
                <w:szCs w:val="24"/>
                <w:highlight w:val="none"/>
                <w:lang w:val="zh-CN"/>
              </w:rPr>
              <w:t>，</w:t>
            </w:r>
            <w:r>
              <w:rPr>
                <w:rFonts w:hint="eastAsia"/>
                <w:bCs/>
                <w:color w:val="auto"/>
                <w:sz w:val="24"/>
                <w:highlight w:val="none"/>
                <w:shd w:val="clear" w:color="auto" w:fill="auto"/>
              </w:rPr>
              <w:t>泄漏后遇火源或在高温（高于闪点）等特殊情况下，将引发火灾爆炸风险。项目发生上述环境风险事故后危险物质可能向环境转移的途径、可能影响的环境敏感目标情况详见下表。</w:t>
            </w:r>
          </w:p>
          <w:p w14:paraId="7509192C">
            <w:pPr>
              <w:keepNext w:val="0"/>
              <w:keepLines w:val="0"/>
              <w:suppressLineNumbers w:val="0"/>
              <w:shd w:val="clear"/>
              <w:adjustRightInd w:val="0"/>
              <w:snapToGrid w:val="0"/>
              <w:spacing w:before="0" w:beforeAutospacing="0" w:after="0" w:afterAutospacing="0"/>
              <w:ind w:left="0" w:right="0"/>
              <w:jc w:val="center"/>
              <w:rPr>
                <w:rStyle w:val="104"/>
                <w:rFonts w:hint="default" w:cs="宋体"/>
                <w:color w:val="auto"/>
                <w:highlight w:val="none"/>
                <w:shd w:val="clear" w:color="auto" w:fill="auto"/>
              </w:rPr>
            </w:pPr>
            <w:r>
              <w:rPr>
                <w:rFonts w:hint="eastAsia"/>
                <w:b/>
                <w:color w:val="auto"/>
                <w:szCs w:val="21"/>
                <w:highlight w:val="none"/>
                <w:shd w:val="clear" w:color="auto" w:fill="auto"/>
              </w:rPr>
              <w:t>表</w:t>
            </w:r>
            <w:r>
              <w:rPr>
                <w:rFonts w:hint="default"/>
                <w:b/>
                <w:color w:val="auto"/>
                <w:szCs w:val="21"/>
                <w:highlight w:val="none"/>
                <w:shd w:val="clear" w:color="auto" w:fill="auto"/>
              </w:rPr>
              <w:t>4-1</w:t>
            </w:r>
            <w:r>
              <w:rPr>
                <w:rFonts w:hint="eastAsia"/>
                <w:b/>
                <w:color w:val="auto"/>
                <w:szCs w:val="21"/>
                <w:highlight w:val="none"/>
                <w:shd w:val="clear" w:color="auto" w:fill="auto"/>
                <w:lang w:val="en-US" w:eastAsia="zh-CN"/>
              </w:rPr>
              <w:t>7</w:t>
            </w:r>
            <w:r>
              <w:rPr>
                <w:rFonts w:hint="default"/>
                <w:b/>
                <w:color w:val="auto"/>
                <w:szCs w:val="21"/>
                <w:highlight w:val="none"/>
                <w:shd w:val="clear" w:color="auto" w:fill="auto"/>
              </w:rPr>
              <w:t xml:space="preserve"> </w:t>
            </w:r>
            <w:r>
              <w:rPr>
                <w:rFonts w:hint="eastAsia"/>
                <w:b/>
                <w:color w:val="auto"/>
                <w:szCs w:val="21"/>
                <w:highlight w:val="none"/>
                <w:shd w:val="clear" w:color="auto" w:fill="auto"/>
              </w:rPr>
              <w:t xml:space="preserve"> 项目危险物质向环境转移途径识别表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92"/>
              <w:gridCol w:w="852"/>
              <w:gridCol w:w="4224"/>
              <w:gridCol w:w="1376"/>
            </w:tblGrid>
            <w:tr w14:paraId="5ED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0F90A47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序号</w:t>
                  </w:r>
                </w:p>
              </w:tc>
              <w:tc>
                <w:tcPr>
                  <w:tcW w:w="562" w:type="pct"/>
                  <w:vAlign w:val="center"/>
                </w:tcPr>
                <w:p w14:paraId="1A6B5AED">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危险物质</w:t>
                  </w:r>
                </w:p>
              </w:tc>
              <w:tc>
                <w:tcPr>
                  <w:tcW w:w="537" w:type="pct"/>
                  <w:vAlign w:val="center"/>
                </w:tcPr>
                <w:p w14:paraId="32158F26">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b/>
                      <w:bCs/>
                      <w:color w:val="auto"/>
                      <w:sz w:val="21"/>
                      <w:szCs w:val="21"/>
                      <w:highlight w:val="none"/>
                      <w:shd w:val="clear" w:color="auto" w:fill="auto"/>
                    </w:rPr>
                    <w:t>环境风险类型</w:t>
                  </w:r>
                </w:p>
              </w:tc>
              <w:tc>
                <w:tcPr>
                  <w:tcW w:w="2661" w:type="pct"/>
                  <w:vAlign w:val="center"/>
                </w:tcPr>
                <w:p w14:paraId="7DDA8673">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影响环境的途径</w:t>
                  </w:r>
                </w:p>
              </w:tc>
              <w:tc>
                <w:tcPr>
                  <w:tcW w:w="867" w:type="pct"/>
                  <w:vAlign w:val="center"/>
                </w:tcPr>
                <w:p w14:paraId="6EB618B7">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b/>
                      <w:bCs/>
                      <w:color w:val="auto"/>
                      <w:kern w:val="0"/>
                      <w:szCs w:val="21"/>
                      <w:highlight w:val="none"/>
                      <w:shd w:val="clear" w:color="auto" w:fill="auto"/>
                      <w:lang w:bidi="ar"/>
                    </w:rPr>
                    <w:t>可能影响的环境敏感目标</w:t>
                  </w:r>
                </w:p>
              </w:tc>
            </w:tr>
            <w:tr w14:paraId="5611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4B1CF097">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ascii="Times New Roman" w:hAnsi="Times New Roman"/>
                      <w:b/>
                      <w:bCs/>
                      <w:color w:val="auto"/>
                      <w:sz w:val="21"/>
                      <w:szCs w:val="21"/>
                      <w:highlight w:val="none"/>
                      <w:shd w:val="clear" w:color="auto" w:fill="auto"/>
                    </w:rPr>
                  </w:pPr>
                  <w:r>
                    <w:rPr>
                      <w:rStyle w:val="104"/>
                      <w:rFonts w:hint="default" w:ascii="Times New Roman" w:hAnsi="Times New Roman"/>
                      <w:color w:val="auto"/>
                      <w:sz w:val="21"/>
                      <w:szCs w:val="21"/>
                      <w:highlight w:val="none"/>
                      <w:shd w:val="clear" w:color="auto" w:fill="auto"/>
                    </w:rPr>
                    <w:t>1</w:t>
                  </w:r>
                </w:p>
              </w:tc>
              <w:tc>
                <w:tcPr>
                  <w:tcW w:w="562" w:type="pct"/>
                  <w:vAlign w:val="center"/>
                </w:tcPr>
                <w:p w14:paraId="40229D6C">
                  <w:pPr>
                    <w:keepNext w:val="0"/>
                    <w:keepLines w:val="0"/>
                    <w:widowControl/>
                    <w:suppressLineNumbers w:val="0"/>
                    <w:shd w:val="clear"/>
                    <w:spacing w:before="0" w:beforeAutospacing="0" w:after="0" w:afterAutospacing="0" w:line="240" w:lineRule="exact"/>
                    <w:ind w:left="0" w:right="0"/>
                    <w:jc w:val="center"/>
                    <w:rPr>
                      <w:rStyle w:val="104"/>
                      <w:rFonts w:hint="eastAsia" w:eastAsia="宋体"/>
                      <w:b/>
                      <w:bCs/>
                      <w:color w:val="auto"/>
                      <w:sz w:val="21"/>
                      <w:szCs w:val="21"/>
                      <w:highlight w:val="none"/>
                      <w:shd w:val="clear" w:color="auto" w:fill="auto"/>
                      <w:lang w:val="en-US" w:eastAsia="zh-CN"/>
                    </w:rPr>
                  </w:pPr>
                  <w:r>
                    <w:rPr>
                      <w:rFonts w:hint="eastAsia" w:ascii="宋体" w:hAnsi="宋体" w:cs="宋体"/>
                      <w:color w:val="auto"/>
                      <w:kern w:val="0"/>
                      <w:szCs w:val="21"/>
                      <w:highlight w:val="none"/>
                      <w:shd w:val="clear" w:color="auto" w:fill="auto"/>
                      <w:lang w:bidi="ar"/>
                    </w:rPr>
                    <w:t>变压器油、</w:t>
                  </w:r>
                  <w:r>
                    <w:rPr>
                      <w:rFonts w:hint="eastAsia"/>
                      <w:bCs/>
                      <w:color w:val="auto"/>
                      <w:szCs w:val="21"/>
                      <w:highlight w:val="none"/>
                      <w:shd w:val="clear" w:color="auto" w:fill="auto"/>
                    </w:rPr>
                    <w:t>废变压器油（</w:t>
                  </w:r>
                  <w:r>
                    <w:rPr>
                      <w:rFonts w:hint="eastAsia"/>
                      <w:bCs/>
                      <w:color w:val="auto"/>
                      <w:szCs w:val="21"/>
                      <w:highlight w:val="none"/>
                      <w:shd w:val="clear" w:color="auto" w:fill="auto"/>
                      <w:lang w:val="en-US" w:eastAsia="zh-CN"/>
                    </w:rPr>
                    <w:t>单次维修废油</w:t>
                  </w:r>
                  <w:r>
                    <w:rPr>
                      <w:rFonts w:hint="eastAsia"/>
                      <w:bCs/>
                      <w:color w:val="auto"/>
                      <w:szCs w:val="21"/>
                      <w:highlight w:val="none"/>
                      <w:shd w:val="clear" w:color="auto" w:fill="auto"/>
                    </w:rPr>
                    <w:t>）</w:t>
                  </w:r>
                  <w:r>
                    <w:rPr>
                      <w:rFonts w:hint="eastAsia"/>
                      <w:bCs/>
                      <w:color w:val="auto"/>
                      <w:szCs w:val="21"/>
                      <w:highlight w:val="none"/>
                      <w:shd w:val="clear" w:color="auto" w:fill="auto"/>
                      <w:lang w:eastAsia="zh-CN"/>
                    </w:rPr>
                    <w:t>、</w:t>
                  </w:r>
                  <w:r>
                    <w:rPr>
                      <w:rFonts w:hint="eastAsia"/>
                      <w:bCs/>
                      <w:color w:val="auto"/>
                      <w:szCs w:val="21"/>
                      <w:highlight w:val="none"/>
                      <w:shd w:val="clear" w:color="auto" w:fill="auto"/>
                      <w:lang w:val="en-US" w:eastAsia="zh-CN"/>
                    </w:rPr>
                    <w:t>事故废油</w:t>
                  </w:r>
                </w:p>
              </w:tc>
              <w:tc>
                <w:tcPr>
                  <w:tcW w:w="537" w:type="pct"/>
                  <w:vAlign w:val="center"/>
                </w:tcPr>
                <w:p w14:paraId="00390BAE">
                  <w:pPr>
                    <w:keepNext w:val="0"/>
                    <w:keepLines w:val="0"/>
                    <w:suppressLineNumbers w:val="0"/>
                    <w:shd w:val="clear"/>
                    <w:adjustRightInd w:val="0"/>
                    <w:snapToGrid w:val="0"/>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Style w:val="104"/>
                      <w:rFonts w:hint="eastAsia"/>
                      <w:color w:val="auto"/>
                      <w:sz w:val="21"/>
                      <w:szCs w:val="21"/>
                      <w:highlight w:val="none"/>
                      <w:shd w:val="clear" w:color="auto" w:fill="auto"/>
                    </w:rPr>
                    <w:t>泄漏</w:t>
                  </w:r>
                </w:p>
              </w:tc>
              <w:tc>
                <w:tcPr>
                  <w:tcW w:w="2661" w:type="pct"/>
                  <w:vAlign w:val="center"/>
                </w:tcPr>
                <w:p w14:paraId="45E1C686">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①泄漏后可能通过雨水沟进入附近水体，造成水环境污染事故。</w:t>
                  </w:r>
                </w:p>
                <w:p w14:paraId="6445E234">
                  <w:pPr>
                    <w:keepNext w:val="0"/>
                    <w:keepLines w:val="0"/>
                    <w:widowControl/>
                    <w:suppressLineNumbers w:val="0"/>
                    <w:shd w:val="clear"/>
                    <w:spacing w:before="0" w:beforeAutospacing="0" w:after="0" w:afterAutospacing="0" w:line="240" w:lineRule="exact"/>
                    <w:ind w:left="0" w:right="0"/>
                    <w:jc w:val="left"/>
                    <w:rPr>
                      <w:rFonts w:hint="default"/>
                      <w:color w:val="auto"/>
                      <w:szCs w:val="21"/>
                      <w:highlight w:val="none"/>
                      <w:shd w:val="clear" w:color="auto" w:fill="auto"/>
                    </w:rPr>
                  </w:pPr>
                  <w:r>
                    <w:rPr>
                      <w:rFonts w:hint="eastAsia" w:ascii="宋体" w:hAnsi="宋体" w:cs="宋体"/>
                      <w:color w:val="auto"/>
                      <w:kern w:val="0"/>
                      <w:szCs w:val="21"/>
                      <w:highlight w:val="none"/>
                      <w:shd w:val="clear" w:color="auto" w:fill="auto"/>
                      <w:lang w:bidi="ar"/>
                    </w:rPr>
                    <w:t>②泄漏后可能通过下渗进入地下水，造成地下水污染事故。</w:t>
                  </w:r>
                </w:p>
                <w:p w14:paraId="08C1A18F">
                  <w:pPr>
                    <w:keepNext w:val="0"/>
                    <w:keepLines w:val="0"/>
                    <w:widowControl/>
                    <w:suppressLineNumbers w:val="0"/>
                    <w:shd w:val="clear"/>
                    <w:spacing w:before="0" w:beforeAutospacing="0" w:after="0" w:afterAutospacing="0" w:line="240" w:lineRule="exact"/>
                    <w:ind w:left="0" w:right="0"/>
                    <w:jc w:val="left"/>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③泄漏后，发生火灾、爆炸所产生的液体挥发形成的蒸汽，以及次生污染物，将对周边大气产生环境污染。</w:t>
                  </w:r>
                </w:p>
              </w:tc>
              <w:tc>
                <w:tcPr>
                  <w:tcW w:w="867" w:type="pct"/>
                  <w:vAlign w:val="center"/>
                </w:tcPr>
                <w:p w14:paraId="1BE26AD6">
                  <w:pPr>
                    <w:keepNext w:val="0"/>
                    <w:keepLines w:val="0"/>
                    <w:widowControl/>
                    <w:suppressLineNumbers w:val="0"/>
                    <w:shd w:val="clear"/>
                    <w:spacing w:before="0" w:beforeAutospacing="0" w:after="0" w:afterAutospacing="0" w:line="240" w:lineRule="exact"/>
                    <w:ind w:left="0" w:right="0"/>
                    <w:jc w:val="center"/>
                    <w:rPr>
                      <w:rStyle w:val="104"/>
                      <w:rFonts w:hint="default"/>
                      <w:b/>
                      <w:bCs/>
                      <w:color w:val="auto"/>
                      <w:sz w:val="21"/>
                      <w:szCs w:val="21"/>
                      <w:highlight w:val="none"/>
                      <w:shd w:val="clear" w:color="auto" w:fill="auto"/>
                    </w:rPr>
                  </w:pPr>
                  <w:r>
                    <w:rPr>
                      <w:rFonts w:hint="eastAsia" w:ascii="宋体" w:hAnsi="宋体" w:cs="宋体"/>
                      <w:color w:val="auto"/>
                      <w:kern w:val="0"/>
                      <w:szCs w:val="21"/>
                      <w:highlight w:val="none"/>
                      <w:shd w:val="clear" w:color="auto" w:fill="auto"/>
                      <w:lang w:bidi="ar"/>
                    </w:rPr>
                    <w:t>大气、地表水、地下水</w:t>
                  </w:r>
                </w:p>
              </w:tc>
            </w:tr>
          </w:tbl>
          <w:p w14:paraId="31FC3848">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b/>
                <w:bCs/>
                <w:color w:val="auto"/>
                <w:highlight w:val="none"/>
                <w:shd w:val="clear" w:color="auto" w:fill="auto"/>
              </w:rPr>
            </w:pPr>
            <w:r>
              <w:rPr>
                <w:rStyle w:val="104"/>
                <w:rFonts w:hint="default" w:ascii="Times New Roman" w:hAnsi="Times New Roman"/>
                <w:b/>
                <w:bCs/>
                <w:color w:val="auto"/>
                <w:highlight w:val="none"/>
                <w:shd w:val="clear" w:color="auto" w:fill="auto"/>
              </w:rPr>
              <w:t>5）环境风险分析</w:t>
            </w:r>
          </w:p>
          <w:p w14:paraId="2D2C7C10">
            <w:pPr>
              <w:keepNext w:val="0"/>
              <w:keepLines w:val="0"/>
              <w:suppressLineNumbers w:val="0"/>
              <w:adjustRightInd w:val="0"/>
              <w:snapToGrid w:val="0"/>
              <w:spacing w:before="0" w:beforeAutospacing="0" w:after="0" w:afterAutospacing="0" w:line="360" w:lineRule="auto"/>
              <w:ind w:left="0" w:right="0" w:firstLine="482"/>
              <w:rPr>
                <w:rStyle w:val="104"/>
                <w:rFonts w:hint="default" w:ascii="Times New Roman" w:hAnsi="Times New Roman"/>
                <w:color w:val="auto"/>
                <w:highlight w:val="none"/>
              </w:rPr>
            </w:pPr>
            <w:r>
              <w:rPr>
                <w:rStyle w:val="104"/>
                <w:rFonts w:hint="default" w:ascii="Times New Roman" w:hAnsi="Times New Roman"/>
                <w:color w:val="auto"/>
                <w:highlight w:val="none"/>
              </w:rPr>
              <w:t>①火灾、爆炸风险分析</w:t>
            </w:r>
          </w:p>
          <w:p w14:paraId="25EA773F">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bCs/>
                <w:color w:val="auto"/>
                <w:highlight w:val="none"/>
              </w:rPr>
            </w:pPr>
            <w:r>
              <w:rPr>
                <w:rStyle w:val="104"/>
                <w:rFonts w:hint="default" w:ascii="Times New Roman" w:hAnsi="Times New Roman"/>
                <w:bCs/>
                <w:color w:val="auto"/>
                <w:highlight w:val="none"/>
              </w:rPr>
              <w:t>变压器油在使用、储运过程中若操作不当或设</w:t>
            </w:r>
            <w:r>
              <w:rPr>
                <w:rStyle w:val="104"/>
                <w:rFonts w:hint="default" w:ascii="Times New Roman" w:hAnsi="Times New Roman" w:eastAsia="宋体" w:cs="Times New Roman"/>
                <w:bCs/>
                <w:color w:val="auto"/>
                <w:highlight w:val="none"/>
              </w:rPr>
              <w:t>备损坏造成物质泄漏，</w:t>
            </w:r>
            <w:r>
              <w:rPr>
                <w:rStyle w:val="104"/>
                <w:rFonts w:hint="eastAsia" w:ascii="Times New Roman" w:hAnsi="Times New Roman" w:eastAsia="宋体" w:cs="Times New Roman"/>
                <w:bCs/>
                <w:color w:val="auto"/>
                <w:highlight w:val="none"/>
                <w:lang w:val="en-US" w:eastAsia="zh-CN"/>
              </w:rPr>
              <w:t>单次维修废油和</w:t>
            </w:r>
            <w:r>
              <w:rPr>
                <w:rStyle w:val="104"/>
                <w:rFonts w:hint="default" w:ascii="Times New Roman" w:hAnsi="Times New Roman" w:eastAsia="宋体" w:cs="Times New Roman"/>
                <w:bCs/>
                <w:color w:val="auto"/>
                <w:highlight w:val="none"/>
              </w:rPr>
              <w:t>事故废油储运过程中发生泄漏，泄漏后遇</w:t>
            </w:r>
            <w:r>
              <w:rPr>
                <w:rStyle w:val="104"/>
                <w:rFonts w:hint="default" w:ascii="Times New Roman" w:hAnsi="Times New Roman"/>
                <w:bCs/>
                <w:color w:val="auto"/>
                <w:highlight w:val="none"/>
              </w:rPr>
              <w:t>火源或在高温（高于闪点）等特殊情况下，将引发火灾爆炸风</w:t>
            </w:r>
            <w:r>
              <w:rPr>
                <w:rStyle w:val="104"/>
                <w:rFonts w:hint="default" w:ascii="Times New Roman" w:hAnsi="Times New Roman" w:eastAsia="宋体" w:cs="Times New Roman"/>
                <w:bCs/>
                <w:color w:val="auto"/>
                <w:kern w:val="2"/>
                <w:highlight w:val="none"/>
              </w:rPr>
              <w:t>险，将对周边大气产生较为严重的环境污染。由于变压器油泄漏后可进入集油坑，暴露在空气中的量较小，通过加强巡检等措施后可以及时发生泄漏，切断泄漏源，并及时用油桶收容泄漏物，在采取以上应急措施后引起火灾爆炸的可能性较小。</w:t>
            </w:r>
          </w:p>
          <w:p w14:paraId="022744E6">
            <w:pPr>
              <w:keepNext w:val="0"/>
              <w:keepLines w:val="0"/>
              <w:widowControl/>
              <w:suppressLineNumbers w:val="0"/>
              <w:spacing w:before="0" w:beforeAutospacing="0" w:after="0" w:afterAutospacing="0" w:line="360" w:lineRule="auto"/>
              <w:ind w:left="0" w:right="0" w:firstLine="480" w:firstLineChars="200"/>
              <w:jc w:val="left"/>
              <w:rPr>
                <w:rStyle w:val="104"/>
                <w:rFonts w:hint="default" w:ascii="Times New Roman" w:hAnsi="Times New Roman"/>
                <w:bCs/>
                <w:color w:val="auto"/>
                <w:highlight w:val="none"/>
              </w:rPr>
            </w:pPr>
            <w:r>
              <w:rPr>
                <w:rStyle w:val="104"/>
                <w:rFonts w:hint="default" w:ascii="Times New Roman" w:hAnsi="Times New Roman"/>
                <w:bCs/>
                <w:color w:val="auto"/>
                <w:highlight w:val="none"/>
              </w:rPr>
              <w:t>建设单位需强化禁火区域安全管理，严禁烟火，将生产、储存装置区域列为禁火区，区内加强火源管理，严禁吸烟。在变压器附近，配置推车式泡沫灭火器及砂箱等灭火器材。建设单位应认真落实风险防范措施，大气环境风险可控，对周边环境影响较小。</w:t>
            </w:r>
          </w:p>
          <w:p w14:paraId="3BA44E3A">
            <w:pPr>
              <w:pStyle w:val="54"/>
              <w:keepNext w:val="0"/>
              <w:keepLines w:val="0"/>
              <w:suppressLineNumbers w:val="0"/>
              <w:spacing w:before="0" w:beforeAutospacing="0" w:after="0" w:afterAutospacing="0"/>
              <w:ind w:left="0" w:right="0" w:firstLine="480" w:firstLineChars="200"/>
              <w:jc w:val="both"/>
              <w:rPr>
                <w:rStyle w:val="104"/>
                <w:rFonts w:hint="default" w:ascii="Times New Roman" w:hAnsi="Times New Roman"/>
                <w:color w:val="auto"/>
                <w:highlight w:val="none"/>
              </w:rPr>
            </w:pPr>
            <w:r>
              <w:rPr>
                <w:rStyle w:val="104"/>
                <w:rFonts w:hint="default" w:ascii="Times New Roman" w:hAnsi="Times New Roman"/>
                <w:color w:val="auto"/>
                <w:highlight w:val="none"/>
              </w:rPr>
              <w:t>②泄漏环境风险分析</w:t>
            </w:r>
          </w:p>
          <w:p w14:paraId="185647E4">
            <w:pPr>
              <w:keepNext w:val="0"/>
              <w:keepLines w:val="0"/>
              <w:suppressLineNumbers w:val="0"/>
              <w:spacing w:before="0" w:beforeAutospacing="0" w:after="0" w:afterAutospacing="0" w:line="360" w:lineRule="auto"/>
              <w:ind w:left="0" w:right="0" w:firstLine="480" w:firstLineChars="200"/>
              <w:rPr>
                <w:rStyle w:val="104"/>
                <w:rFonts w:hint="default" w:ascii="Times New Roman" w:hAnsi="Times New Roman"/>
                <w:color w:val="auto"/>
                <w:sz w:val="24"/>
                <w:szCs w:val="24"/>
                <w:highlight w:val="none"/>
              </w:rPr>
            </w:pPr>
            <w:r>
              <w:rPr>
                <w:rStyle w:val="104"/>
                <w:rFonts w:hint="default" w:ascii="Times New Roman" w:hAnsi="Times New Roman"/>
                <w:bCs/>
                <w:color w:val="auto"/>
                <w:sz w:val="24"/>
                <w:szCs w:val="24"/>
                <w:highlight w:val="none"/>
              </w:rPr>
              <w:t>若因</w:t>
            </w:r>
            <w:r>
              <w:rPr>
                <w:rFonts w:hint="default"/>
                <w:color w:val="auto"/>
                <w:sz w:val="24"/>
                <w:szCs w:val="24"/>
                <w:highlight w:val="none"/>
              </w:rPr>
              <w:t>管理不当或设备损坏导致变压器油</w:t>
            </w:r>
            <w:r>
              <w:rPr>
                <w:rFonts w:hint="eastAsia"/>
                <w:color w:val="auto"/>
                <w:sz w:val="24"/>
                <w:szCs w:val="24"/>
                <w:highlight w:val="none"/>
                <w:lang w:eastAsia="zh-CN"/>
              </w:rPr>
              <w:t>、</w:t>
            </w:r>
            <w:r>
              <w:rPr>
                <w:rStyle w:val="104"/>
                <w:rFonts w:hint="eastAsia" w:ascii="Times New Roman" w:hAnsi="Times New Roman" w:eastAsia="宋体" w:cs="Times New Roman"/>
                <w:bCs/>
                <w:color w:val="auto"/>
                <w:sz w:val="24"/>
                <w:szCs w:val="24"/>
                <w:highlight w:val="none"/>
                <w:lang w:val="en-US" w:eastAsia="zh-CN"/>
              </w:rPr>
              <w:t>单次维修废油和</w:t>
            </w:r>
            <w:r>
              <w:rPr>
                <w:rStyle w:val="104"/>
                <w:rFonts w:hint="default" w:ascii="Times New Roman" w:hAnsi="Times New Roman" w:eastAsia="宋体" w:cs="Times New Roman"/>
                <w:bCs/>
                <w:color w:val="auto"/>
                <w:sz w:val="24"/>
                <w:szCs w:val="24"/>
                <w:highlight w:val="none"/>
              </w:rPr>
              <w:t>事故废油</w:t>
            </w:r>
            <w:r>
              <w:rPr>
                <w:rFonts w:hint="default"/>
                <w:color w:val="auto"/>
                <w:sz w:val="24"/>
                <w:szCs w:val="24"/>
                <w:highlight w:val="none"/>
              </w:rPr>
              <w:t>泄漏，可能对周边地表水、地下水、土壤造成污染。由于项目每个箱变配套设置1个</w:t>
            </w:r>
            <w:r>
              <w:rPr>
                <w:rFonts w:hint="eastAsia"/>
                <w:color w:val="auto"/>
                <w:sz w:val="24"/>
                <w:szCs w:val="24"/>
                <w:highlight w:val="none"/>
                <w:lang w:val="en-US" w:eastAsia="zh-CN"/>
              </w:rPr>
              <w:t>事故油池</w:t>
            </w:r>
            <w:r>
              <w:rPr>
                <w:rFonts w:hint="default"/>
                <w:color w:val="auto"/>
                <w:sz w:val="24"/>
                <w:szCs w:val="24"/>
                <w:highlight w:val="none"/>
              </w:rPr>
              <w:t>，若箱变发生泄漏，事故变压油将全部进入</w:t>
            </w:r>
            <w:r>
              <w:rPr>
                <w:rFonts w:hint="eastAsia"/>
                <w:color w:val="auto"/>
                <w:sz w:val="24"/>
                <w:szCs w:val="24"/>
                <w:highlight w:val="none"/>
                <w:lang w:val="en-US" w:eastAsia="zh-CN"/>
              </w:rPr>
              <w:t>事故油池</w:t>
            </w:r>
            <w:r>
              <w:rPr>
                <w:rFonts w:hint="default"/>
                <w:color w:val="auto"/>
                <w:sz w:val="24"/>
                <w:szCs w:val="24"/>
                <w:highlight w:val="none"/>
              </w:rPr>
              <w:t>，</w:t>
            </w:r>
            <w:r>
              <w:rPr>
                <w:rFonts w:hint="eastAsia"/>
                <w:color w:val="auto"/>
                <w:sz w:val="24"/>
                <w:szCs w:val="24"/>
                <w:highlight w:val="none"/>
                <w:lang w:val="en-US" w:eastAsia="zh-CN"/>
              </w:rPr>
              <w:t>事故油池</w:t>
            </w:r>
            <w:r>
              <w:rPr>
                <w:rFonts w:hint="default"/>
                <w:color w:val="auto"/>
                <w:sz w:val="24"/>
                <w:szCs w:val="24"/>
                <w:highlight w:val="none"/>
              </w:rPr>
              <w:t>设计阶段按要求采取重点防渗措施，经</w:t>
            </w:r>
            <w:r>
              <w:rPr>
                <w:rFonts w:hint="eastAsia"/>
                <w:color w:val="auto"/>
                <w:sz w:val="24"/>
                <w:szCs w:val="24"/>
                <w:highlight w:val="none"/>
                <w:lang w:val="en-US" w:eastAsia="zh-CN"/>
              </w:rPr>
              <w:t>事故油池</w:t>
            </w:r>
            <w:r>
              <w:rPr>
                <w:rFonts w:hint="default"/>
                <w:color w:val="auto"/>
                <w:sz w:val="24"/>
                <w:szCs w:val="24"/>
                <w:highlight w:val="none"/>
              </w:rPr>
              <w:t>收集的变压油最终交有资质的单位处理。</w:t>
            </w:r>
          </w:p>
          <w:p w14:paraId="6ECAF234">
            <w:pPr>
              <w:pStyle w:val="27"/>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rPr>
            </w:pPr>
            <w:r>
              <w:rPr>
                <w:rFonts w:hint="default"/>
                <w:color w:val="auto"/>
                <w:sz w:val="24"/>
                <w:szCs w:val="24"/>
                <w:highlight w:val="none"/>
              </w:rPr>
              <w:t>若</w:t>
            </w:r>
            <w:r>
              <w:rPr>
                <w:rFonts w:hint="eastAsia"/>
                <w:color w:val="auto"/>
                <w:sz w:val="24"/>
                <w:szCs w:val="24"/>
                <w:highlight w:val="none"/>
                <w:lang w:val="en-US" w:eastAsia="zh-CN"/>
              </w:rPr>
              <w:t>事故油池</w:t>
            </w:r>
            <w:r>
              <w:rPr>
                <w:rFonts w:hint="default"/>
                <w:color w:val="auto"/>
                <w:sz w:val="24"/>
                <w:szCs w:val="24"/>
                <w:highlight w:val="none"/>
              </w:rPr>
              <w:t>设置的防渗层破裂或失效，事故废油下渗后可能对地下水及土壤造成污染，导致泄漏主要原因为：衬垫材料不良或施工不当引起衬垫失效；基础不均匀沉降引起的衬垫破裂；人为破坏引起衬垫失效。项目在基建期根据环评要求及</w:t>
            </w:r>
            <w:r>
              <w:rPr>
                <w:rStyle w:val="104"/>
                <w:rFonts w:hint="default" w:ascii="Times New Roman" w:hAnsi="Times New Roman"/>
                <w:color w:val="auto"/>
                <w:sz w:val="24"/>
                <w:szCs w:val="24"/>
                <w:highlight w:val="none"/>
              </w:rPr>
              <w:t>设计规范的要求</w:t>
            </w:r>
            <w:r>
              <w:rPr>
                <w:rFonts w:hint="default"/>
                <w:color w:val="auto"/>
                <w:sz w:val="24"/>
                <w:szCs w:val="24"/>
                <w:highlight w:val="none"/>
              </w:rPr>
              <w:t>严格对</w:t>
            </w:r>
            <w:r>
              <w:rPr>
                <w:rFonts w:hint="eastAsia"/>
                <w:color w:val="auto"/>
                <w:sz w:val="24"/>
                <w:szCs w:val="24"/>
                <w:highlight w:val="none"/>
                <w:lang w:val="en-US" w:eastAsia="zh-CN"/>
              </w:rPr>
              <w:t>事故油池</w:t>
            </w:r>
            <w:r>
              <w:rPr>
                <w:rFonts w:hint="default"/>
                <w:color w:val="auto"/>
                <w:sz w:val="24"/>
                <w:szCs w:val="24"/>
                <w:highlight w:val="none"/>
              </w:rPr>
              <w:t>进行重点防渗处理，重点防渗技术要求为：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highlight w:val="none"/>
              </w:rPr>
              <w:t>，且提高工程质量。</w:t>
            </w:r>
          </w:p>
          <w:p w14:paraId="75D2F623">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Cs/>
                <w:color w:val="auto"/>
                <w:highlight w:val="none"/>
              </w:rPr>
            </w:pPr>
            <w:r>
              <w:rPr>
                <w:rStyle w:val="104"/>
                <w:rFonts w:hint="eastAsia" w:ascii="Times New Roman" w:hAnsi="Times New Roman"/>
                <w:color w:val="auto"/>
                <w:highlight w:val="none"/>
              </w:rPr>
              <w:t>依托的</w:t>
            </w:r>
            <w:r>
              <w:rPr>
                <w:rStyle w:val="104"/>
                <w:rFonts w:hint="eastAsia"/>
                <w:color w:val="auto"/>
                <w:highlight w:val="none"/>
                <w:lang w:val="en-US" w:eastAsia="zh-CN"/>
              </w:rPr>
              <w:t>竹园沟光伏发电项目</w:t>
            </w:r>
            <w:r>
              <w:rPr>
                <w:rStyle w:val="104"/>
                <w:rFonts w:hint="eastAsia" w:ascii="Times New Roman" w:hAnsi="Times New Roman"/>
                <w:color w:val="auto"/>
                <w:highlight w:val="none"/>
              </w:rPr>
              <w:t>升压站</w:t>
            </w:r>
            <w:r>
              <w:rPr>
                <w:rStyle w:val="104"/>
                <w:rFonts w:hint="default" w:ascii="Times New Roman" w:hAnsi="Times New Roman"/>
                <w:color w:val="auto"/>
                <w:highlight w:val="none"/>
              </w:rPr>
              <w:t>工作人员按时巡检，能够及时发现泄漏并作出处理</w:t>
            </w:r>
            <w:r>
              <w:rPr>
                <w:rFonts w:hint="default"/>
                <w:color w:val="auto"/>
                <w:sz w:val="24"/>
                <w:highlight w:val="none"/>
              </w:rPr>
              <w:t>，</w:t>
            </w:r>
            <w:r>
              <w:rPr>
                <w:rStyle w:val="104"/>
                <w:rFonts w:hint="default" w:ascii="Times New Roman" w:hAnsi="Times New Roman"/>
                <w:bCs/>
                <w:color w:val="auto"/>
                <w:highlight w:val="none"/>
              </w:rPr>
              <w:t>若事故废油确实发生了</w:t>
            </w:r>
            <w:r>
              <w:rPr>
                <w:rFonts w:hint="default"/>
                <w:color w:val="auto"/>
                <w:sz w:val="24"/>
                <w:highlight w:val="none"/>
              </w:rPr>
              <w:t>泄漏事故，及时切断泄漏源，封闭现场，采用</w:t>
            </w:r>
            <w:r>
              <w:rPr>
                <w:rStyle w:val="104"/>
                <w:rFonts w:hint="default" w:ascii="Times New Roman" w:hAnsi="Times New Roman"/>
                <w:bCs/>
                <w:color w:val="auto"/>
                <w:highlight w:val="none"/>
              </w:rPr>
              <w:t>合适的材料收容泄漏物</w:t>
            </w:r>
            <w:r>
              <w:rPr>
                <w:rFonts w:hint="default"/>
                <w:color w:val="auto"/>
                <w:sz w:val="24"/>
                <w:highlight w:val="none"/>
              </w:rPr>
              <w:t>。</w:t>
            </w:r>
            <w:r>
              <w:rPr>
                <w:rStyle w:val="104"/>
                <w:rFonts w:hint="default" w:ascii="Times New Roman" w:hAnsi="Times New Roman"/>
                <w:bCs/>
                <w:color w:val="auto"/>
                <w:highlight w:val="none"/>
              </w:rPr>
              <w:t>通过及时采取应急措施处理后</w:t>
            </w:r>
            <w:r>
              <w:rPr>
                <w:rFonts w:hint="default"/>
                <w:color w:val="auto"/>
                <w:sz w:val="24"/>
                <w:highlight w:val="none"/>
              </w:rPr>
              <w:t>事故废油漏液不易进入外环境，环境风险可控</w:t>
            </w:r>
            <w:r>
              <w:rPr>
                <w:rStyle w:val="104"/>
                <w:rFonts w:hint="default" w:ascii="Times New Roman" w:hAnsi="Times New Roman"/>
                <w:bCs/>
                <w:color w:val="auto"/>
                <w:highlight w:val="none"/>
              </w:rPr>
              <w:t>。</w:t>
            </w:r>
          </w:p>
          <w:p w14:paraId="1F778696">
            <w:pPr>
              <w:keepNext w:val="0"/>
              <w:keepLines w:val="0"/>
              <w:suppressLineNumbers w:val="0"/>
              <w:shd w:val="clear"/>
              <w:spacing w:before="0" w:beforeAutospacing="0" w:after="0" w:afterAutospacing="0" w:line="360" w:lineRule="auto"/>
              <w:ind w:left="0" w:right="0" w:firstLine="482"/>
              <w:rPr>
                <w:rStyle w:val="104"/>
                <w:rFonts w:hint="default" w:ascii="Times New Roman" w:hAnsi="Times New Roman"/>
                <w:b/>
                <w:color w:val="auto"/>
                <w:highlight w:val="none"/>
                <w:shd w:val="clear" w:color="auto" w:fill="auto"/>
              </w:rPr>
            </w:pPr>
            <w:r>
              <w:rPr>
                <w:rFonts w:hint="eastAsia"/>
                <w:b/>
                <w:color w:val="auto"/>
                <w:sz w:val="24"/>
                <w:highlight w:val="none"/>
                <w:shd w:val="clear" w:color="auto" w:fill="auto"/>
              </w:rPr>
              <w:t>6</w:t>
            </w:r>
            <w:r>
              <w:rPr>
                <w:rFonts w:hint="default"/>
                <w:b/>
                <w:color w:val="auto"/>
                <w:sz w:val="24"/>
                <w:highlight w:val="none"/>
                <w:shd w:val="clear" w:color="auto" w:fill="auto"/>
              </w:rPr>
              <w:t>）</w:t>
            </w:r>
            <w:r>
              <w:rPr>
                <w:rStyle w:val="104"/>
                <w:rFonts w:hint="default" w:ascii="Times New Roman" w:hAnsi="Times New Roman"/>
                <w:b/>
                <w:color w:val="auto"/>
                <w:highlight w:val="none"/>
                <w:shd w:val="clear" w:color="auto" w:fill="auto"/>
              </w:rPr>
              <w:t>环境风险防范措施及应急要求</w:t>
            </w:r>
          </w:p>
          <w:p w14:paraId="76003DCC">
            <w:pPr>
              <w:keepNext w:val="0"/>
              <w:keepLines w:val="0"/>
              <w:suppressLineNumbers w:val="0"/>
              <w:shd w:val="clear"/>
              <w:adjustRightInd w:val="0"/>
              <w:snapToGrid w:val="0"/>
              <w:spacing w:before="0" w:beforeAutospacing="0" w:after="0" w:afterAutospacing="0" w:line="360" w:lineRule="auto"/>
              <w:ind w:left="0" w:right="0" w:firstLine="482"/>
              <w:rPr>
                <w:rStyle w:val="104"/>
                <w:rFonts w:hint="default" w:ascii="Times New Roman" w:hAnsi="Times New Roman"/>
                <w:color w:val="auto"/>
                <w:highlight w:val="none"/>
                <w:shd w:val="clear" w:color="auto" w:fill="auto"/>
              </w:rPr>
            </w:pPr>
            <w:r>
              <w:rPr>
                <w:rStyle w:val="104"/>
                <w:rFonts w:hint="eastAsia" w:cs="宋体"/>
                <w:color w:val="auto"/>
                <w:highlight w:val="none"/>
                <w:shd w:val="clear" w:color="auto" w:fill="auto"/>
              </w:rPr>
              <w:t>①</w:t>
            </w:r>
            <w:r>
              <w:rPr>
                <w:rStyle w:val="104"/>
                <w:rFonts w:hint="default" w:ascii="Times New Roman" w:hAnsi="Times New Roman"/>
                <w:color w:val="auto"/>
                <w:highlight w:val="none"/>
                <w:shd w:val="clear" w:color="auto" w:fill="auto"/>
              </w:rPr>
              <w:t>防范措施</w:t>
            </w:r>
          </w:p>
          <w:p w14:paraId="2740EBFA">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rPr>
            </w:pPr>
            <w:r>
              <w:rPr>
                <w:rFonts w:hint="default"/>
                <w:color w:val="auto"/>
                <w:sz w:val="24"/>
                <w:szCs w:val="24"/>
                <w:highlight w:val="none"/>
                <w:shd w:val="clear" w:color="auto" w:fill="auto"/>
              </w:rPr>
              <w:t>A</w:t>
            </w:r>
            <w:r>
              <w:rPr>
                <w:rFonts w:hint="eastAsia"/>
                <w:color w:val="auto"/>
                <w:sz w:val="24"/>
                <w:szCs w:val="24"/>
                <w:highlight w:val="none"/>
                <w:shd w:val="clear" w:color="auto" w:fill="auto"/>
                <w:lang w:eastAsia="zh-CN"/>
              </w:rPr>
              <w:t>.</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16</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eastAsia"/>
                <w:color w:val="auto"/>
                <w:kern w:val="0"/>
                <w:sz w:val="24"/>
                <w:szCs w:val="24"/>
                <w:highlight w:val="none"/>
                <w:shd w:val="clear" w:color="auto" w:fill="auto"/>
              </w:rPr>
              <w:t>（</w:t>
            </w:r>
            <w:r>
              <w:rPr>
                <w:rFonts w:hint="eastAsia"/>
                <w:color w:val="auto"/>
                <w:kern w:val="0"/>
                <w:sz w:val="24"/>
                <w:highlight w:val="none"/>
              </w:rPr>
              <w:t>其中</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个</w:t>
            </w:r>
            <w:r>
              <w:rPr>
                <w:rFonts w:hint="default" w:ascii="Times New Roman" w:hAnsi="Times New Roman" w:eastAsia="宋体" w:cs="Times New Roman"/>
                <w:color w:val="auto"/>
                <w:sz w:val="24"/>
                <w:szCs w:val="24"/>
                <w:highlight w:val="none"/>
                <w:shd w:val="clear" w:color="auto" w:fill="auto"/>
              </w:rPr>
              <w:t>不低于</w:t>
            </w:r>
            <w:r>
              <w:rPr>
                <w:rFonts w:hint="eastAsia" w:cs="Times New Roman"/>
                <w:color w:val="auto"/>
                <w:sz w:val="24"/>
                <w:szCs w:val="24"/>
                <w:highlight w:val="none"/>
                <w:shd w:val="clear" w:color="auto" w:fill="auto"/>
                <w:lang w:val="en-US" w:eastAsia="zh-CN"/>
              </w:rPr>
              <w:t>2.4</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val="en-US" w:eastAsia="zh-CN"/>
              </w:rPr>
              <w:t>个</w:t>
            </w:r>
            <w:r>
              <w:rPr>
                <w:rFonts w:hint="default" w:ascii="Times New Roman" w:hAnsi="Times New Roman" w:eastAsia="宋体" w:cs="Times New Roman"/>
                <w:color w:val="auto"/>
                <w:sz w:val="24"/>
                <w:szCs w:val="24"/>
                <w:highlight w:val="none"/>
                <w:shd w:val="clear" w:color="auto" w:fill="auto"/>
              </w:rPr>
              <w:t>不低于</w:t>
            </w:r>
            <w:r>
              <w:rPr>
                <w:rFonts w:hint="eastAsia" w:cs="Times New Roman"/>
                <w:color w:val="auto"/>
                <w:sz w:val="24"/>
                <w:szCs w:val="24"/>
                <w:highlight w:val="none"/>
                <w:shd w:val="clear" w:color="auto" w:fill="auto"/>
                <w:lang w:val="en-US" w:eastAsia="zh-CN"/>
              </w:rPr>
              <w:t>2.85</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6</w:t>
            </w:r>
            <w:r>
              <w:rPr>
                <w:rFonts w:hint="eastAsia" w:ascii="Times New Roman" w:hAnsi="Times New Roman" w:eastAsia="宋体" w:cs="Times New Roman"/>
                <w:color w:val="auto"/>
                <w:sz w:val="24"/>
                <w:szCs w:val="24"/>
                <w:highlight w:val="none"/>
                <w:shd w:val="clear" w:color="auto" w:fill="auto"/>
                <w:lang w:val="en-US" w:eastAsia="zh-CN"/>
              </w:rPr>
              <w:t>个</w:t>
            </w:r>
            <w:r>
              <w:rPr>
                <w:rFonts w:hint="default" w:ascii="Times New Roman" w:hAnsi="Times New Roman" w:eastAsia="宋体" w:cs="Times New Roman"/>
                <w:color w:val="auto"/>
                <w:sz w:val="24"/>
                <w:szCs w:val="24"/>
                <w:highlight w:val="none"/>
                <w:shd w:val="clear" w:color="auto" w:fill="auto"/>
              </w:rPr>
              <w:t>不低于</w:t>
            </w: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eastAsia"/>
                <w:color w:val="auto"/>
                <w:kern w:val="0"/>
                <w:sz w:val="24"/>
                <w:szCs w:val="24"/>
                <w:highlight w:val="none"/>
                <w:shd w:val="clear" w:color="auto" w:fill="auto"/>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泄漏的变压器油经排油管自流进入</w:t>
            </w:r>
            <w:r>
              <w:rPr>
                <w:rFonts w:hint="eastAsia"/>
                <w:color w:val="auto"/>
                <w:kern w:val="0"/>
                <w:sz w:val="24"/>
                <w:szCs w:val="24"/>
                <w:highlight w:val="none"/>
                <w:shd w:val="clear" w:color="auto" w:fill="auto"/>
                <w:lang w:eastAsia="zh-CN"/>
              </w:rPr>
              <w:t>事故油池</w:t>
            </w:r>
            <w:r>
              <w:rPr>
                <w:rFonts w:hint="eastAsia"/>
                <w:color w:val="auto"/>
                <w:sz w:val="24"/>
                <w:highlight w:val="none"/>
                <w:shd w:val="clear" w:color="auto" w:fill="auto"/>
              </w:rPr>
              <w:t>存放</w:t>
            </w:r>
            <w:r>
              <w:rPr>
                <w:rFonts w:hint="default"/>
                <w:color w:val="auto"/>
                <w:kern w:val="0"/>
                <w:sz w:val="24"/>
                <w:szCs w:val="24"/>
                <w:highlight w:val="none"/>
                <w:shd w:val="clear" w:color="auto" w:fill="auto"/>
              </w:rPr>
              <w:t>。</w:t>
            </w:r>
            <w:r>
              <w:rPr>
                <w:rFonts w:hint="default"/>
                <w:color w:val="auto"/>
                <w:sz w:val="24"/>
                <w:highlight w:val="none"/>
                <w:shd w:val="clear" w:color="auto" w:fill="auto"/>
              </w:rPr>
              <w:t>严格做好防渗工程，施工期加强工程监理和环境监理，提高防渗工程质量，做好照片、录像以及相关文字说明等存档资料。</w:t>
            </w:r>
          </w:p>
          <w:p w14:paraId="377346A9">
            <w:pPr>
              <w:pStyle w:val="27"/>
              <w:keepNext w:val="0"/>
              <w:keepLines w:val="0"/>
              <w:suppressLineNumbers w:val="0"/>
              <w:shd w:val="clear"/>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shd w:val="clear" w:color="auto" w:fill="auto"/>
                <w:lang w:val="zh-CN"/>
              </w:rPr>
            </w:pPr>
            <w:r>
              <w:rPr>
                <w:rFonts w:hint="eastAsia"/>
                <w:color w:val="auto"/>
                <w:sz w:val="24"/>
                <w:highlight w:val="none"/>
                <w:shd w:val="clear" w:color="auto" w:fill="auto"/>
                <w:lang w:val="en-US" w:eastAsia="zh-CN"/>
              </w:rPr>
              <w:t>箱式变压器、</w:t>
            </w:r>
            <w:r>
              <w:rPr>
                <w:rFonts w:hint="default"/>
                <w:color w:val="auto"/>
                <w:sz w:val="24"/>
                <w:highlight w:val="none"/>
                <w:shd w:val="clear" w:color="auto" w:fill="auto"/>
              </w:rPr>
              <w:t>事故油池、</w:t>
            </w:r>
            <w:r>
              <w:rPr>
                <w:rFonts w:hint="eastAsia"/>
                <w:color w:val="auto"/>
                <w:sz w:val="24"/>
                <w:highlight w:val="none"/>
                <w:shd w:val="clear" w:color="auto" w:fill="auto"/>
                <w:lang w:eastAsia="zh-CN"/>
              </w:rPr>
              <w:t>危废贮存库</w:t>
            </w:r>
            <w:r>
              <w:rPr>
                <w:rFonts w:hint="default"/>
                <w:color w:val="auto"/>
                <w:sz w:val="24"/>
                <w:highlight w:val="none"/>
                <w:shd w:val="clear" w:color="auto" w:fill="auto"/>
              </w:rPr>
              <w:t>按重点防渗区进行建设，防渗技术要求为：</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highlight w:val="none"/>
                <w:shd w:val="clear" w:color="auto" w:fill="auto"/>
              </w:rPr>
              <w:t>；</w:t>
            </w:r>
          </w:p>
          <w:p w14:paraId="66EDA47D">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lang w:val="zh-CN"/>
              </w:rPr>
            </w:pPr>
            <w:r>
              <w:rPr>
                <w:rFonts w:hint="default"/>
                <w:color w:val="auto"/>
                <w:sz w:val="24"/>
                <w:highlight w:val="none"/>
                <w:shd w:val="clear" w:color="auto" w:fill="auto"/>
              </w:rPr>
              <w:t>B</w:t>
            </w:r>
            <w:r>
              <w:rPr>
                <w:rFonts w:hint="eastAsia"/>
                <w:color w:val="auto"/>
                <w:sz w:val="24"/>
                <w:highlight w:val="none"/>
                <w:shd w:val="clear" w:color="auto" w:fill="auto"/>
                <w:lang w:eastAsia="zh-CN"/>
              </w:rPr>
              <w:t>.</w:t>
            </w:r>
            <w:r>
              <w:rPr>
                <w:rFonts w:hint="default"/>
                <w:color w:val="auto"/>
                <w:sz w:val="24"/>
                <w:highlight w:val="none"/>
                <w:shd w:val="clear" w:color="auto" w:fill="auto"/>
                <w:lang w:val="zh-CN"/>
              </w:rPr>
              <w:t>运营期定期检查</w:t>
            </w:r>
            <w:r>
              <w:rPr>
                <w:rFonts w:hint="default"/>
                <w:color w:val="auto"/>
                <w:sz w:val="24"/>
                <w:highlight w:val="none"/>
                <w:shd w:val="clear" w:color="auto" w:fill="auto"/>
              </w:rPr>
              <w:t>各储存设施</w:t>
            </w:r>
            <w:r>
              <w:rPr>
                <w:rFonts w:hint="eastAsia"/>
                <w:color w:val="auto"/>
                <w:sz w:val="24"/>
                <w:highlight w:val="none"/>
                <w:shd w:val="clear" w:color="auto" w:fill="auto"/>
              </w:rPr>
              <w:t>，避免出现泄漏等不良情况</w:t>
            </w:r>
            <w:r>
              <w:rPr>
                <w:rFonts w:hint="default"/>
                <w:color w:val="auto"/>
                <w:sz w:val="24"/>
                <w:highlight w:val="none"/>
                <w:shd w:val="clear" w:color="auto" w:fill="auto"/>
                <w:lang w:val="zh-CN"/>
              </w:rPr>
              <w:t>；</w:t>
            </w:r>
          </w:p>
          <w:p w14:paraId="75903E9B">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eastAsia="宋体"/>
                <w:color w:val="auto"/>
                <w:szCs w:val="24"/>
                <w:highlight w:val="none"/>
                <w:shd w:val="clear" w:color="auto" w:fill="auto"/>
              </w:rPr>
              <w:t>C</w:t>
            </w:r>
            <w:r>
              <w:rPr>
                <w:rFonts w:hint="eastAsia" w:eastAsia="宋体"/>
                <w:color w:val="auto"/>
                <w:szCs w:val="24"/>
                <w:highlight w:val="none"/>
                <w:shd w:val="clear" w:color="auto" w:fill="auto"/>
                <w:lang w:eastAsia="zh-CN"/>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r>
              <w:rPr>
                <w:rFonts w:hint="eastAsia"/>
                <w:color w:val="auto"/>
                <w:sz w:val="24"/>
                <w:highlight w:val="none"/>
                <w:shd w:val="clear" w:color="auto" w:fill="auto"/>
              </w:rPr>
              <w:t>。</w:t>
            </w:r>
          </w:p>
          <w:p w14:paraId="2513AA82">
            <w:pPr>
              <w:keepNext w:val="0"/>
              <w:keepLines w:val="0"/>
              <w:suppressLineNumbers w:val="0"/>
              <w:shd w:val="clear"/>
              <w:snapToGrid w:val="0"/>
              <w:spacing w:before="0" w:beforeAutospacing="0" w:after="0" w:afterAutospacing="0" w:line="360" w:lineRule="auto"/>
              <w:ind w:left="0" w:right="0" w:firstLine="482"/>
              <w:outlineLvl w:val="0"/>
              <w:rPr>
                <w:rFonts w:hint="default"/>
                <w:color w:val="auto"/>
                <w:sz w:val="24"/>
                <w:highlight w:val="none"/>
                <w:shd w:val="clear" w:color="auto" w:fill="auto"/>
              </w:rPr>
            </w:pPr>
            <w:bookmarkStart w:id="72" w:name="_Toc75973087"/>
            <w:bookmarkStart w:id="73" w:name="_Toc14680"/>
            <w:bookmarkStart w:id="74" w:name="_Toc17720"/>
            <w:bookmarkStart w:id="75" w:name="_Toc14436"/>
            <w:bookmarkStart w:id="76" w:name="_Toc3985"/>
            <w:bookmarkStart w:id="77" w:name="_Toc6135"/>
            <w:bookmarkStart w:id="78" w:name="_Toc22789"/>
            <w:bookmarkStart w:id="79" w:name="_Toc29463"/>
            <w:bookmarkStart w:id="80" w:name="_Toc28484"/>
            <w:bookmarkStart w:id="81" w:name="_Toc32303"/>
            <w:r>
              <w:rPr>
                <w:rFonts w:hint="eastAsia"/>
                <w:color w:val="auto"/>
                <w:sz w:val="24"/>
                <w:highlight w:val="none"/>
                <w:shd w:val="clear" w:color="auto" w:fill="auto"/>
              </w:rPr>
              <w:t>②</w:t>
            </w:r>
            <w:r>
              <w:rPr>
                <w:rFonts w:hint="default"/>
                <w:color w:val="auto"/>
                <w:sz w:val="24"/>
                <w:highlight w:val="none"/>
                <w:shd w:val="clear" w:color="auto" w:fill="auto"/>
              </w:rPr>
              <w:t>突发环境风险事件应急预案</w:t>
            </w:r>
            <w:bookmarkEnd w:id="72"/>
            <w:bookmarkEnd w:id="73"/>
            <w:bookmarkEnd w:id="74"/>
            <w:bookmarkEnd w:id="75"/>
            <w:bookmarkEnd w:id="76"/>
            <w:bookmarkEnd w:id="77"/>
            <w:bookmarkEnd w:id="78"/>
            <w:bookmarkEnd w:id="79"/>
            <w:bookmarkEnd w:id="80"/>
            <w:bookmarkEnd w:id="81"/>
          </w:p>
          <w:p w14:paraId="18F8FE94">
            <w:pPr>
              <w:keepNext w:val="0"/>
              <w:keepLines w:val="0"/>
              <w:suppressLineNumbers w:val="0"/>
              <w:shd w:val="clear"/>
              <w:spacing w:before="0" w:beforeAutospacing="0" w:after="0" w:afterAutospacing="0" w:line="360" w:lineRule="auto"/>
              <w:ind w:left="0" w:right="0" w:firstLine="480"/>
              <w:rPr>
                <w:rFonts w:hint="default"/>
                <w:b/>
                <w:color w:val="auto"/>
                <w:sz w:val="24"/>
                <w:highlight w:val="none"/>
                <w:shd w:val="clear" w:color="auto" w:fill="auto"/>
              </w:rPr>
            </w:pPr>
            <w:r>
              <w:rPr>
                <w:rFonts w:hint="default"/>
                <w:color w:val="auto"/>
                <w:sz w:val="24"/>
                <w:highlight w:val="none"/>
                <w:shd w:val="clear" w:color="auto" w:fill="auto"/>
              </w:rPr>
              <w:t>针对本项目可能发生的突发事故，为了将风险事故率降低到最小，建设单位应编制突发环境事件应急预案并报</w:t>
            </w:r>
            <w:r>
              <w:rPr>
                <w:rFonts w:hint="eastAsia"/>
                <w:color w:val="auto"/>
                <w:sz w:val="24"/>
                <w:highlight w:val="none"/>
                <w:shd w:val="clear" w:color="auto" w:fill="auto"/>
                <w:lang w:val="en-US" w:eastAsia="zh-CN"/>
              </w:rPr>
              <w:t>昆明市生态环境局寻甸</w:t>
            </w:r>
            <w:r>
              <w:rPr>
                <w:rFonts w:hint="default"/>
                <w:color w:val="auto"/>
                <w:sz w:val="24"/>
                <w:highlight w:val="none"/>
                <w:shd w:val="clear" w:color="auto" w:fill="auto"/>
              </w:rPr>
              <w:t>分局备案。建设单位应严格按照《企业突发环境事件风险分级方法》</w:t>
            </w:r>
            <w:r>
              <w:rPr>
                <w:rFonts w:hint="eastAsia"/>
                <w:color w:val="auto"/>
                <w:sz w:val="24"/>
                <w:highlight w:val="none"/>
                <w:shd w:val="clear" w:color="auto" w:fill="auto"/>
                <w:lang w:eastAsia="zh-CN"/>
              </w:rPr>
              <w:t>（</w:t>
            </w:r>
            <w:r>
              <w:rPr>
                <w:rFonts w:hint="default"/>
                <w:color w:val="auto"/>
                <w:sz w:val="24"/>
                <w:highlight w:val="none"/>
                <w:shd w:val="clear" w:color="auto" w:fill="auto"/>
              </w:rPr>
              <w:t>HJ941-2018</w:t>
            </w:r>
            <w:r>
              <w:rPr>
                <w:rFonts w:hint="eastAsia"/>
                <w:color w:val="auto"/>
                <w:sz w:val="24"/>
                <w:highlight w:val="none"/>
                <w:shd w:val="clear" w:color="auto" w:fill="auto"/>
                <w:lang w:eastAsia="zh-CN"/>
              </w:rPr>
              <w:t>）</w:t>
            </w:r>
            <w:r>
              <w:rPr>
                <w:rFonts w:hint="default"/>
                <w:color w:val="auto"/>
                <w:sz w:val="24"/>
                <w:highlight w:val="none"/>
                <w:shd w:val="clear" w:color="auto" w:fill="auto"/>
              </w:rPr>
              <w:t>、《企业突发环境事件应急预案编制指南》和《企业突发环境事件风险评估指南（试行）》开展应急预案的编制工作，包括环境风险评估报告、环境应急资源调查报告和突发环境事件应急预案三个报告。</w:t>
            </w:r>
          </w:p>
          <w:p w14:paraId="21C111C4">
            <w:pPr>
              <w:keepNext w:val="0"/>
              <w:keepLines w:val="0"/>
              <w:suppressLineNumbers w:val="0"/>
              <w:shd w:val="clear"/>
              <w:adjustRightInd w:val="0"/>
              <w:snapToGrid w:val="0"/>
              <w:spacing w:before="0" w:beforeAutospacing="0" w:after="0" w:afterAutospacing="0" w:line="360" w:lineRule="auto"/>
              <w:ind w:left="0" w:right="0" w:firstLine="482"/>
              <w:rPr>
                <w:rFonts w:hint="default"/>
                <w:b/>
                <w:bCs/>
                <w:color w:val="auto"/>
                <w:sz w:val="24"/>
                <w:highlight w:val="none"/>
                <w:shd w:val="clear" w:color="auto" w:fill="auto"/>
              </w:rPr>
            </w:pPr>
            <w:r>
              <w:rPr>
                <w:rFonts w:hint="eastAsia"/>
                <w:b/>
                <w:bCs/>
                <w:color w:val="auto"/>
                <w:sz w:val="24"/>
                <w:highlight w:val="none"/>
                <w:shd w:val="clear" w:color="auto" w:fill="auto"/>
              </w:rPr>
              <w:t>7</w:t>
            </w:r>
            <w:r>
              <w:rPr>
                <w:rFonts w:hint="default"/>
                <w:b/>
                <w:bCs/>
                <w:color w:val="auto"/>
                <w:sz w:val="24"/>
                <w:highlight w:val="none"/>
                <w:shd w:val="clear" w:color="auto" w:fill="auto"/>
              </w:rPr>
              <w:t>）环境风险分析结论</w:t>
            </w:r>
          </w:p>
          <w:p w14:paraId="4511CCB4">
            <w:pPr>
              <w:keepNext w:val="0"/>
              <w:keepLines w:val="0"/>
              <w:suppressLineNumbers w:val="0"/>
              <w:shd w:val="clear"/>
              <w:adjustRightInd w:val="0"/>
              <w:snapToGrid w:val="0"/>
              <w:spacing w:before="0" w:beforeAutospacing="0" w:after="0" w:afterAutospacing="0" w:line="360" w:lineRule="auto"/>
              <w:ind w:left="0" w:right="0" w:firstLine="480" w:firstLineChars="200"/>
              <w:rPr>
                <w:rStyle w:val="105"/>
                <w:rFonts w:hint="default"/>
                <w:bCs/>
                <w:color w:val="auto"/>
                <w:sz w:val="24"/>
                <w:highlight w:val="none"/>
                <w:shd w:val="clear" w:color="auto" w:fill="auto"/>
              </w:rPr>
            </w:pPr>
            <w:r>
              <w:rPr>
                <w:rFonts w:hint="eastAsia"/>
                <w:bCs/>
                <w:color w:val="auto"/>
                <w:sz w:val="24"/>
                <w:highlight w:val="none"/>
                <w:shd w:val="clear" w:color="auto" w:fill="auto"/>
              </w:rPr>
              <w:t>本</w:t>
            </w:r>
            <w:r>
              <w:rPr>
                <w:rFonts w:hint="default"/>
                <w:bCs/>
                <w:color w:val="auto"/>
                <w:sz w:val="24"/>
                <w:highlight w:val="none"/>
                <w:shd w:val="clear" w:color="auto" w:fill="auto"/>
              </w:rPr>
              <w:t>项目环境风险潜势为I，则不设评价等级，仅进行简单分析。</w:t>
            </w:r>
            <w:r>
              <w:rPr>
                <w:rStyle w:val="105"/>
                <w:rFonts w:hint="eastAsia"/>
                <w:bCs/>
                <w:color w:val="auto"/>
                <w:sz w:val="24"/>
                <w:highlight w:val="none"/>
                <w:shd w:val="clear" w:color="auto" w:fill="auto"/>
              </w:rPr>
              <w:t>项目环境风险主要为变压器油</w:t>
            </w:r>
            <w:r>
              <w:rPr>
                <w:rStyle w:val="105"/>
                <w:rFonts w:hint="eastAsia"/>
                <w:bCs/>
                <w:color w:val="auto"/>
                <w:sz w:val="24"/>
                <w:highlight w:val="none"/>
                <w:shd w:val="clear" w:color="auto" w:fill="auto"/>
                <w:lang w:eastAsia="zh-CN"/>
              </w:rPr>
              <w:t>、</w:t>
            </w:r>
            <w:r>
              <w:rPr>
                <w:rFonts w:hint="eastAsia"/>
                <w:bCs/>
                <w:color w:val="auto"/>
                <w:sz w:val="24"/>
                <w:szCs w:val="24"/>
                <w:highlight w:val="none"/>
                <w:shd w:val="clear" w:color="auto" w:fill="auto"/>
                <w:lang w:val="en-US" w:eastAsia="zh-CN"/>
              </w:rPr>
              <w:t>废变压器油（单次维修废油）、事故废油</w:t>
            </w:r>
            <w:r>
              <w:rPr>
                <w:rStyle w:val="105"/>
                <w:rFonts w:hint="eastAsia"/>
                <w:bCs/>
                <w:color w:val="auto"/>
                <w:sz w:val="24"/>
                <w:highlight w:val="none"/>
                <w:shd w:val="clear" w:color="auto" w:fill="auto"/>
              </w:rPr>
              <w:t>的燃烧爆炸产生的次生污染物对环境的影响，只要建设单位按照本报告提出的环境管理措施实施，项目环境风险影响范围较小，环境风险可接受。</w:t>
            </w:r>
          </w:p>
          <w:p w14:paraId="636D57AB">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sz w:val="24"/>
                <w:highlight w:val="none"/>
              </w:rPr>
            </w:pPr>
            <w:r>
              <w:rPr>
                <w:rFonts w:hint="default"/>
                <w:b/>
                <w:bCs/>
                <w:color w:val="auto"/>
                <w:sz w:val="24"/>
                <w:highlight w:val="none"/>
              </w:rPr>
              <w:t>（</w:t>
            </w:r>
            <w:r>
              <w:rPr>
                <w:rFonts w:hint="eastAsia"/>
                <w:b/>
                <w:bCs/>
                <w:color w:val="auto"/>
                <w:sz w:val="24"/>
                <w:highlight w:val="none"/>
                <w:lang w:val="en-US" w:eastAsia="zh-CN"/>
              </w:rPr>
              <w:t>7</w:t>
            </w:r>
            <w:r>
              <w:rPr>
                <w:rFonts w:hint="default"/>
                <w:b/>
                <w:bCs/>
                <w:color w:val="auto"/>
                <w:sz w:val="24"/>
                <w:highlight w:val="none"/>
              </w:rPr>
              <w:t>）</w:t>
            </w:r>
            <w:r>
              <w:rPr>
                <w:rFonts w:hint="eastAsia"/>
                <w:b/>
                <w:bCs/>
                <w:color w:val="auto"/>
                <w:sz w:val="24"/>
                <w:highlight w:val="none"/>
                <w:lang w:val="en-US" w:eastAsia="zh-CN"/>
              </w:rPr>
              <w:t>地下水、</w:t>
            </w:r>
            <w:r>
              <w:rPr>
                <w:rFonts w:hint="default"/>
                <w:b/>
                <w:bCs/>
                <w:color w:val="auto"/>
                <w:sz w:val="24"/>
                <w:highlight w:val="none"/>
              </w:rPr>
              <w:t>土壤环境影响分析</w:t>
            </w:r>
          </w:p>
          <w:p w14:paraId="0238EFCD">
            <w:pPr>
              <w:keepNext w:val="0"/>
              <w:keepLines w:val="0"/>
              <w:widowControl/>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本项目属于光伏发电项目。根据《环境影响评价技术导则  地下水环境》（HJ610-2016）附录A可知，项目属于“E 电力”大类中“34 其他能源发电—利用地热、太阳能热等发电”小类，地下水环境影响评价项目类别均为Ⅳ类。Ⅳ类建设项目不开展地下水环境影响评价。根据《环境影响评价技术导则  土壤环境》（HJ964-2018），项目属于Ⅳ类项目，不需要开展土壤环境影响评价。</w:t>
            </w:r>
          </w:p>
          <w:p w14:paraId="373404DB">
            <w:pPr>
              <w:pStyle w:val="27"/>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olor w:val="auto"/>
                <w:sz w:val="24"/>
                <w:szCs w:val="24"/>
                <w:highlight w:val="none"/>
              </w:rPr>
            </w:pPr>
            <w:r>
              <w:rPr>
                <w:rFonts w:hint="default"/>
                <w:color w:val="auto"/>
                <w:sz w:val="24"/>
                <w:szCs w:val="24"/>
                <w:highlight w:val="none"/>
              </w:rPr>
              <w:t>项目箱式变压器、</w:t>
            </w:r>
            <w:r>
              <w:rPr>
                <w:rFonts w:hint="eastAsia"/>
                <w:color w:val="auto"/>
                <w:sz w:val="24"/>
                <w:szCs w:val="24"/>
                <w:highlight w:val="none"/>
                <w:lang w:val="en-US" w:eastAsia="zh-CN"/>
              </w:rPr>
              <w:t>事故油池</w:t>
            </w:r>
            <w:r>
              <w:rPr>
                <w:rFonts w:hint="default"/>
                <w:color w:val="auto"/>
                <w:sz w:val="24"/>
                <w:szCs w:val="24"/>
                <w:highlight w:val="none"/>
              </w:rPr>
              <w:t>等区域按重点防渗进行建设，防渗技术要求为表：</w:t>
            </w:r>
            <w:r>
              <w:rPr>
                <w:rFonts w:hint="default" w:ascii="Times New Roman" w:hAnsi="Times New Roman" w:eastAsia="宋体" w:cs="Times New Roman"/>
                <w:color w:val="auto"/>
                <w:kern w:val="0"/>
                <w:sz w:val="24"/>
                <w:szCs w:val="24"/>
                <w:highlight w:val="none"/>
              </w:rPr>
              <w:t>等效黏土防渗层Mb≥6m，K≤1×10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w:t>
            </w:r>
            <w:r>
              <w:rPr>
                <w:rFonts w:hint="default" w:ascii="Times New Roman" w:hAnsi="Times New Roman" w:eastAsia="宋体" w:cs="Times New Roman"/>
                <w:color w:val="auto"/>
                <w:sz w:val="24"/>
                <w:szCs w:val="24"/>
                <w:highlight w:val="none"/>
                <w:shd w:val="clear" w:color="auto" w:fill="auto"/>
              </w:rPr>
              <w:t>或</w:t>
            </w:r>
            <w:r>
              <w:rPr>
                <w:rFonts w:hint="eastAsia"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宋体" w:hAnsi="宋体" w:eastAsia="宋体" w:cs="宋体"/>
                <w:color w:val="auto"/>
                <w:kern w:val="0"/>
                <w:sz w:val="24"/>
                <w:szCs w:val="24"/>
                <w:highlight w:val="none"/>
                <w:lang w:val="en-US" w:eastAsia="zh-CN" w:bidi="ar"/>
              </w:rPr>
              <w:t>膜等人工防渗材料</w:t>
            </w:r>
            <w:r>
              <w:rPr>
                <w:rFonts w:hint="eastAsia" w:eastAsia="宋体" w:cs="Times New Roman"/>
                <w:color w:val="auto"/>
                <w:sz w:val="24"/>
                <w:szCs w:val="24"/>
                <w:highlight w:val="none"/>
                <w:shd w:val="clear" w:color="auto" w:fill="auto"/>
                <w:lang w:val="en-US" w:eastAsia="zh-CN"/>
              </w:rPr>
              <w:t>（渗透系数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宋体" w:hAnsi="宋体" w:eastAsia="宋体" w:cs="宋体"/>
                <w:color w:val="auto"/>
                <w:kern w:val="0"/>
                <w:sz w:val="24"/>
                <w:szCs w:val="24"/>
                <w:highlight w:val="none"/>
                <w:lang w:val="en-US" w:eastAsia="zh-CN" w:bidi="ar"/>
              </w:rPr>
              <w:t>或其他防渗性能等效的材料</w:t>
            </w:r>
            <w:r>
              <w:rPr>
                <w:rFonts w:hint="default"/>
                <w:color w:val="auto"/>
                <w:sz w:val="24"/>
                <w:szCs w:val="24"/>
                <w:highlight w:val="none"/>
              </w:rPr>
              <w:t>。</w:t>
            </w:r>
          </w:p>
          <w:p w14:paraId="2EFB7801">
            <w:pPr>
              <w:keepNext w:val="0"/>
              <w:keepLines w:val="0"/>
              <w:widowControl/>
              <w:suppressLineNumbers w:val="0"/>
              <w:spacing w:before="0" w:beforeAutospacing="0" w:after="0" w:afterAutospacing="0" w:line="360" w:lineRule="auto"/>
              <w:ind w:left="0" w:right="0" w:firstLine="480" w:firstLineChars="200"/>
              <w:rPr>
                <w:rFonts w:hint="default"/>
                <w:color w:val="auto"/>
                <w:sz w:val="24"/>
                <w:szCs w:val="24"/>
                <w:highlight w:val="none"/>
              </w:rPr>
            </w:pPr>
            <w:r>
              <w:rPr>
                <w:rFonts w:hint="default"/>
                <w:color w:val="auto"/>
                <w:sz w:val="24"/>
                <w:szCs w:val="24"/>
                <w:highlight w:val="none"/>
              </w:rPr>
              <w:t>综上，项目按要求落实防渗措施后对</w:t>
            </w:r>
            <w:r>
              <w:rPr>
                <w:rFonts w:hint="eastAsia"/>
                <w:color w:val="auto"/>
                <w:sz w:val="24"/>
                <w:szCs w:val="24"/>
                <w:highlight w:val="none"/>
                <w:lang w:val="en-US" w:eastAsia="zh-CN"/>
              </w:rPr>
              <w:t>地下水和</w:t>
            </w:r>
            <w:r>
              <w:rPr>
                <w:rFonts w:hint="default"/>
                <w:color w:val="auto"/>
                <w:sz w:val="24"/>
                <w:szCs w:val="24"/>
                <w:highlight w:val="none"/>
              </w:rPr>
              <w:t>土壤环境影响很小。</w:t>
            </w:r>
          </w:p>
          <w:p w14:paraId="4AA68080">
            <w:pPr>
              <w:keepNext w:val="0"/>
              <w:keepLines w:val="0"/>
              <w:widowControl/>
              <w:suppressLineNumbers w:val="0"/>
              <w:spacing w:before="0" w:beforeAutospacing="0" w:after="0" w:afterAutospacing="0" w:line="360" w:lineRule="auto"/>
              <w:ind w:left="0" w:right="0" w:firstLine="482" w:firstLineChars="200"/>
              <w:jc w:val="left"/>
              <w:rPr>
                <w:rFonts w:hint="default"/>
                <w:color w:val="auto"/>
                <w:highlight w:val="none"/>
              </w:rPr>
            </w:pPr>
            <w:r>
              <w:rPr>
                <w:rFonts w:hint="eastAsia"/>
                <w:b/>
                <w:bCs/>
                <w:color w:val="auto"/>
                <w:sz w:val="24"/>
                <w:highlight w:val="none"/>
              </w:rPr>
              <w:t>（</w:t>
            </w:r>
            <w:r>
              <w:rPr>
                <w:rFonts w:hint="eastAsia"/>
                <w:b/>
                <w:bCs/>
                <w:color w:val="auto"/>
                <w:sz w:val="24"/>
                <w:highlight w:val="none"/>
                <w:lang w:val="en-US" w:eastAsia="zh-CN"/>
              </w:rPr>
              <w:t>8</w:t>
            </w:r>
            <w:r>
              <w:rPr>
                <w:rFonts w:hint="eastAsia"/>
                <w:b/>
                <w:bCs/>
                <w:color w:val="auto"/>
                <w:sz w:val="24"/>
                <w:highlight w:val="none"/>
              </w:rPr>
              <w:t>）</w:t>
            </w:r>
            <w:r>
              <w:rPr>
                <w:rFonts w:hint="eastAsia" w:ascii="宋体" w:hAnsi="宋体" w:cs="宋体"/>
                <w:b/>
                <w:bCs/>
                <w:color w:val="auto"/>
                <w:kern w:val="0"/>
                <w:sz w:val="25"/>
                <w:szCs w:val="25"/>
                <w:highlight w:val="none"/>
                <w:lang w:bidi="ar"/>
              </w:rPr>
              <w:t>服务期满后环境影响分析</w:t>
            </w:r>
          </w:p>
          <w:p w14:paraId="48C92C5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lang w:bidi="ar"/>
              </w:rPr>
              <w:t>本项目运营生产期为25年，待项目运营期满后，按国家相关要求，将对电池组件及支架、箱变、逆变器等进行全部拆除。光伏电站服务期满后影响主要为拆除的太阳能电池板、箱变、逆变器、</w:t>
            </w:r>
            <w:r>
              <w:rPr>
                <w:rFonts w:hint="eastAsia"/>
                <w:color w:val="auto"/>
                <w:kern w:val="0"/>
                <w:sz w:val="24"/>
                <w:highlight w:val="none"/>
                <w:lang w:bidi="ar"/>
              </w:rPr>
              <w:t>建筑垃圾</w:t>
            </w:r>
            <w:r>
              <w:rPr>
                <w:rFonts w:hint="default"/>
                <w:color w:val="auto"/>
                <w:kern w:val="0"/>
                <w:sz w:val="24"/>
                <w:highlight w:val="none"/>
                <w:lang w:bidi="ar"/>
              </w:rPr>
              <w:t>等固体废物影响，以及基础拆除产生的生态环境影响。光伏组件设备拆除完毕后，应做好植被恢复措施。</w:t>
            </w:r>
          </w:p>
          <w:p w14:paraId="606AE08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val="en-US" w:eastAsia="zh-CN" w:bidi="ar"/>
              </w:rPr>
              <w:t>①</w:t>
            </w:r>
            <w:r>
              <w:rPr>
                <w:rFonts w:hint="default"/>
                <w:color w:val="auto"/>
                <w:kern w:val="0"/>
                <w:sz w:val="24"/>
                <w:highlight w:val="none"/>
                <w:lang w:bidi="ar"/>
              </w:rPr>
              <w:t>光伏组件的拆除</w:t>
            </w:r>
          </w:p>
          <w:p w14:paraId="145AAB3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lang w:bidi="ar"/>
              </w:rPr>
              <w:t>本项目服务期满后，光伏组件的转化效率降低80%，需进行拆除。拆除后的废旧光伏组件共计</w:t>
            </w:r>
            <w:r>
              <w:rPr>
                <w:rFonts w:hint="eastAsia" w:cs="Times New Roman"/>
                <w:color w:val="auto"/>
                <w:sz w:val="24"/>
                <w:szCs w:val="24"/>
                <w:highlight w:val="none"/>
                <w:lang w:val="en-US" w:eastAsia="zh-CN"/>
              </w:rPr>
              <w:t>108888</w:t>
            </w:r>
            <w:r>
              <w:rPr>
                <w:rFonts w:hint="default"/>
                <w:color w:val="auto"/>
                <w:kern w:val="0"/>
                <w:sz w:val="24"/>
                <w:highlight w:val="none"/>
                <w:lang w:bidi="ar"/>
              </w:rPr>
              <w:t>块，单块净重</w:t>
            </w:r>
            <w:r>
              <w:rPr>
                <w:rFonts w:hint="eastAsia"/>
                <w:color w:val="auto"/>
                <w:kern w:val="0"/>
                <w:sz w:val="24"/>
                <w:highlight w:val="none"/>
                <w:lang w:val="en-US" w:eastAsia="zh-CN" w:bidi="ar"/>
              </w:rPr>
              <w:t>31.5</w:t>
            </w:r>
            <w:r>
              <w:rPr>
                <w:rFonts w:hint="default"/>
                <w:color w:val="auto"/>
                <w:kern w:val="0"/>
                <w:sz w:val="24"/>
                <w:highlight w:val="none"/>
                <w:lang w:bidi="ar"/>
              </w:rPr>
              <w:t>kg，故拆除光伏组件量为</w:t>
            </w:r>
            <w:r>
              <w:rPr>
                <w:rFonts w:hint="eastAsia"/>
                <w:color w:val="auto"/>
                <w:kern w:val="0"/>
                <w:sz w:val="24"/>
                <w:highlight w:val="none"/>
                <w:lang w:val="en-US" w:eastAsia="zh-CN" w:bidi="ar"/>
              </w:rPr>
              <w:t>3429.9</w:t>
            </w:r>
            <w:r>
              <w:rPr>
                <w:rFonts w:hint="default"/>
                <w:color w:val="auto"/>
                <w:kern w:val="0"/>
                <w:sz w:val="24"/>
                <w:highlight w:val="none"/>
                <w:lang w:bidi="ar"/>
              </w:rPr>
              <w:t>t。</w:t>
            </w:r>
          </w:p>
          <w:p w14:paraId="0D1751C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lang w:bidi="ar"/>
              </w:rPr>
              <w:t>拆除的光伏电池板属于一般固体废物，全部由专业的回收厂家回收处理，不得随意丢弃，对环境的影响较小。</w:t>
            </w:r>
          </w:p>
          <w:p w14:paraId="218494DD">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val="en-US" w:eastAsia="zh-CN" w:bidi="ar"/>
              </w:rPr>
              <w:t>②</w:t>
            </w:r>
            <w:r>
              <w:rPr>
                <w:rFonts w:hint="default"/>
                <w:color w:val="auto"/>
                <w:kern w:val="0"/>
                <w:sz w:val="24"/>
                <w:highlight w:val="none"/>
                <w:lang w:bidi="ar"/>
              </w:rPr>
              <w:t>电气设备的拆除</w:t>
            </w:r>
          </w:p>
          <w:p w14:paraId="5B192533">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lang w:bidi="ar"/>
              </w:rPr>
              <w:t>本项目电气设备主要为逆变器、箱变等，电气设备经过运营期的使用和维护，其损耗较小，可全部由设备生产商回收。</w:t>
            </w:r>
          </w:p>
          <w:p w14:paraId="6F7CAFA6">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val="en-US" w:eastAsia="zh-CN" w:bidi="ar"/>
              </w:rPr>
              <w:t>③</w:t>
            </w:r>
            <w:r>
              <w:rPr>
                <w:rFonts w:hint="default"/>
                <w:color w:val="auto"/>
                <w:kern w:val="0"/>
                <w:sz w:val="24"/>
                <w:highlight w:val="none"/>
                <w:lang w:bidi="ar"/>
              </w:rPr>
              <w:t>建（构）筑物的拆除</w:t>
            </w:r>
          </w:p>
          <w:p w14:paraId="1219548C">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lang w:bidi="ar"/>
              </w:rPr>
              <w:t>除各类设备以外，本项目在服务期满后需要对已建成的各类建（构）筑物进行全部拆除，以利于恢复原地表和植被。本项目主要的建（构）筑物为光伏组件基础、箱变基础。拆除过程中产生的建筑垃圾经分类收集后，可回收利用的回收利用，不可回收利用的清运至当地住建部门指定地点堆存。</w:t>
            </w:r>
          </w:p>
          <w:p w14:paraId="0E9B1A9E">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lang w:val="en-US" w:eastAsia="zh-CN" w:bidi="ar"/>
              </w:rPr>
              <w:t>④</w:t>
            </w:r>
            <w:r>
              <w:rPr>
                <w:rFonts w:hint="default"/>
                <w:color w:val="auto"/>
                <w:kern w:val="0"/>
                <w:sz w:val="24"/>
                <w:highlight w:val="none"/>
                <w:lang w:bidi="ar"/>
              </w:rPr>
              <w:t>恢复措施</w:t>
            </w:r>
          </w:p>
          <w:p w14:paraId="08710A01">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default"/>
                <w:color w:val="auto"/>
                <w:kern w:val="0"/>
                <w:sz w:val="24"/>
                <w:highlight w:val="none"/>
                <w:lang w:bidi="ar"/>
              </w:rPr>
              <w:t>本项目光伏发电站服务期满后拆除的生产区应进行生态恢复，拆除过程中应尽量减少对土地的扰动。</w:t>
            </w:r>
            <w:r>
              <w:rPr>
                <w:rFonts w:hint="eastAsia"/>
                <w:color w:val="auto"/>
                <w:kern w:val="0"/>
                <w:sz w:val="24"/>
                <w:highlight w:val="none"/>
                <w:lang w:val="en-US" w:eastAsia="zh-CN" w:bidi="ar"/>
              </w:rPr>
              <w:t>拆除</w:t>
            </w:r>
            <w:r>
              <w:rPr>
                <w:rFonts w:hint="default"/>
                <w:color w:val="auto"/>
                <w:kern w:val="0"/>
                <w:sz w:val="24"/>
                <w:highlight w:val="none"/>
                <w:lang w:bidi="ar"/>
              </w:rPr>
              <w:t>光伏方阵区混凝土的基础部分场地应进行恢复，覆土厚度30cm，并将光伏方阵区侵蚀沟和低洼区域填土、平整，恢复后的场地则进行洒水和压实，以固结地表，防止产生扬尘和对土壤的风蚀。光伏电站在服务期满后，要严格采取固废处置及生态恢复的环保措施，确保无遗留环保问题。光伏电站服务期满后对环境的影响较小。</w:t>
            </w:r>
          </w:p>
          <w:p w14:paraId="3CD0CB91">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Cs/>
                <w:color w:val="auto"/>
                <w:sz w:val="24"/>
                <w:highlight w:val="none"/>
                <w:shd w:val="clear" w:color="auto" w:fill="auto"/>
              </w:rPr>
            </w:pPr>
            <w:r>
              <w:rPr>
                <w:rFonts w:hint="default"/>
                <w:color w:val="auto"/>
                <w:kern w:val="0"/>
                <w:sz w:val="24"/>
                <w:highlight w:val="none"/>
                <w:lang w:bidi="ar"/>
              </w:rPr>
              <w:t>项目服务期满后，植被恢复过程中依照</w:t>
            </w:r>
            <w:r>
              <w:rPr>
                <w:rFonts w:hint="eastAsia"/>
                <w:color w:val="auto"/>
                <w:kern w:val="0"/>
                <w:sz w:val="24"/>
                <w:highlight w:val="none"/>
                <w:lang w:eastAsia="zh-CN" w:bidi="ar"/>
              </w:rPr>
              <w:t>“</w:t>
            </w:r>
            <w:r>
              <w:rPr>
                <w:rFonts w:hint="default"/>
                <w:color w:val="auto"/>
                <w:kern w:val="0"/>
                <w:sz w:val="24"/>
                <w:highlight w:val="none"/>
                <w:lang w:bidi="ar"/>
              </w:rPr>
              <w:t>适地适树</w:t>
            </w:r>
            <w:r>
              <w:rPr>
                <w:rFonts w:hint="eastAsia"/>
                <w:color w:val="auto"/>
                <w:kern w:val="0"/>
                <w:sz w:val="24"/>
                <w:highlight w:val="none"/>
                <w:lang w:eastAsia="zh-CN" w:bidi="ar"/>
              </w:rPr>
              <w:t>”</w:t>
            </w:r>
            <w:r>
              <w:rPr>
                <w:rFonts w:hint="default"/>
                <w:color w:val="auto"/>
                <w:kern w:val="0"/>
                <w:sz w:val="24"/>
                <w:highlight w:val="none"/>
                <w:lang w:bidi="ar"/>
              </w:rPr>
              <w:t>、原生性、特有性、实用性的基本科学原则，种植乡土物种，</w:t>
            </w:r>
            <w:r>
              <w:rPr>
                <w:rFonts w:hint="eastAsia"/>
                <w:color w:val="auto"/>
                <w:kern w:val="0"/>
                <w:sz w:val="24"/>
                <w:highlight w:val="none"/>
                <w:lang w:val="en-US" w:eastAsia="zh-CN" w:bidi="ar"/>
              </w:rPr>
              <w:t>本项目占地类型主要为其他草地，保证其他草地类型不更改，</w:t>
            </w:r>
            <w:r>
              <w:rPr>
                <w:rFonts w:hint="default"/>
                <w:color w:val="auto"/>
                <w:kern w:val="0"/>
                <w:sz w:val="24"/>
                <w:highlight w:val="none"/>
                <w:lang w:bidi="ar"/>
              </w:rPr>
              <w:t>并注重乔、灌、草、层间植物有机搭配，禁止引入外来物种。</w:t>
            </w:r>
          </w:p>
        </w:tc>
      </w:tr>
      <w:tr w14:paraId="294F5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6" w:type="pct"/>
            <w:tcMar>
              <w:left w:w="28" w:type="dxa"/>
              <w:right w:w="28" w:type="dxa"/>
            </w:tcMar>
            <w:vAlign w:val="center"/>
          </w:tcPr>
          <w:p w14:paraId="4145A7BB">
            <w:pPr>
              <w:pStyle w:val="38"/>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bCs/>
                <w:color w:val="auto"/>
                <w:kern w:val="2"/>
                <w:highlight w:val="none"/>
                <w:shd w:val="clear" w:color="auto" w:fill="auto"/>
              </w:rPr>
            </w:pPr>
            <w:r>
              <w:rPr>
                <w:rFonts w:hint="default" w:ascii="Times New Roman" w:hAnsi="Times New Roman"/>
                <w:bCs/>
                <w:color w:val="auto"/>
                <w:kern w:val="2"/>
                <w:highlight w:val="none"/>
                <w:shd w:val="clear" w:color="auto" w:fill="auto"/>
              </w:rPr>
              <w:t>选址选线环境合理性分析</w:t>
            </w:r>
          </w:p>
        </w:tc>
        <w:tc>
          <w:tcPr>
            <w:tcW w:w="4833" w:type="pct"/>
          </w:tcPr>
          <w:p w14:paraId="64CCEE6F">
            <w:pPr>
              <w:pStyle w:val="76"/>
              <w:keepNext w:val="0"/>
              <w:keepLines w:val="0"/>
              <w:suppressLineNumbers w:val="0"/>
              <w:shd w:val="clear"/>
              <w:adjustRightInd w:val="0"/>
              <w:snapToGrid w:val="0"/>
              <w:spacing w:before="0" w:beforeAutospacing="0" w:after="0" w:afterAutospacing="0"/>
              <w:ind w:left="0" w:right="0" w:firstLine="482"/>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1、工程选址合理性分析</w:t>
            </w:r>
          </w:p>
          <w:p w14:paraId="3D7DA468">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kern w:val="0"/>
                <w:szCs w:val="24"/>
                <w:highlight w:val="none"/>
                <w:shd w:val="clear" w:color="auto" w:fill="auto"/>
              </w:rPr>
              <w:t>项目所在区域年太阳水平总辐射量为</w:t>
            </w:r>
            <w:r>
              <w:rPr>
                <w:rFonts w:hint="eastAsia" w:eastAsia="宋体"/>
                <w:color w:val="auto"/>
                <w:highlight w:val="none"/>
                <w:shd w:val="clear" w:color="auto" w:fill="auto"/>
                <w:lang w:val="en-US" w:eastAsia="zh-CN"/>
              </w:rPr>
              <w:t>5787.5</w:t>
            </w:r>
            <w:r>
              <w:rPr>
                <w:rFonts w:hint="eastAsia"/>
                <w:color w:val="auto"/>
                <w:highlight w:val="none"/>
                <w:shd w:val="clear" w:color="auto" w:fill="auto"/>
              </w:rPr>
              <w:t>kWh/</w:t>
            </w:r>
            <w:r>
              <w:rPr>
                <w:rFonts w:hint="eastAsia"/>
                <w:color w:val="auto"/>
                <w:highlight w:val="none"/>
                <w:shd w:val="clear" w:color="auto" w:fill="auto"/>
                <w:lang w:val="en-US" w:eastAsia="zh-CN"/>
              </w:rPr>
              <w:t>m</w:t>
            </w:r>
            <w:r>
              <w:rPr>
                <w:rFonts w:hint="eastAsia"/>
                <w:color w:val="auto"/>
                <w:highlight w:val="none"/>
                <w:shd w:val="clear" w:color="auto" w:fill="auto"/>
                <w:vertAlign w:val="superscript"/>
                <w:lang w:val="en-US" w:eastAsia="zh-CN"/>
              </w:rPr>
              <w:t>2</w:t>
            </w:r>
            <w:r>
              <w:rPr>
                <w:rFonts w:hint="default" w:eastAsia="宋体"/>
                <w:color w:val="auto"/>
                <w:kern w:val="0"/>
                <w:szCs w:val="24"/>
                <w:highlight w:val="none"/>
                <w:shd w:val="clear" w:color="auto" w:fill="auto"/>
              </w:rPr>
              <w:t>，其太阳能资源属于很丰富地区，具备较好的工程开发条件。所在区域太阳能资源直射比HDRR为</w:t>
            </w:r>
            <w:r>
              <w:rPr>
                <w:rFonts w:hint="eastAsia" w:eastAsia="宋体"/>
                <w:color w:val="auto"/>
                <w:highlight w:val="none"/>
                <w:shd w:val="clear" w:color="auto" w:fill="auto"/>
                <w:lang w:val="en-US" w:eastAsia="zh-CN"/>
              </w:rPr>
              <w:t>0.529</w:t>
            </w:r>
            <w:r>
              <w:rPr>
                <w:rFonts w:hint="default" w:eastAsia="宋体"/>
                <w:color w:val="auto"/>
                <w:kern w:val="0"/>
                <w:szCs w:val="24"/>
                <w:highlight w:val="none"/>
                <w:shd w:val="clear" w:color="auto" w:fill="auto"/>
              </w:rPr>
              <w:t>，</w:t>
            </w:r>
            <w:r>
              <w:rPr>
                <w:rFonts w:hint="default" w:eastAsia="宋体"/>
                <w:color w:val="auto"/>
                <w:kern w:val="0"/>
                <w:szCs w:val="24"/>
                <w:highlight w:val="none"/>
              </w:rPr>
              <w:t>太阳能资源直射比等级为</w:t>
            </w:r>
            <w:r>
              <w:rPr>
                <w:rFonts w:hint="eastAsia" w:eastAsia="宋体"/>
                <w:color w:val="auto"/>
                <w:kern w:val="0"/>
                <w:szCs w:val="24"/>
                <w:highlight w:val="none"/>
                <w:lang w:val="en-US" w:eastAsia="zh-CN"/>
              </w:rPr>
              <w:t>B</w:t>
            </w:r>
            <w:r>
              <w:rPr>
                <w:rFonts w:hint="eastAsia" w:eastAsia="宋体"/>
                <w:color w:val="auto"/>
                <w:kern w:val="0"/>
                <w:szCs w:val="24"/>
                <w:highlight w:val="none"/>
              </w:rPr>
              <w:t>级，等级名称为</w:t>
            </w:r>
            <w:r>
              <w:rPr>
                <w:rFonts w:hint="eastAsia" w:eastAsia="宋体"/>
                <w:color w:val="auto"/>
                <w:kern w:val="0"/>
                <w:szCs w:val="24"/>
                <w:highlight w:val="none"/>
                <w:lang w:eastAsia="zh-CN"/>
              </w:rPr>
              <w:t>高</w:t>
            </w:r>
            <w:r>
              <w:rPr>
                <w:rFonts w:hint="default" w:eastAsia="宋体"/>
                <w:color w:val="auto"/>
                <w:kern w:val="0"/>
                <w:szCs w:val="24"/>
                <w:highlight w:val="none"/>
              </w:rPr>
              <w:t>，</w:t>
            </w:r>
            <w:r>
              <w:rPr>
                <w:rFonts w:hint="eastAsia" w:eastAsia="宋体"/>
                <w:color w:val="auto"/>
                <w:kern w:val="0"/>
                <w:szCs w:val="24"/>
                <w:highlight w:val="none"/>
              </w:rPr>
              <w:t>项目</w:t>
            </w:r>
            <w:r>
              <w:rPr>
                <w:rFonts w:hint="default" w:eastAsia="宋体"/>
                <w:color w:val="auto"/>
                <w:kern w:val="0"/>
                <w:szCs w:val="24"/>
                <w:highlight w:val="none"/>
              </w:rPr>
              <w:t>光伏电站场区日照时数为</w:t>
            </w:r>
            <w:r>
              <w:rPr>
                <w:rFonts w:hint="eastAsia" w:eastAsia="宋体" w:cs="Times New Roman"/>
                <w:color w:val="auto"/>
                <w:kern w:val="0"/>
                <w:szCs w:val="24"/>
                <w:highlight w:val="none"/>
                <w:lang w:val="en-US" w:eastAsia="zh-CN"/>
              </w:rPr>
              <w:t>2119</w:t>
            </w:r>
            <w:r>
              <w:rPr>
                <w:rFonts w:hint="default" w:ascii="Times New Roman" w:hAnsi="Times New Roman" w:eastAsia="宋体" w:cs="Times New Roman"/>
                <w:color w:val="auto"/>
                <w:kern w:val="0"/>
                <w:szCs w:val="24"/>
                <w:highlight w:val="none"/>
              </w:rPr>
              <w:t>h</w:t>
            </w:r>
            <w:r>
              <w:rPr>
                <w:rFonts w:hint="default" w:eastAsia="宋体"/>
                <w:color w:val="auto"/>
                <w:kern w:val="0"/>
                <w:szCs w:val="24"/>
                <w:highlight w:val="none"/>
                <w:shd w:val="clear" w:color="auto" w:fill="auto"/>
              </w:rPr>
              <w:t>。项目所在区域太阳能资源稳定度属于稳定级别，年内月太阳总辐射值变化平稳，有利于电能稳定输出。</w:t>
            </w:r>
            <w:r>
              <w:rPr>
                <w:rFonts w:hint="default" w:eastAsia="宋体"/>
                <w:color w:val="auto"/>
                <w:szCs w:val="24"/>
                <w:highlight w:val="none"/>
                <w:shd w:val="clear" w:color="auto" w:fill="auto"/>
              </w:rPr>
              <w:t>场区区域构造稳定性较差，但场址距活动断裂有足够的安全距离，场地处于构造相对稳定地段，适宜</w:t>
            </w:r>
            <w:r>
              <w:rPr>
                <w:rFonts w:hint="eastAsia" w:eastAsia="宋体"/>
                <w:color w:val="auto"/>
                <w:szCs w:val="24"/>
                <w:highlight w:val="none"/>
                <w:shd w:val="clear" w:color="auto" w:fill="auto"/>
              </w:rPr>
              <w:t>项目</w:t>
            </w:r>
            <w:r>
              <w:rPr>
                <w:rFonts w:hint="default" w:eastAsia="宋体"/>
                <w:color w:val="auto"/>
                <w:szCs w:val="24"/>
                <w:highlight w:val="none"/>
                <w:shd w:val="clear" w:color="auto" w:fill="auto"/>
              </w:rPr>
              <w:t>的建设。</w:t>
            </w:r>
          </w:p>
          <w:p w14:paraId="0CEF2597">
            <w:pPr>
              <w:pStyle w:val="76"/>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项目光伏场区不占风景名胜区、森林公园、水源保护区、自然保护区、集中式饮用水源保护区、生态保护红线、永久基本农田等环境敏感区域。</w:t>
            </w:r>
          </w:p>
          <w:p w14:paraId="58AE7EBC">
            <w:pPr>
              <w:pStyle w:val="76"/>
              <w:keepNext w:val="0"/>
              <w:keepLines w:val="0"/>
              <w:suppressLineNumbers w:val="0"/>
              <w:shd w:val="clear"/>
              <w:adjustRightInd w:val="0"/>
              <w:snapToGrid w:val="0"/>
              <w:spacing w:before="0" w:beforeAutospacing="0" w:after="0" w:afterAutospacing="0"/>
              <w:ind w:left="0" w:right="0" w:firstLine="482"/>
              <w:jc w:val="both"/>
              <w:rPr>
                <w:rFonts w:hint="default" w:eastAsia="宋体"/>
                <w:b/>
                <w:bCs/>
                <w:color w:val="auto"/>
                <w:szCs w:val="24"/>
                <w:highlight w:val="none"/>
                <w:shd w:val="clear" w:color="auto" w:fill="auto"/>
              </w:rPr>
            </w:pPr>
            <w:r>
              <w:rPr>
                <w:rFonts w:hint="eastAsia" w:eastAsia="宋体"/>
                <w:b/>
                <w:bCs/>
                <w:color w:val="auto"/>
                <w:szCs w:val="24"/>
                <w:highlight w:val="none"/>
                <w:shd w:val="clear" w:color="auto" w:fill="auto"/>
              </w:rPr>
              <w:t>2、环境合理性分析</w:t>
            </w:r>
          </w:p>
          <w:p w14:paraId="37D890C5">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default" w:eastAsia="宋体"/>
                <w:color w:val="auto"/>
                <w:szCs w:val="24"/>
                <w:highlight w:val="none"/>
                <w:shd w:val="clear" w:color="auto" w:fill="auto"/>
              </w:rPr>
              <w:t>（1）政府部门相关意见</w:t>
            </w:r>
          </w:p>
          <w:p w14:paraId="58C03B4E">
            <w:pPr>
              <w:keepNext w:val="0"/>
              <w:keepLines w:val="0"/>
              <w:suppressLineNumbers w:val="0"/>
              <w:shd w:val="clear"/>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本项目在选址过程中，征求了项目所在地</w:t>
            </w:r>
            <w:r>
              <w:rPr>
                <w:rFonts w:hint="eastAsia"/>
                <w:color w:val="auto"/>
                <w:kern w:val="0"/>
                <w:sz w:val="24"/>
                <w:highlight w:val="none"/>
                <w:shd w:val="clear" w:color="auto" w:fill="auto"/>
                <w:lang w:val="en-US" w:eastAsia="zh-CN"/>
              </w:rPr>
              <w:t>相关</w:t>
            </w:r>
            <w:r>
              <w:rPr>
                <w:rFonts w:hint="eastAsia"/>
                <w:color w:val="auto"/>
                <w:kern w:val="0"/>
                <w:sz w:val="24"/>
                <w:highlight w:val="none"/>
                <w:shd w:val="clear" w:color="auto" w:fill="auto"/>
              </w:rPr>
              <w:t>政府部门意见，意见</w:t>
            </w:r>
            <w:r>
              <w:rPr>
                <w:rFonts w:hint="eastAsia"/>
                <w:color w:val="auto"/>
                <w:kern w:val="0"/>
                <w:sz w:val="24"/>
                <w:highlight w:val="none"/>
                <w:shd w:val="clear" w:color="auto" w:fill="auto"/>
                <w:lang w:val="en-US" w:eastAsia="zh-CN"/>
              </w:rPr>
              <w:t>符合性</w:t>
            </w:r>
            <w:r>
              <w:rPr>
                <w:rFonts w:hint="eastAsia"/>
                <w:color w:val="auto"/>
                <w:kern w:val="0"/>
                <w:sz w:val="24"/>
                <w:highlight w:val="none"/>
                <w:shd w:val="clear" w:color="auto" w:fill="auto"/>
              </w:rPr>
              <w:t>详见表</w:t>
            </w:r>
            <w:r>
              <w:rPr>
                <w:rFonts w:hint="eastAsia"/>
                <w:color w:val="auto"/>
                <w:kern w:val="0"/>
                <w:sz w:val="24"/>
                <w:highlight w:val="none"/>
                <w:shd w:val="clear" w:color="auto" w:fill="auto"/>
                <w:lang w:val="en-US" w:eastAsia="zh-CN"/>
              </w:rPr>
              <w:t>4</w:t>
            </w:r>
            <w:r>
              <w:rPr>
                <w:rFonts w:hint="eastAsia"/>
                <w:color w:val="auto"/>
                <w:kern w:val="0"/>
                <w:sz w:val="24"/>
                <w:highlight w:val="none"/>
                <w:shd w:val="clear" w:color="auto" w:fill="auto"/>
              </w:rPr>
              <w:t>-</w:t>
            </w:r>
            <w:r>
              <w:rPr>
                <w:rFonts w:hint="eastAsia"/>
                <w:color w:val="auto"/>
                <w:kern w:val="0"/>
                <w:sz w:val="24"/>
                <w:highlight w:val="none"/>
                <w:shd w:val="clear" w:color="auto" w:fill="auto"/>
                <w:lang w:val="en-US" w:eastAsia="zh-CN"/>
              </w:rPr>
              <w:t>18</w:t>
            </w:r>
            <w:r>
              <w:rPr>
                <w:rFonts w:hint="eastAsia"/>
                <w:color w:val="auto"/>
                <w:kern w:val="0"/>
                <w:sz w:val="24"/>
                <w:highlight w:val="none"/>
                <w:shd w:val="clear" w:color="auto" w:fill="auto"/>
              </w:rPr>
              <w:t>。</w:t>
            </w:r>
          </w:p>
          <w:p w14:paraId="5651D4C3">
            <w:pPr>
              <w:keepNext w:val="0"/>
              <w:keepLines w:val="0"/>
              <w:suppressLineNumbers w:val="0"/>
              <w:shd w:val="clear"/>
              <w:adjustRightInd w:val="0"/>
              <w:snapToGrid w:val="0"/>
              <w:spacing w:before="0" w:beforeAutospacing="0" w:after="0" w:afterAutospacing="0"/>
              <w:ind w:left="0" w:right="0"/>
              <w:jc w:val="center"/>
              <w:rPr>
                <w:rFonts w:hint="default" w:eastAsia="宋体"/>
                <w:b/>
                <w:color w:val="auto"/>
                <w:kern w:val="0"/>
                <w:szCs w:val="21"/>
                <w:highlight w:val="none"/>
                <w:shd w:val="clear" w:color="auto" w:fill="auto"/>
                <w:lang w:val="en-US" w:eastAsia="zh-CN"/>
              </w:rPr>
            </w:pPr>
            <w:r>
              <w:rPr>
                <w:rFonts w:hint="eastAsia"/>
                <w:b/>
                <w:bCs/>
                <w:color w:val="auto"/>
                <w:kern w:val="0"/>
                <w:szCs w:val="21"/>
                <w:highlight w:val="none"/>
                <w:shd w:val="clear" w:color="auto" w:fill="auto"/>
              </w:rPr>
              <w:t>表</w:t>
            </w:r>
            <w:r>
              <w:rPr>
                <w:rFonts w:hint="eastAsia"/>
                <w:b/>
                <w:bCs/>
                <w:color w:val="auto"/>
                <w:kern w:val="0"/>
                <w:szCs w:val="21"/>
                <w:highlight w:val="none"/>
                <w:shd w:val="clear" w:color="auto" w:fill="auto"/>
                <w:lang w:val="en-US" w:eastAsia="zh-CN"/>
              </w:rPr>
              <w:t>4</w:t>
            </w:r>
            <w:r>
              <w:rPr>
                <w:rFonts w:hint="eastAsia"/>
                <w:b/>
                <w:bCs/>
                <w:color w:val="auto"/>
                <w:kern w:val="0"/>
                <w:szCs w:val="21"/>
                <w:highlight w:val="none"/>
                <w:shd w:val="clear" w:color="auto" w:fill="auto"/>
              </w:rPr>
              <w:t>-</w:t>
            </w:r>
            <w:r>
              <w:rPr>
                <w:rFonts w:hint="eastAsia"/>
                <w:b/>
                <w:bCs/>
                <w:color w:val="auto"/>
                <w:kern w:val="0"/>
                <w:szCs w:val="21"/>
                <w:highlight w:val="none"/>
                <w:shd w:val="clear" w:color="auto" w:fill="auto"/>
                <w:lang w:val="en-US" w:eastAsia="zh-CN"/>
              </w:rPr>
              <w:t>18</w:t>
            </w:r>
            <w:r>
              <w:rPr>
                <w:rFonts w:hint="eastAsia"/>
                <w:b/>
                <w:bCs/>
                <w:color w:val="auto"/>
                <w:kern w:val="0"/>
                <w:szCs w:val="21"/>
                <w:highlight w:val="none"/>
                <w:shd w:val="clear" w:color="auto" w:fill="auto"/>
              </w:rPr>
              <w:t xml:space="preserve">  </w:t>
            </w:r>
            <w:r>
              <w:rPr>
                <w:rFonts w:hint="eastAsia"/>
                <w:b/>
                <w:bCs/>
                <w:color w:val="auto"/>
                <w:kern w:val="0"/>
                <w:szCs w:val="21"/>
                <w:highlight w:val="none"/>
                <w:shd w:val="clear" w:color="auto" w:fill="auto"/>
                <w:lang w:val="en-US" w:eastAsia="zh-CN"/>
              </w:rPr>
              <w:t>与相关部门</w:t>
            </w:r>
            <w:r>
              <w:rPr>
                <w:rFonts w:hint="eastAsia"/>
                <w:b/>
                <w:bCs/>
                <w:color w:val="auto"/>
                <w:kern w:val="0"/>
                <w:szCs w:val="21"/>
                <w:highlight w:val="none"/>
                <w:shd w:val="clear" w:color="auto" w:fill="auto"/>
              </w:rPr>
              <w:t>意见</w:t>
            </w:r>
            <w:r>
              <w:rPr>
                <w:rFonts w:hint="eastAsia"/>
                <w:b/>
                <w:bCs/>
                <w:color w:val="auto"/>
                <w:kern w:val="0"/>
                <w:szCs w:val="21"/>
                <w:highlight w:val="none"/>
                <w:shd w:val="clear" w:color="auto" w:fill="auto"/>
                <w:lang w:val="en-US" w:eastAsia="zh-CN"/>
              </w:rPr>
              <w:t>符合性分析</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14"/>
              <w:gridCol w:w="3009"/>
              <w:gridCol w:w="3527"/>
            </w:tblGrid>
            <w:tr w14:paraId="5BEB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26CF1356">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序号</w:t>
                  </w:r>
                </w:p>
              </w:tc>
              <w:tc>
                <w:tcPr>
                  <w:tcW w:w="576" w:type="pct"/>
                  <w:vAlign w:val="center"/>
                </w:tcPr>
                <w:p w14:paraId="6F86973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lang w:val="en-US" w:eastAsia="zh-CN"/>
                    </w:rPr>
                    <w:t>相关</w:t>
                  </w:r>
                  <w:r>
                    <w:rPr>
                      <w:rFonts w:hint="eastAsia"/>
                      <w:b/>
                      <w:bCs/>
                      <w:color w:val="auto"/>
                      <w:spacing w:val="0"/>
                      <w:szCs w:val="21"/>
                      <w:highlight w:val="none"/>
                      <w:shd w:val="clear" w:color="auto" w:fill="auto"/>
                    </w:rPr>
                    <w:t>单位</w:t>
                  </w:r>
                </w:p>
              </w:tc>
              <w:tc>
                <w:tcPr>
                  <w:tcW w:w="1896" w:type="pct"/>
                  <w:vAlign w:val="center"/>
                </w:tcPr>
                <w:p w14:paraId="5A69E15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b/>
                      <w:bCs/>
                      <w:color w:val="auto"/>
                      <w:spacing w:val="0"/>
                      <w:szCs w:val="21"/>
                      <w:highlight w:val="none"/>
                      <w:shd w:val="clear" w:color="auto" w:fill="auto"/>
                    </w:rPr>
                  </w:pPr>
                  <w:r>
                    <w:rPr>
                      <w:rFonts w:hint="eastAsia"/>
                      <w:b/>
                      <w:bCs/>
                      <w:color w:val="auto"/>
                      <w:spacing w:val="0"/>
                      <w:szCs w:val="21"/>
                      <w:highlight w:val="none"/>
                      <w:shd w:val="clear" w:color="auto" w:fill="auto"/>
                    </w:rPr>
                    <w:t>主要意见</w:t>
                  </w:r>
                </w:p>
              </w:tc>
              <w:tc>
                <w:tcPr>
                  <w:tcW w:w="2223" w:type="pct"/>
                  <w:vAlign w:val="center"/>
                </w:tcPr>
                <w:p w14:paraId="6B67B0F4">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
                      <w:bCs/>
                      <w:color w:val="auto"/>
                      <w:spacing w:val="0"/>
                      <w:szCs w:val="21"/>
                      <w:highlight w:val="none"/>
                      <w:shd w:val="clear" w:color="auto" w:fill="auto"/>
                      <w:lang w:eastAsia="zh-CN"/>
                    </w:rPr>
                  </w:pPr>
                  <w:r>
                    <w:rPr>
                      <w:rFonts w:hint="eastAsia"/>
                      <w:b/>
                      <w:bCs/>
                      <w:color w:val="auto"/>
                      <w:spacing w:val="0"/>
                      <w:szCs w:val="21"/>
                      <w:highlight w:val="none"/>
                      <w:shd w:val="clear" w:color="auto" w:fill="auto"/>
                      <w:lang w:val="en-US" w:eastAsia="zh-CN"/>
                    </w:rPr>
                    <w:t>符合性分析</w:t>
                  </w:r>
                </w:p>
              </w:tc>
            </w:tr>
            <w:tr w14:paraId="1118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Align w:val="center"/>
                </w:tcPr>
                <w:p w14:paraId="4E90C12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val="en-US" w:eastAsia="zh-CN"/>
                    </w:rPr>
                  </w:pPr>
                  <w:r>
                    <w:rPr>
                      <w:rFonts w:hint="eastAsia"/>
                      <w:bCs/>
                      <w:color w:val="auto"/>
                      <w:spacing w:val="0"/>
                      <w:szCs w:val="21"/>
                      <w:highlight w:val="none"/>
                      <w:shd w:val="clear" w:color="auto" w:fill="auto"/>
                      <w:lang w:val="en-US" w:eastAsia="zh-CN"/>
                    </w:rPr>
                    <w:t>1</w:t>
                  </w:r>
                </w:p>
              </w:tc>
              <w:tc>
                <w:tcPr>
                  <w:tcW w:w="576" w:type="pct"/>
                  <w:vAlign w:val="center"/>
                </w:tcPr>
                <w:p w14:paraId="37FBDE9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snapToGrid w:val="0"/>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w:t>
                  </w:r>
                  <w:bookmarkStart w:id="166" w:name="_GoBack"/>
                  <w:bookmarkEnd w:id="166"/>
                  <w:r>
                    <w:rPr>
                      <w:rFonts w:hint="eastAsia"/>
                      <w:snapToGrid w:val="0"/>
                      <w:color w:val="auto"/>
                      <w:spacing w:val="0"/>
                      <w:szCs w:val="21"/>
                      <w:highlight w:val="none"/>
                      <w:shd w:val="clear" w:color="auto" w:fill="auto"/>
                      <w:lang w:eastAsia="zh-CN"/>
                    </w:rPr>
                    <w:t>自然资源局</w:t>
                  </w:r>
                </w:p>
              </w:tc>
              <w:tc>
                <w:tcPr>
                  <w:tcW w:w="1896" w:type="pct"/>
                  <w:vAlign w:val="center"/>
                </w:tcPr>
                <w:p w14:paraId="6C9E9BDE">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一、经我局与寻甸县生态保护红线及城镇开发边界叠加核实，寻甸白石岩、石崖、梳山、竹园沟光伏项目用地范围未涉及生态保护红线，不在城镇开发边界内。</w:t>
                  </w:r>
                </w:p>
                <w:p w14:paraId="34E3F3DA">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eastAsia="宋体"/>
                      <w:color w:val="auto"/>
                      <w:spacing w:val="0"/>
                      <w:sz w:val="21"/>
                      <w:szCs w:val="21"/>
                      <w:highlight w:val="none"/>
                      <w:shd w:val="clear" w:color="auto" w:fill="auto"/>
                      <w:lang w:val="en-US" w:eastAsia="zh-CN" w:bidi="he-IL"/>
                    </w:rPr>
                  </w:pPr>
                  <w:r>
                    <w:rPr>
                      <w:rFonts w:hint="eastAsia"/>
                      <w:color w:val="auto"/>
                      <w:spacing w:val="0"/>
                      <w:sz w:val="21"/>
                      <w:szCs w:val="21"/>
                      <w:highlight w:val="none"/>
                      <w:shd w:val="clear" w:color="auto" w:fill="auto"/>
                      <w:lang w:val="en-US" w:eastAsia="zh-CN" w:bidi="he-IL"/>
                    </w:rPr>
                    <w:t>二、经我局与寻甸县永久基本农田核实处置成果叠加核实，该项目范围未涉及寻甸县永久基本农田。</w:t>
                  </w:r>
                </w:p>
              </w:tc>
              <w:tc>
                <w:tcPr>
                  <w:tcW w:w="2223" w:type="pct"/>
                  <w:vAlign w:val="center"/>
                </w:tcPr>
                <w:p w14:paraId="333423DB">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jc w:val="left"/>
                    <w:textAlignment w:val="center"/>
                    <w:rPr>
                      <w:rFonts w:hint="eastAsia"/>
                      <w:color w:val="auto"/>
                      <w:spacing w:val="0"/>
                      <w:sz w:val="21"/>
                      <w:szCs w:val="21"/>
                      <w:highlight w:val="none"/>
                      <w:shd w:val="clear" w:color="auto" w:fill="auto"/>
                    </w:rPr>
                  </w:pPr>
                  <w:r>
                    <w:rPr>
                      <w:rFonts w:hint="eastAsia" w:ascii="Times New Roman" w:hAnsi="Times New Roman" w:eastAsia="宋体" w:cs="Times New Roman"/>
                      <w:color w:val="auto"/>
                      <w:spacing w:val="0"/>
                      <w:kern w:val="0"/>
                      <w:sz w:val="21"/>
                      <w:szCs w:val="21"/>
                      <w:highlight w:val="none"/>
                      <w:shd w:val="clear" w:color="auto" w:fill="auto"/>
                      <w:lang w:val="en-US" w:eastAsia="zh-CN" w:bidi="ar"/>
                    </w:rPr>
                    <w:t>建设单位现正严格根据相关用地法律、法规要求按照程序办理使用手续</w:t>
                  </w:r>
                  <w:r>
                    <w:rPr>
                      <w:rFonts w:hint="eastAsia" w:cs="Times New Roman"/>
                      <w:color w:val="auto"/>
                      <w:spacing w:val="0"/>
                      <w:kern w:val="0"/>
                      <w:sz w:val="21"/>
                      <w:szCs w:val="21"/>
                      <w:highlight w:val="none"/>
                      <w:shd w:val="clear" w:color="auto" w:fill="auto"/>
                      <w:lang w:val="en-US" w:eastAsia="zh-CN" w:bidi="ar"/>
                    </w:rPr>
                    <w:t>，</w:t>
                  </w:r>
                  <w:r>
                    <w:rPr>
                      <w:rFonts w:hint="eastAsia"/>
                      <w:color w:val="auto"/>
                      <w:spacing w:val="0"/>
                      <w:kern w:val="0"/>
                      <w:szCs w:val="21"/>
                      <w:highlight w:val="none"/>
                      <w:shd w:val="clear" w:color="auto" w:fill="auto"/>
                      <w:lang w:val="en-US" w:eastAsia="zh-CN"/>
                    </w:rPr>
                    <w:t>还未开工建设，</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因此，项目建设符合</w:t>
                  </w:r>
                  <w:r>
                    <w:rPr>
                      <w:rFonts w:hint="eastAsia"/>
                      <w:snapToGrid w:val="0"/>
                      <w:color w:val="auto"/>
                      <w:spacing w:val="0"/>
                      <w:szCs w:val="21"/>
                      <w:highlight w:val="none"/>
                      <w:shd w:val="clear" w:color="auto" w:fill="auto"/>
                      <w:lang w:eastAsia="zh-CN"/>
                    </w:rPr>
                    <w:t>寻甸回族彝族自治县自然资源局</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意见要求。</w:t>
                  </w:r>
                </w:p>
              </w:tc>
            </w:tr>
            <w:tr w14:paraId="4FE9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2507891F">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2</w:t>
                  </w:r>
                </w:p>
              </w:tc>
              <w:tc>
                <w:tcPr>
                  <w:tcW w:w="914" w:type="dxa"/>
                  <w:vAlign w:val="center"/>
                </w:tcPr>
                <w:p w14:paraId="7DCA664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yellow"/>
                      <w:shd w:val="clear" w:color="auto" w:fill="auto"/>
                    </w:rPr>
                  </w:pPr>
                  <w:r>
                    <w:rPr>
                      <w:rFonts w:hint="eastAsia"/>
                      <w:snapToGrid w:val="0"/>
                      <w:color w:val="auto"/>
                      <w:spacing w:val="0"/>
                      <w:szCs w:val="21"/>
                      <w:highlight w:val="none"/>
                      <w:shd w:val="clear" w:color="auto" w:fill="auto"/>
                      <w:lang w:eastAsia="zh-CN"/>
                    </w:rPr>
                    <w:t>寻甸回族彝族自治县</w:t>
                  </w:r>
                  <w:r>
                    <w:rPr>
                      <w:rFonts w:hint="eastAsia"/>
                      <w:snapToGrid w:val="0"/>
                      <w:color w:val="auto"/>
                      <w:spacing w:val="0"/>
                      <w:szCs w:val="21"/>
                      <w:highlight w:val="none"/>
                      <w:shd w:val="clear" w:color="auto" w:fill="auto"/>
                    </w:rPr>
                    <w:t>林业和草原局</w:t>
                  </w:r>
                </w:p>
              </w:tc>
              <w:tc>
                <w:tcPr>
                  <w:tcW w:w="3009" w:type="dxa"/>
                  <w:vAlign w:val="center"/>
                </w:tcPr>
                <w:p w14:paraId="7D62F9DE">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eastAsia"/>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项目选址范围涉及寻甸县境内的林、草地，经比对现行林草资料，选址地块不涉及国家公园、各级自然保护区、森林公园风景名胜区、草原公园、自然保护地等敏感因素，项目选址符合现行林草规划。</w:t>
                  </w:r>
                </w:p>
                <w:p w14:paraId="41E86128">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yellow"/>
                      <w:shd w:val="clear" w:color="auto" w:fill="auto"/>
                      <w:lang w:bidi="he-IL"/>
                    </w:rPr>
                  </w:pPr>
                  <w:r>
                    <w:rPr>
                      <w:rFonts w:hint="eastAsia"/>
                      <w:color w:val="auto"/>
                      <w:spacing w:val="0"/>
                      <w:szCs w:val="21"/>
                      <w:highlight w:val="none"/>
                      <w:shd w:val="clear" w:color="auto" w:fill="auto"/>
                      <w:lang w:bidi="he-IL"/>
                    </w:rPr>
                    <w:t>后续实施过程中，必须严格根据现地调查情况及最新林草资料，依法办理用林用草手续后方可开工建设。</w:t>
                  </w:r>
                </w:p>
              </w:tc>
              <w:tc>
                <w:tcPr>
                  <w:tcW w:w="3527" w:type="dxa"/>
                  <w:vAlign w:val="center"/>
                </w:tcPr>
                <w:p w14:paraId="6F81842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left"/>
                    <w:textAlignment w:val="center"/>
                    <w:rPr>
                      <w:rFonts w:hint="default"/>
                      <w:color w:val="auto"/>
                      <w:spacing w:val="0"/>
                      <w:szCs w:val="21"/>
                      <w:highlight w:val="yellow"/>
                      <w:shd w:val="clear" w:color="auto" w:fill="auto"/>
                      <w:lang w:bidi="he-IL"/>
                    </w:rPr>
                  </w:pPr>
                  <w:r>
                    <w:rPr>
                      <w:rFonts w:hint="eastAsia"/>
                      <w:color w:val="auto"/>
                      <w:kern w:val="0"/>
                      <w:szCs w:val="21"/>
                      <w:highlight w:val="none"/>
                    </w:rPr>
                    <w:t>建设单位现正严格根据相关林草法律、法规要求按照程序办理使用手续，</w:t>
                  </w:r>
                  <w:r>
                    <w:rPr>
                      <w:rFonts w:hint="eastAsia"/>
                      <w:color w:val="auto"/>
                      <w:kern w:val="0"/>
                      <w:szCs w:val="21"/>
                      <w:highlight w:val="none"/>
                      <w:lang w:val="en-US" w:eastAsia="zh-CN"/>
                    </w:rPr>
                    <w:t>建设单位承诺在取得</w:t>
                  </w:r>
                  <w:r>
                    <w:rPr>
                      <w:rFonts w:hint="eastAsia"/>
                      <w:color w:val="auto"/>
                      <w:spacing w:val="0"/>
                      <w:szCs w:val="21"/>
                      <w:highlight w:val="none"/>
                      <w:shd w:val="clear" w:color="auto" w:fill="auto"/>
                      <w:lang w:bidi="he-IL"/>
                    </w:rPr>
                    <w:t>用林用草手续后</w:t>
                  </w:r>
                  <w:r>
                    <w:rPr>
                      <w:rFonts w:hint="eastAsia"/>
                      <w:color w:val="auto"/>
                      <w:spacing w:val="0"/>
                      <w:szCs w:val="21"/>
                      <w:highlight w:val="none"/>
                      <w:shd w:val="clear" w:color="auto" w:fill="auto"/>
                      <w:lang w:val="en-US" w:eastAsia="zh-CN" w:bidi="he-IL"/>
                    </w:rPr>
                    <w:t>再</w:t>
                  </w:r>
                  <w:r>
                    <w:rPr>
                      <w:rFonts w:hint="eastAsia"/>
                      <w:color w:val="auto"/>
                      <w:spacing w:val="0"/>
                      <w:szCs w:val="21"/>
                      <w:highlight w:val="none"/>
                      <w:shd w:val="clear" w:color="auto" w:fill="auto"/>
                      <w:lang w:bidi="he-IL"/>
                    </w:rPr>
                    <w:t>开工建设</w:t>
                  </w:r>
                  <w:r>
                    <w:rPr>
                      <w:rFonts w:hint="eastAsia"/>
                      <w:color w:val="auto"/>
                      <w:spacing w:val="0"/>
                      <w:szCs w:val="21"/>
                      <w:highlight w:val="none"/>
                      <w:shd w:val="clear" w:color="auto" w:fill="auto"/>
                      <w:lang w:eastAsia="zh-CN" w:bidi="he-IL"/>
                    </w:rPr>
                    <w:t>，</w:t>
                  </w:r>
                  <w:r>
                    <w:rPr>
                      <w:rFonts w:hint="eastAsia"/>
                      <w:color w:val="auto"/>
                      <w:kern w:val="0"/>
                      <w:szCs w:val="21"/>
                      <w:highlight w:val="none"/>
                    </w:rPr>
                    <w:t>因此项目建设符合</w:t>
                  </w:r>
                  <w:r>
                    <w:rPr>
                      <w:rFonts w:hint="eastAsia"/>
                      <w:color w:val="auto"/>
                      <w:kern w:val="0"/>
                      <w:szCs w:val="21"/>
                      <w:highlight w:val="none"/>
                      <w:lang w:eastAsia="zh-CN"/>
                    </w:rPr>
                    <w:t>寻甸</w:t>
                  </w:r>
                  <w:r>
                    <w:rPr>
                      <w:rFonts w:hint="eastAsia"/>
                      <w:color w:val="auto"/>
                      <w:kern w:val="0"/>
                      <w:szCs w:val="21"/>
                      <w:highlight w:val="none"/>
                    </w:rPr>
                    <w:t>县林业和草原局意见要求。</w:t>
                  </w:r>
                </w:p>
              </w:tc>
            </w:tr>
            <w:tr w14:paraId="1F5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48C312C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3</w:t>
                  </w:r>
                </w:p>
              </w:tc>
              <w:tc>
                <w:tcPr>
                  <w:tcW w:w="576" w:type="pct"/>
                  <w:vAlign w:val="center"/>
                </w:tcPr>
                <w:p w14:paraId="47FB37FC">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寻甸回族彝族自治县水务局</w:t>
                  </w:r>
                </w:p>
              </w:tc>
              <w:tc>
                <w:tcPr>
                  <w:tcW w:w="1896" w:type="pct"/>
                  <w:vAlign w:val="center"/>
                </w:tcPr>
                <w:p w14:paraId="1B5A04B7">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firstLine="420" w:firstLineChars="200"/>
                    <w:textAlignment w:val="center"/>
                    <w:rPr>
                      <w:rFonts w:hint="default"/>
                      <w:color w:val="auto"/>
                      <w:spacing w:val="0"/>
                      <w:szCs w:val="21"/>
                      <w:highlight w:val="none"/>
                      <w:shd w:val="clear" w:color="auto" w:fill="auto"/>
                      <w:lang w:val="en-US" w:bidi="he-IL"/>
                    </w:rPr>
                  </w:pPr>
                  <w:r>
                    <w:rPr>
                      <w:rFonts w:hint="eastAsia"/>
                      <w:color w:val="auto"/>
                      <w:spacing w:val="0"/>
                      <w:szCs w:val="21"/>
                      <w:highlight w:val="none"/>
                      <w:shd w:val="clear" w:color="auto" w:fill="auto"/>
                      <w:lang w:val="en-US" w:eastAsia="zh-CN" w:bidi="he-IL"/>
                    </w:rPr>
                    <w:t>经查现状水源地保护区情况，项目不涉及饮用水源地保护区，项目建设应符合水土保持相关法律法规要求，水土保持方案未经审批，不得开工建设。</w:t>
                  </w:r>
                </w:p>
              </w:tc>
              <w:tc>
                <w:tcPr>
                  <w:tcW w:w="2223" w:type="pct"/>
                  <w:vAlign w:val="center"/>
                </w:tcPr>
                <w:p w14:paraId="199D1212">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现阶段，</w:t>
                  </w:r>
                  <w:r>
                    <w:rPr>
                      <w:rFonts w:hint="eastAsia"/>
                      <w:color w:val="auto"/>
                      <w:spacing w:val="-5"/>
                      <w:szCs w:val="21"/>
                      <w:lang w:bidi="he-IL"/>
                    </w:rPr>
                    <w:t>建设单位已委托</w:t>
                  </w:r>
                  <w:r>
                    <w:rPr>
                      <w:rFonts w:hint="eastAsia"/>
                      <w:color w:val="auto"/>
                      <w:spacing w:val="-5"/>
                      <w:szCs w:val="21"/>
                      <w:lang w:val="en-US" w:eastAsia="zh-CN" w:bidi="he-IL"/>
                    </w:rPr>
                    <w:t>有资质单位</w:t>
                  </w:r>
                  <w:r>
                    <w:rPr>
                      <w:rFonts w:hint="eastAsia"/>
                      <w:color w:val="auto"/>
                      <w:spacing w:val="-5"/>
                      <w:szCs w:val="21"/>
                      <w:lang w:bidi="he-IL"/>
                    </w:rPr>
                    <w:t>编制《</w:t>
                  </w:r>
                  <w:r>
                    <w:rPr>
                      <w:rFonts w:hint="eastAsia" w:cs="Times New Roman"/>
                      <w:color w:val="auto"/>
                      <w:spacing w:val="0"/>
                      <w:szCs w:val="21"/>
                      <w:highlight w:val="none"/>
                      <w:shd w:val="clear" w:color="auto" w:fill="auto"/>
                      <w:lang w:val="en-US" w:eastAsia="zh-CN" w:bidi="he-IL"/>
                    </w:rPr>
                    <w:t>梳山光伏发电项目</w:t>
                  </w:r>
                  <w:r>
                    <w:rPr>
                      <w:rFonts w:hint="eastAsia"/>
                      <w:color w:val="auto"/>
                      <w:spacing w:val="-5"/>
                      <w:szCs w:val="21"/>
                      <w:lang w:bidi="he-IL"/>
                    </w:rPr>
                    <w:t>水土保持方案报告书》，并按相关程序正在办理审批手续。</w:t>
                  </w:r>
                  <w:r>
                    <w:rPr>
                      <w:rFonts w:hint="eastAsia"/>
                      <w:color w:val="auto"/>
                      <w:spacing w:val="0"/>
                      <w:szCs w:val="21"/>
                      <w:highlight w:val="none"/>
                      <w:shd w:val="clear" w:color="auto" w:fill="auto"/>
                      <w:lang w:bidi="he-IL"/>
                    </w:rPr>
                    <w:t>建设单位将严格按照水保措施要求进行项目的建设和运行，履行水土流失治理义务。因此项目建设符合</w:t>
                  </w:r>
                  <w:r>
                    <w:rPr>
                      <w:rFonts w:hint="eastAsia"/>
                      <w:snapToGrid w:val="0"/>
                      <w:color w:val="auto"/>
                      <w:spacing w:val="0"/>
                      <w:szCs w:val="21"/>
                      <w:highlight w:val="none"/>
                      <w:shd w:val="clear" w:color="auto" w:fill="auto"/>
                      <w:lang w:eastAsia="zh-CN"/>
                    </w:rPr>
                    <w:t>寻甸回族彝族自治县水务局</w:t>
                  </w:r>
                  <w:r>
                    <w:rPr>
                      <w:rFonts w:hint="eastAsia"/>
                      <w:color w:val="auto"/>
                      <w:spacing w:val="0"/>
                      <w:szCs w:val="21"/>
                      <w:highlight w:val="none"/>
                      <w:shd w:val="clear" w:color="auto" w:fill="auto"/>
                      <w:lang w:bidi="he-IL"/>
                    </w:rPr>
                    <w:t>意见要求。</w:t>
                  </w:r>
                </w:p>
              </w:tc>
            </w:tr>
            <w:tr w14:paraId="75C3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303" w:type="pct"/>
                  <w:vAlign w:val="center"/>
                </w:tcPr>
                <w:p w14:paraId="06BDFCCD">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eastAsia" w:eastAsia="宋体"/>
                      <w:bCs/>
                      <w:color w:val="auto"/>
                      <w:spacing w:val="0"/>
                      <w:szCs w:val="21"/>
                      <w:highlight w:val="none"/>
                      <w:shd w:val="clear" w:color="auto" w:fill="auto"/>
                      <w:lang w:eastAsia="zh-CN"/>
                    </w:rPr>
                  </w:pPr>
                  <w:r>
                    <w:rPr>
                      <w:rFonts w:hint="eastAsia"/>
                      <w:bCs/>
                      <w:color w:val="auto"/>
                      <w:spacing w:val="0"/>
                      <w:szCs w:val="21"/>
                      <w:highlight w:val="none"/>
                      <w:shd w:val="clear" w:color="auto" w:fill="auto"/>
                      <w:lang w:val="en-US" w:eastAsia="zh-CN"/>
                    </w:rPr>
                    <w:t>4</w:t>
                  </w:r>
                </w:p>
              </w:tc>
              <w:tc>
                <w:tcPr>
                  <w:tcW w:w="576" w:type="pct"/>
                  <w:vAlign w:val="center"/>
                </w:tcPr>
                <w:p w14:paraId="7253BC0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50" w:lineRule="exact"/>
                    <w:ind w:left="0" w:leftChars="0" w:right="0" w:rightChars="0"/>
                    <w:jc w:val="center"/>
                    <w:textAlignment w:val="center"/>
                    <w:rPr>
                      <w:rFonts w:hint="default"/>
                      <w:color w:val="auto"/>
                      <w:spacing w:val="0"/>
                      <w:szCs w:val="21"/>
                      <w:highlight w:val="none"/>
                      <w:shd w:val="clear" w:color="auto" w:fill="auto"/>
                    </w:rPr>
                  </w:pPr>
                  <w:r>
                    <w:rPr>
                      <w:rFonts w:hint="eastAsia"/>
                      <w:snapToGrid w:val="0"/>
                      <w:color w:val="auto"/>
                      <w:spacing w:val="0"/>
                      <w:szCs w:val="21"/>
                      <w:highlight w:val="none"/>
                      <w:shd w:val="clear" w:color="auto" w:fill="auto"/>
                      <w:lang w:eastAsia="zh-CN"/>
                    </w:rPr>
                    <w:t>寻甸回族彝族自治县文化和旅游局</w:t>
                  </w:r>
                </w:p>
              </w:tc>
              <w:tc>
                <w:tcPr>
                  <w:tcW w:w="1896" w:type="pct"/>
                  <w:vAlign w:val="center"/>
                </w:tcPr>
                <w:p w14:paraId="6B0E4C40">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1.针对附件所报选址范围，我局无意见。</w:t>
                  </w:r>
                </w:p>
                <w:p w14:paraId="67CFF961">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eastAsia"/>
                      <w:color w:val="auto"/>
                      <w:spacing w:val="0"/>
                      <w:szCs w:val="21"/>
                      <w:highlight w:val="none"/>
                      <w:shd w:val="clear" w:color="auto" w:fill="auto"/>
                      <w:lang w:val="en-US" w:eastAsia="zh-CN" w:bidi="he-IL"/>
                    </w:rPr>
                  </w:pPr>
                  <w:r>
                    <w:rPr>
                      <w:rFonts w:hint="eastAsia"/>
                      <w:color w:val="auto"/>
                      <w:spacing w:val="0"/>
                      <w:szCs w:val="21"/>
                      <w:highlight w:val="none"/>
                      <w:shd w:val="clear" w:color="auto" w:fill="auto"/>
                      <w:lang w:val="en-US" w:eastAsia="zh-CN" w:bidi="he-IL"/>
                    </w:rPr>
                    <w:t xml:space="preserve">2.如选址范围有变动，项目建设方须第一时间向县级文物主管部门报告，按程序开展选址范围核查、文物踏勘等工作。  </w:t>
                  </w:r>
                </w:p>
                <w:p w14:paraId="5F3B0203">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leftChars="0" w:right="0" w:rightChars="0" w:firstLine="420" w:firstLineChars="200"/>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val="en-US" w:eastAsia="zh-CN" w:bidi="he-IL"/>
                    </w:rPr>
                    <w:t>3.请严格按照相关要求开展施工，在施工过程中如发现文物，须立即停止工程作业，且第一时间报县级文物主管部门，按程序处理。</w:t>
                  </w:r>
                </w:p>
              </w:tc>
              <w:tc>
                <w:tcPr>
                  <w:tcW w:w="2223" w:type="pct"/>
                  <w:vAlign w:val="center"/>
                </w:tcPr>
                <w:p w14:paraId="5E571BA5">
                  <w:pPr>
                    <w:keepNext w:val="0"/>
                    <w:keepLines w:val="0"/>
                    <w:pageBreakBefore w:val="0"/>
                    <w:widowControl w:val="0"/>
                    <w:suppressLineNumbers w:val="0"/>
                    <w:shd w:val="clear"/>
                    <w:kinsoku/>
                    <w:wordWrap/>
                    <w:overflowPunct/>
                    <w:topLinePunct w:val="0"/>
                    <w:autoSpaceDE/>
                    <w:autoSpaceDN w:val="0"/>
                    <w:bidi w:val="0"/>
                    <w:adjustRightInd/>
                    <w:snapToGrid/>
                    <w:spacing w:before="0" w:beforeAutospacing="0" w:after="0" w:afterAutospacing="0" w:line="240" w:lineRule="auto"/>
                    <w:ind w:left="0" w:right="0" w:rightChars="0"/>
                    <w:jc w:val="both"/>
                    <w:textAlignment w:val="center"/>
                    <w:rPr>
                      <w:rFonts w:hint="default"/>
                      <w:color w:val="auto"/>
                      <w:spacing w:val="0"/>
                      <w:szCs w:val="21"/>
                      <w:highlight w:val="none"/>
                      <w:shd w:val="clear" w:color="auto" w:fill="auto"/>
                      <w:lang w:bidi="he-IL"/>
                    </w:rPr>
                  </w:pPr>
                  <w:r>
                    <w:rPr>
                      <w:rFonts w:hint="eastAsia"/>
                      <w:color w:val="auto"/>
                      <w:spacing w:val="0"/>
                      <w:szCs w:val="21"/>
                      <w:highlight w:val="none"/>
                      <w:shd w:val="clear" w:color="auto" w:fill="auto"/>
                      <w:lang w:bidi="he-IL"/>
                    </w:rPr>
                    <w:t>根据意见和现场调查情况，项目所在区域不属于国家或省级规定的文物保护地，也</w:t>
                  </w:r>
                  <w:r>
                    <w:rPr>
                      <w:rFonts w:hint="eastAsia"/>
                      <w:color w:val="auto"/>
                      <w:spacing w:val="0"/>
                      <w:szCs w:val="21"/>
                      <w:highlight w:val="none"/>
                      <w:shd w:val="clear" w:color="auto" w:fill="auto"/>
                      <w:lang w:val="en-US" w:eastAsia="zh-CN" w:bidi="he-IL"/>
                    </w:rPr>
                    <w:t>未</w:t>
                  </w:r>
                  <w:r>
                    <w:rPr>
                      <w:rFonts w:hint="eastAsia"/>
                      <w:color w:val="auto"/>
                      <w:spacing w:val="0"/>
                      <w:szCs w:val="21"/>
                      <w:highlight w:val="none"/>
                      <w:shd w:val="clear" w:color="auto" w:fill="auto"/>
                      <w:lang w:bidi="he-IL"/>
                    </w:rPr>
                    <w:t>发现地表文物。同时项目正根据国家及地方相关规定依法办理相关建设审批手续</w:t>
                  </w:r>
                  <w:r>
                    <w:rPr>
                      <w:rFonts w:hint="eastAsia"/>
                      <w:color w:val="auto"/>
                      <w:spacing w:val="0"/>
                      <w:szCs w:val="21"/>
                      <w:highlight w:val="none"/>
                      <w:shd w:val="clear" w:color="auto" w:fill="auto"/>
                      <w:lang w:eastAsia="zh-CN" w:bidi="he-IL"/>
                    </w:rPr>
                    <w:t>。</w:t>
                  </w:r>
                  <w:r>
                    <w:rPr>
                      <w:rFonts w:hint="eastAsia"/>
                      <w:color w:val="auto"/>
                      <w:spacing w:val="0"/>
                      <w:szCs w:val="21"/>
                      <w:highlight w:val="none"/>
                      <w:shd w:val="clear" w:color="auto" w:fill="auto"/>
                      <w:lang w:bidi="he-IL"/>
                    </w:rPr>
                    <w:t>建设单位承诺在施工过程中，若发现文物线索后立即停工，及时报告文物部门前往处理后再复工。综上，项目建设符合</w:t>
                  </w:r>
                  <w:r>
                    <w:rPr>
                      <w:rFonts w:hint="eastAsia"/>
                      <w:snapToGrid w:val="0"/>
                      <w:color w:val="auto"/>
                      <w:spacing w:val="0"/>
                      <w:szCs w:val="21"/>
                      <w:highlight w:val="none"/>
                      <w:shd w:val="clear" w:color="auto" w:fill="auto"/>
                      <w:lang w:eastAsia="zh-CN"/>
                    </w:rPr>
                    <w:t>寻甸回族彝族自治县文化和旅游局</w:t>
                  </w:r>
                  <w:r>
                    <w:rPr>
                      <w:rFonts w:hint="eastAsia"/>
                      <w:color w:val="auto"/>
                      <w:spacing w:val="0"/>
                      <w:szCs w:val="21"/>
                      <w:highlight w:val="none"/>
                      <w:shd w:val="clear" w:color="auto" w:fill="auto"/>
                      <w:lang w:bidi="he-IL"/>
                    </w:rPr>
                    <w:t>要求。</w:t>
                  </w:r>
                </w:p>
              </w:tc>
            </w:tr>
          </w:tbl>
          <w:p w14:paraId="7758CB77">
            <w:pPr>
              <w:pStyle w:val="76"/>
              <w:keepNext w:val="0"/>
              <w:keepLines w:val="0"/>
              <w:suppressLineNumbers w:val="0"/>
              <w:shd w:val="clear"/>
              <w:adjustRightInd w:val="0"/>
              <w:snapToGrid w:val="0"/>
              <w:spacing w:before="0" w:beforeAutospacing="0" w:after="0" w:afterAutospacing="0"/>
              <w:ind w:left="0" w:right="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2</w:t>
            </w:r>
            <w:r>
              <w:rPr>
                <w:rFonts w:hint="default" w:eastAsia="宋体"/>
                <w:color w:val="auto"/>
                <w:szCs w:val="24"/>
                <w:highlight w:val="none"/>
                <w:shd w:val="clear" w:color="auto" w:fill="auto"/>
              </w:rPr>
              <w:t>）环境敏感性分析</w:t>
            </w:r>
          </w:p>
          <w:p w14:paraId="7D5C950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宋体"/>
                <w:color w:val="auto"/>
                <w:szCs w:val="24"/>
                <w:highlight w:val="none"/>
                <w:shd w:val="clear" w:color="auto" w:fill="auto"/>
              </w:rPr>
            </w:pPr>
            <w:r>
              <w:rPr>
                <w:rFonts w:hint="default"/>
                <w:color w:val="auto"/>
                <w:kern w:val="0"/>
                <w:sz w:val="24"/>
                <w:highlight w:val="none"/>
                <w:lang w:bidi="ar"/>
              </w:rPr>
              <w:t>项目</w:t>
            </w:r>
            <w:r>
              <w:rPr>
                <w:rFonts w:hint="eastAsia"/>
                <w:color w:val="auto"/>
                <w:kern w:val="0"/>
                <w:sz w:val="24"/>
                <w:highlight w:val="none"/>
                <w:lang w:bidi="ar"/>
              </w:rPr>
              <w:t>光伏阵列、集电线路、逆变器</w:t>
            </w:r>
            <w:r>
              <w:rPr>
                <w:rFonts w:hint="eastAsia"/>
                <w:color w:val="auto"/>
                <w:kern w:val="0"/>
                <w:sz w:val="24"/>
                <w:highlight w:val="none"/>
                <w:lang w:eastAsia="zh-CN" w:bidi="ar"/>
              </w:rPr>
              <w:t>、</w:t>
            </w:r>
            <w:r>
              <w:rPr>
                <w:rFonts w:hint="eastAsia"/>
                <w:color w:val="auto"/>
                <w:kern w:val="0"/>
                <w:sz w:val="24"/>
                <w:highlight w:val="none"/>
                <w:lang w:bidi="ar"/>
              </w:rPr>
              <w:t>箱式变压器及临时施工等设施</w:t>
            </w:r>
            <w:r>
              <w:rPr>
                <w:rFonts w:hint="default"/>
                <w:color w:val="auto"/>
                <w:kern w:val="0"/>
                <w:sz w:val="24"/>
                <w:highlight w:val="none"/>
                <w:lang w:bidi="ar"/>
              </w:rPr>
              <w:t>选址充分考虑了国家和云南省相关用地政策、规划、环保要求，</w:t>
            </w:r>
            <w:r>
              <w:rPr>
                <w:rFonts w:hint="eastAsia"/>
                <w:color w:val="auto"/>
                <w:kern w:val="0"/>
                <w:sz w:val="24"/>
                <w:highlight w:val="none"/>
                <w:lang w:val="en-US" w:eastAsia="zh-CN" w:bidi="ar"/>
              </w:rPr>
              <w:t>均</w:t>
            </w:r>
            <w:r>
              <w:rPr>
                <w:rFonts w:hint="default"/>
                <w:color w:val="auto"/>
                <w:kern w:val="0"/>
                <w:sz w:val="24"/>
                <w:highlight w:val="none"/>
                <w:lang w:bidi="ar"/>
              </w:rPr>
              <w:t>避让了</w:t>
            </w:r>
            <w:r>
              <w:rPr>
                <w:rFonts w:hint="eastAsia"/>
                <w:color w:val="auto"/>
                <w:kern w:val="0"/>
                <w:sz w:val="24"/>
                <w:highlight w:val="none"/>
                <w:lang w:val="en-US" w:eastAsia="zh-CN" w:bidi="ar"/>
              </w:rPr>
              <w:t>生态保护红线、</w:t>
            </w:r>
            <w:r>
              <w:rPr>
                <w:rFonts w:hint="default"/>
                <w:color w:val="auto"/>
                <w:kern w:val="0"/>
                <w:sz w:val="24"/>
                <w:highlight w:val="none"/>
                <w:lang w:bidi="ar"/>
              </w:rPr>
              <w:t>基本农田、天然</w:t>
            </w:r>
            <w:r>
              <w:rPr>
                <w:rFonts w:hint="default" w:ascii="Times New Roman" w:hAnsi="Times New Roman" w:eastAsia="宋体" w:cs="Times New Roman"/>
                <w:color w:val="auto"/>
                <w:kern w:val="0"/>
                <w:sz w:val="24"/>
                <w:highlight w:val="none"/>
                <w:lang w:bidi="ar"/>
              </w:rPr>
              <w:t>林</w:t>
            </w:r>
            <w:r>
              <w:rPr>
                <w:rFonts w:hint="eastAsia" w:ascii="Times New Roman" w:hAnsi="Times New Roman" w:eastAsia="宋体" w:cs="Times New Roman"/>
                <w:color w:val="auto"/>
                <w:kern w:val="0"/>
                <w:sz w:val="24"/>
                <w:highlight w:val="none"/>
                <w:lang w:val="en-US" w:eastAsia="zh-CN" w:bidi="ar"/>
              </w:rPr>
              <w:t>保护重点区域</w:t>
            </w:r>
            <w:r>
              <w:rPr>
                <w:rFonts w:hint="default" w:ascii="Times New Roman" w:hAnsi="Times New Roman" w:eastAsia="宋体" w:cs="Times New Roman"/>
                <w:color w:val="auto"/>
                <w:kern w:val="0"/>
                <w:sz w:val="24"/>
                <w:highlight w:val="none"/>
                <w:lang w:bidi="ar"/>
              </w:rPr>
              <w:t>、乔</w:t>
            </w:r>
            <w:r>
              <w:rPr>
                <w:rFonts w:hint="default"/>
                <w:color w:val="auto"/>
                <w:kern w:val="0"/>
                <w:sz w:val="24"/>
                <w:highlight w:val="none"/>
                <w:lang w:bidi="ar"/>
              </w:rPr>
              <w:t>木林地、有林地、疏林地、未成林造林地、采伐迹地、火烧迹地、覆盖度高于50%的灌木林地，避让了自然保护区、水源保护区、风景名胜区等环境敏感区，使用的土地类型为</w:t>
            </w:r>
            <w:r>
              <w:rPr>
                <w:rFonts w:hint="eastAsia"/>
                <w:color w:val="auto"/>
                <w:kern w:val="0"/>
                <w:sz w:val="24"/>
                <w:highlight w:val="none"/>
                <w:lang w:val="en-US" w:eastAsia="zh-CN" w:bidi="ar"/>
              </w:rPr>
              <w:t>其他草地、</w:t>
            </w:r>
            <w:r>
              <w:rPr>
                <w:rFonts w:hint="eastAsia"/>
                <w:color w:val="auto"/>
                <w:kern w:val="0"/>
                <w:sz w:val="24"/>
                <w:highlight w:val="none"/>
                <w:lang w:eastAsia="zh-CN" w:bidi="ar"/>
              </w:rPr>
              <w:t>林地、</w:t>
            </w:r>
            <w:r>
              <w:rPr>
                <w:rFonts w:hint="eastAsia"/>
                <w:color w:val="auto"/>
                <w:kern w:val="0"/>
                <w:sz w:val="24"/>
                <w:highlight w:val="none"/>
                <w:lang w:val="en-US" w:eastAsia="zh-CN" w:bidi="ar"/>
              </w:rPr>
              <w:t>交通运输用地和裸土地</w:t>
            </w:r>
            <w:r>
              <w:rPr>
                <w:rFonts w:hint="default"/>
                <w:color w:val="auto"/>
                <w:kern w:val="0"/>
                <w:sz w:val="24"/>
                <w:highlight w:val="none"/>
                <w:lang w:bidi="ar"/>
              </w:rPr>
              <w:t>。项目避让了城市群主城范围，避让了旅游地区，没有布局在城市（城镇）面山区域，对城市群未来发展无明显直接影响。项目占地区域无珍稀濒危动植物，生态环境不敏感。</w:t>
            </w:r>
          </w:p>
          <w:p w14:paraId="727EB86C">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项目区域远离村镇居民集中区，周边大部分保护目标与项目场地距离较远。</w:t>
            </w:r>
            <w:r>
              <w:rPr>
                <w:rFonts w:hint="eastAsia"/>
                <w:color w:val="auto"/>
                <w:sz w:val="24"/>
                <w:highlight w:val="none"/>
                <w:shd w:val="clear" w:color="auto" w:fill="auto"/>
              </w:rPr>
              <w:t>光伏场区施工场界与敏感点的最近距离为</w:t>
            </w:r>
            <w:r>
              <w:rPr>
                <w:rFonts w:hint="eastAsia"/>
                <w:color w:val="auto"/>
                <w:sz w:val="24"/>
                <w:highlight w:val="none"/>
                <w:shd w:val="clear" w:color="auto" w:fill="auto"/>
                <w:lang w:val="en-US" w:eastAsia="zh-CN"/>
              </w:rPr>
              <w:t>101</w:t>
            </w:r>
            <w:r>
              <w:rPr>
                <w:rFonts w:hint="eastAsia"/>
                <w:color w:val="auto"/>
                <w:sz w:val="24"/>
                <w:highlight w:val="none"/>
                <w:shd w:val="clear" w:color="auto" w:fill="auto"/>
              </w:rPr>
              <w:t>m，施工主要是光伏支架、箱变基础浇筑及光伏组件的安装，施工周期较短，噪声源强</w:t>
            </w:r>
            <w:r>
              <w:rPr>
                <w:rFonts w:hint="eastAsia"/>
                <w:color w:val="auto"/>
                <w:sz w:val="24"/>
                <w:highlight w:val="none"/>
                <w:shd w:val="clear" w:color="auto" w:fill="auto"/>
                <w:lang w:val="en-US" w:eastAsia="zh-CN"/>
              </w:rPr>
              <w:t>小</w:t>
            </w:r>
            <w:r>
              <w:rPr>
                <w:rFonts w:hint="eastAsia"/>
                <w:color w:val="auto"/>
                <w:sz w:val="24"/>
                <w:highlight w:val="none"/>
                <w:shd w:val="clear" w:color="auto" w:fill="auto"/>
              </w:rPr>
              <w:t>，噪声影响属于间断性发生，</w:t>
            </w:r>
            <w:r>
              <w:rPr>
                <w:rFonts w:hint="eastAsia"/>
                <w:color w:val="auto"/>
                <w:sz w:val="24"/>
                <w:highlight w:val="none"/>
                <w:shd w:val="clear" w:color="auto" w:fill="auto"/>
                <w:lang w:val="en-US" w:eastAsia="zh-CN"/>
              </w:rPr>
              <w:t>在采取临时围挡等措施后</w:t>
            </w:r>
            <w:r>
              <w:rPr>
                <w:rFonts w:hint="eastAsia"/>
                <w:color w:val="auto"/>
                <w:sz w:val="24"/>
                <w:highlight w:val="none"/>
                <w:shd w:val="clear" w:color="auto" w:fill="auto"/>
              </w:rPr>
              <w:t>，项目光伏场区施工对周边环境影响可以得到减缓。项目</w:t>
            </w:r>
            <w:r>
              <w:rPr>
                <w:rFonts w:hint="eastAsia"/>
                <w:color w:val="auto"/>
                <w:kern w:val="0"/>
                <w:sz w:val="24"/>
                <w:highlight w:val="none"/>
                <w:shd w:val="clear" w:color="auto" w:fill="auto"/>
              </w:rPr>
              <w:t>建设产生的污染物很少，均得到有效管控，对周围环境影响小。</w:t>
            </w:r>
          </w:p>
          <w:p w14:paraId="7B4FF53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kern w:val="0"/>
                <w:sz w:val="24"/>
                <w:highlight w:val="none"/>
                <w:shd w:val="clear" w:color="auto" w:fill="auto"/>
              </w:rPr>
              <w:t>项目建设符合国家能源产业发展战略，符合我省新能源发展政策，能促进当地经济发展，有利于节能减排，是落实国家实施碳达峰、碳中和目标的具体工程，同时也符合</w:t>
            </w:r>
            <w:r>
              <w:rPr>
                <w:rFonts w:hint="eastAsia"/>
                <w:b w:val="0"/>
                <w:bCs w:val="0"/>
                <w:color w:val="auto"/>
                <w:sz w:val="24"/>
                <w:szCs w:val="24"/>
                <w:highlight w:val="none"/>
                <w:shd w:val="clear" w:color="auto" w:fill="auto"/>
              </w:rPr>
              <w:t>《</w:t>
            </w:r>
            <w:r>
              <w:rPr>
                <w:rFonts w:hint="eastAsia"/>
                <w:b w:val="0"/>
                <w:bCs w:val="0"/>
                <w:color w:val="auto"/>
                <w:sz w:val="24"/>
                <w:szCs w:val="24"/>
                <w:highlight w:val="none"/>
                <w:shd w:val="clear" w:color="auto" w:fill="auto"/>
                <w:lang w:val="en-US" w:eastAsia="zh-CN"/>
              </w:rPr>
              <w:t>云南省发展和改革委员会 云南省能源局关于印发云南省2023年第一批新能源建设方案的通知</w:t>
            </w:r>
            <w:r>
              <w:rPr>
                <w:rFonts w:hint="eastAsia"/>
                <w:b w:val="0"/>
                <w:bCs w:val="0"/>
                <w:color w:val="auto"/>
                <w:sz w:val="24"/>
                <w:szCs w:val="24"/>
                <w:highlight w:val="none"/>
                <w:shd w:val="clear" w:color="auto" w:fill="auto"/>
              </w:rPr>
              <w:t>》</w:t>
            </w:r>
            <w:r>
              <w:rPr>
                <w:rFonts w:hint="default"/>
                <w:b w:val="0"/>
                <w:bCs w:val="0"/>
                <w:color w:val="auto"/>
                <w:kern w:val="0"/>
                <w:sz w:val="24"/>
                <w:szCs w:val="24"/>
                <w:highlight w:val="none"/>
                <w:lang w:bidi="ar"/>
              </w:rPr>
              <w:t>的相关要求。因此项目建设选址合理。</w:t>
            </w:r>
          </w:p>
          <w:p w14:paraId="1E1EC2F4">
            <w:pPr>
              <w:pStyle w:val="76"/>
              <w:keepNext w:val="0"/>
              <w:keepLines w:val="0"/>
              <w:suppressLineNumbers w:val="0"/>
              <w:adjustRightInd w:val="0"/>
              <w:snapToGrid w:val="0"/>
              <w:spacing w:before="0" w:beforeAutospacing="0" w:after="0" w:afterAutospacing="0"/>
              <w:ind w:left="0" w:leftChars="0" w:right="0" w:firstLine="482" w:firstLineChars="200"/>
              <w:rPr>
                <w:rFonts w:hint="eastAsia" w:eastAsia="宋体"/>
                <w:b/>
                <w:bCs/>
                <w:color w:val="auto"/>
                <w:szCs w:val="24"/>
                <w:highlight w:val="none"/>
              </w:rPr>
            </w:pPr>
            <w:r>
              <w:rPr>
                <w:rFonts w:hint="eastAsia" w:eastAsia="宋体"/>
                <w:b/>
                <w:bCs/>
                <w:color w:val="auto"/>
                <w:szCs w:val="24"/>
                <w:highlight w:val="none"/>
                <w:lang w:val="en-US" w:eastAsia="zh-CN"/>
              </w:rPr>
              <w:t>3、</w:t>
            </w:r>
            <w:r>
              <w:rPr>
                <w:rFonts w:hint="eastAsia" w:eastAsia="宋体"/>
                <w:b/>
                <w:bCs/>
                <w:color w:val="auto"/>
                <w:szCs w:val="24"/>
                <w:highlight w:val="none"/>
              </w:rPr>
              <w:t>项目总平面布置合理性分析</w:t>
            </w:r>
          </w:p>
          <w:p w14:paraId="7E69250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eastAsia="宋体"/>
                <w:b w:val="0"/>
                <w:bCs w:val="0"/>
                <w:color w:val="auto"/>
                <w:sz w:val="24"/>
                <w:szCs w:val="24"/>
                <w:highlight w:val="none"/>
              </w:rPr>
            </w:pPr>
            <w:r>
              <w:rPr>
                <w:rFonts w:hint="eastAsia" w:eastAsia="宋体"/>
                <w:b w:val="0"/>
                <w:bCs w:val="0"/>
                <w:color w:val="auto"/>
                <w:sz w:val="24"/>
                <w:szCs w:val="24"/>
                <w:highlight w:val="none"/>
              </w:rPr>
              <w:t>根据场址总体布局规划，场址位于</w:t>
            </w:r>
            <w:r>
              <w:rPr>
                <w:rFonts w:hint="eastAsia" w:ascii="宋体" w:hAnsi="宋体" w:cs="宋体"/>
                <w:color w:val="auto"/>
                <w:kern w:val="0"/>
                <w:sz w:val="24"/>
                <w:szCs w:val="24"/>
                <w:highlight w:val="none"/>
                <w:lang w:val="en-US" w:eastAsia="zh-CN" w:bidi="ar"/>
              </w:rPr>
              <w:t>寻甸回族彝族自治县河口镇境内</w:t>
            </w:r>
            <w:r>
              <w:rPr>
                <w:rFonts w:hint="eastAsia" w:eastAsia="宋体"/>
                <w:b w:val="0"/>
                <w:bCs w:val="0"/>
                <w:color w:val="auto"/>
                <w:sz w:val="24"/>
                <w:szCs w:val="24"/>
                <w:highlight w:val="none"/>
              </w:rPr>
              <w:t>，主要布置太阳能方阵、逆变器、35</w:t>
            </w:r>
            <w:r>
              <w:rPr>
                <w:rFonts w:hint="eastAsia" w:eastAsia="宋体"/>
                <w:b w:val="0"/>
                <w:bCs w:val="0"/>
                <w:color w:val="auto"/>
                <w:sz w:val="24"/>
                <w:szCs w:val="24"/>
                <w:highlight w:val="none"/>
                <w:lang w:val="en-US" w:eastAsia="zh-CN"/>
              </w:rPr>
              <w:t>k</w:t>
            </w:r>
            <w:r>
              <w:rPr>
                <w:rFonts w:hint="eastAsia" w:eastAsia="宋体"/>
                <w:b w:val="0"/>
                <w:bCs w:val="0"/>
                <w:color w:val="auto"/>
                <w:sz w:val="24"/>
                <w:szCs w:val="24"/>
                <w:highlight w:val="none"/>
              </w:rPr>
              <w:t>V箱式变</w:t>
            </w:r>
            <w:r>
              <w:rPr>
                <w:rFonts w:hint="eastAsia" w:eastAsia="宋体"/>
                <w:b w:val="0"/>
                <w:bCs w:val="0"/>
                <w:color w:val="auto"/>
                <w:sz w:val="24"/>
                <w:szCs w:val="24"/>
                <w:highlight w:val="none"/>
                <w:lang w:val="en-US" w:eastAsia="zh-CN"/>
              </w:rPr>
              <w:t>压器</w:t>
            </w:r>
            <w:r>
              <w:rPr>
                <w:rFonts w:hint="eastAsia" w:eastAsia="宋体"/>
                <w:b w:val="0"/>
                <w:bCs w:val="0"/>
                <w:color w:val="auto"/>
                <w:sz w:val="24"/>
                <w:szCs w:val="24"/>
                <w:highlight w:val="none"/>
              </w:rPr>
              <w:t>、施工场地等。项目功能分区明显、生产生活隔开，避免了相互干扰。场内道路从场区中间的现有乡道引接，规划时充分利用场内现有道路。光伏阵列结合用地范围和地形情况，尽量避免子方阵的长宽度差异太大进行布置，以达到用地较优、节约连接电缆、日常巡查线路较短的最佳布置方案。总体来说，项目平面布局合理。</w:t>
            </w:r>
          </w:p>
          <w:p w14:paraId="31D05829">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4、临时工程</w:t>
            </w:r>
            <w:r>
              <w:rPr>
                <w:rFonts w:hint="default" w:ascii="Times New Roman" w:hAnsi="Times New Roman" w:eastAsia="宋体" w:cs="Times New Roman"/>
                <w:b/>
                <w:bCs/>
                <w:color w:val="auto"/>
                <w:kern w:val="2"/>
                <w:sz w:val="24"/>
                <w:szCs w:val="24"/>
                <w:highlight w:val="none"/>
                <w:lang w:val="en-US" w:eastAsia="zh-CN" w:bidi="ar-SA"/>
              </w:rPr>
              <w:t>选址合理性分析</w:t>
            </w:r>
          </w:p>
          <w:p w14:paraId="5FB6A64A">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eastAsia"/>
                <w:bCs/>
                <w:color w:val="auto"/>
                <w:sz w:val="24"/>
                <w:szCs w:val="24"/>
                <w:highlight w:val="none"/>
                <w:shd w:val="clear" w:color="auto" w:fill="auto"/>
              </w:rPr>
              <w:t>由于本</w:t>
            </w:r>
            <w:r>
              <w:rPr>
                <w:rFonts w:hint="eastAsia"/>
                <w:bCs/>
                <w:color w:val="auto"/>
                <w:sz w:val="24"/>
                <w:szCs w:val="24"/>
                <w:highlight w:val="none"/>
                <w:shd w:val="clear" w:color="auto" w:fill="auto"/>
                <w:lang w:val="en-US" w:eastAsia="zh-CN"/>
              </w:rPr>
              <w:t>项目</w:t>
            </w:r>
            <w:r>
              <w:rPr>
                <w:rFonts w:hint="eastAsia"/>
                <w:bCs/>
                <w:color w:val="auto"/>
                <w:sz w:val="24"/>
                <w:szCs w:val="24"/>
                <w:highlight w:val="none"/>
                <w:shd w:val="clear" w:color="auto" w:fill="auto"/>
              </w:rPr>
              <w:t>工期较短，</w:t>
            </w:r>
            <w:r>
              <w:rPr>
                <w:rFonts w:hint="eastAsia"/>
                <w:bCs/>
                <w:color w:val="auto"/>
                <w:sz w:val="24"/>
                <w:szCs w:val="24"/>
                <w:highlight w:val="none"/>
                <w:shd w:val="clear" w:color="auto" w:fill="auto"/>
                <w:lang w:val="en-US" w:eastAsia="zh-CN"/>
              </w:rPr>
              <w:t>本项目设置1个施工场地，位于项目13#太阳能光伏阵列东侧平缓区域内，占地面积0.25hm</w:t>
            </w:r>
            <w:r>
              <w:rPr>
                <w:rFonts w:hint="eastAsia"/>
                <w:bCs/>
                <w:color w:val="auto"/>
                <w:sz w:val="24"/>
                <w:szCs w:val="24"/>
                <w:highlight w:val="none"/>
                <w:shd w:val="clear" w:color="auto" w:fill="auto"/>
                <w:vertAlign w:val="superscript"/>
                <w:lang w:val="en-US" w:eastAsia="zh-CN"/>
              </w:rPr>
              <w:t>2</w:t>
            </w:r>
            <w:r>
              <w:rPr>
                <w:rFonts w:hint="eastAsia"/>
                <w:bCs/>
                <w:color w:val="auto"/>
                <w:sz w:val="24"/>
                <w:szCs w:val="24"/>
                <w:highlight w:val="none"/>
                <w:shd w:val="clear" w:color="auto" w:fill="auto"/>
                <w:lang w:val="en-US" w:eastAsia="zh-CN"/>
              </w:rPr>
              <w:t>，施工场地距离敏感目标最近距离</w:t>
            </w:r>
            <w:r>
              <w:rPr>
                <w:rFonts w:hint="eastAsia" w:ascii="Times New Roman" w:hAnsi="Times New Roman" w:cs="Times New Roman"/>
                <w:bCs/>
                <w:color w:val="auto"/>
                <w:sz w:val="24"/>
                <w:szCs w:val="24"/>
                <w:highlight w:val="none"/>
                <w:lang w:val="en-US" w:eastAsia="zh-CN"/>
              </w:rPr>
              <w:t>在</w:t>
            </w:r>
            <w:r>
              <w:rPr>
                <w:rFonts w:hint="eastAsia" w:cs="Times New Roman"/>
                <w:bCs/>
                <w:color w:val="auto"/>
                <w:sz w:val="24"/>
                <w:szCs w:val="24"/>
                <w:highlight w:val="none"/>
                <w:lang w:val="en-US" w:eastAsia="zh-CN"/>
              </w:rPr>
              <w:t>669</w:t>
            </w:r>
            <w:r>
              <w:rPr>
                <w:rFonts w:hint="eastAsia" w:ascii="Times New Roman" w:hAnsi="Times New Roman" w:cs="Times New Roman"/>
                <w:bCs/>
                <w:color w:val="auto"/>
                <w:sz w:val="24"/>
                <w:szCs w:val="24"/>
                <w:highlight w:val="none"/>
                <w:lang w:val="en-US" w:eastAsia="zh-CN"/>
              </w:rPr>
              <w:t>m</w:t>
            </w:r>
            <w:r>
              <w:rPr>
                <w:rFonts w:hint="eastAsia" w:cs="Times New Roman"/>
                <w:bCs/>
                <w:color w:val="auto"/>
                <w:sz w:val="24"/>
                <w:szCs w:val="24"/>
                <w:highlight w:val="none"/>
                <w:lang w:val="en-US" w:eastAsia="zh-CN"/>
              </w:rPr>
              <w:t>以外</w:t>
            </w:r>
            <w:r>
              <w:rPr>
                <w:rFonts w:hint="eastAsia"/>
                <w:bCs/>
                <w:color w:val="auto"/>
                <w:sz w:val="24"/>
                <w:szCs w:val="24"/>
                <w:highlight w:val="none"/>
                <w:shd w:val="clear" w:color="auto" w:fill="auto"/>
                <w:lang w:val="en-US" w:eastAsia="zh-CN"/>
              </w:rPr>
              <w:t>，且</w:t>
            </w:r>
            <w:r>
              <w:rPr>
                <w:rFonts w:hint="eastAsia"/>
                <w:color w:val="auto"/>
                <w:sz w:val="24"/>
                <w:szCs w:val="24"/>
                <w:highlight w:val="none"/>
                <w:lang w:val="en-US" w:eastAsia="zh-CN"/>
              </w:rPr>
              <w:t>远离河道，</w:t>
            </w:r>
            <w:r>
              <w:rPr>
                <w:rFonts w:hint="eastAsia"/>
                <w:bCs/>
                <w:color w:val="auto"/>
                <w:sz w:val="24"/>
                <w:szCs w:val="24"/>
                <w:highlight w:val="none"/>
                <w:shd w:val="clear" w:color="auto" w:fill="auto"/>
                <w:lang w:val="en-US" w:eastAsia="zh-CN"/>
              </w:rPr>
              <w:t>项目在采取相应的环保措施后，对敏感目标的影响小。</w:t>
            </w:r>
          </w:p>
          <w:p w14:paraId="4598CB53">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color w:val="auto"/>
                <w:spacing w:val="-5"/>
                <w:sz w:val="24"/>
                <w:szCs w:val="24"/>
                <w:highlight w:val="none"/>
                <w:shd w:val="clear" w:color="auto" w:fill="auto"/>
              </w:rPr>
            </w:pPr>
            <w:r>
              <w:rPr>
                <w:rFonts w:hint="eastAsia"/>
                <w:bCs/>
                <w:color w:val="auto"/>
                <w:sz w:val="24"/>
                <w:szCs w:val="24"/>
                <w:highlight w:val="none"/>
                <w:shd w:val="clear" w:color="auto" w:fill="auto"/>
              </w:rPr>
              <w:t>根据本项目地形及施工布置特点，本</w:t>
            </w:r>
            <w:r>
              <w:rPr>
                <w:rFonts w:hint="eastAsia" w:ascii="宋体" w:hAnsi="宋体" w:cs="宋体"/>
                <w:color w:val="auto"/>
                <w:kern w:val="0"/>
                <w:sz w:val="24"/>
                <w:szCs w:val="24"/>
                <w:highlight w:val="none"/>
                <w:shd w:val="clear" w:color="auto" w:fill="auto"/>
                <w:lang w:bidi="ar"/>
              </w:rPr>
              <w:t>项目</w:t>
            </w:r>
            <w:r>
              <w:rPr>
                <w:rFonts w:hint="eastAsia"/>
                <w:bCs/>
                <w:color w:val="auto"/>
                <w:sz w:val="24"/>
                <w:szCs w:val="24"/>
                <w:highlight w:val="none"/>
                <w:shd w:val="clear" w:color="auto" w:fill="auto"/>
              </w:rPr>
              <w:t>挖填平衡，不设置弃渣场。</w:t>
            </w:r>
            <w:r>
              <w:rPr>
                <w:rFonts w:hint="eastAsia"/>
                <w:color w:val="auto"/>
                <w:sz w:val="24"/>
                <w:szCs w:val="24"/>
                <w:highlight w:val="none"/>
              </w:rPr>
              <w:t>工程建设不进行大开挖扰动，土建开挖仅分布于光伏支架基础、箱变基础，开挖量较小，施工结束后就地平整回填，不进行表土剥离，</w:t>
            </w:r>
            <w:r>
              <w:rPr>
                <w:rFonts w:hint="default" w:ascii="Times New Roman" w:hAnsi="Times New Roman" w:eastAsia="宋体" w:cs="Times New Roman"/>
                <w:color w:val="auto"/>
                <w:kern w:val="2"/>
                <w:sz w:val="24"/>
                <w:szCs w:val="24"/>
                <w:highlight w:val="none"/>
                <w:shd w:val="clear" w:color="auto" w:fill="auto"/>
                <w:lang w:val="en-US" w:eastAsia="zh-CN" w:bidi="ar-SA"/>
              </w:rPr>
              <w:t>不设置</w:t>
            </w:r>
            <w:r>
              <w:rPr>
                <w:rFonts w:hint="eastAsia"/>
                <w:color w:val="auto"/>
                <w:sz w:val="24"/>
                <w:szCs w:val="24"/>
                <w:highlight w:val="none"/>
              </w:rPr>
              <w:t>表土堆场。</w:t>
            </w:r>
          </w:p>
          <w:p w14:paraId="38D27DFD">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bCs/>
                <w:color w:val="auto"/>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lang w:eastAsia="zh-CN"/>
              </w:rPr>
              <w:t>施工场地</w:t>
            </w:r>
            <w:r>
              <w:rPr>
                <w:rFonts w:hint="eastAsia"/>
                <w:color w:val="auto"/>
                <w:spacing w:val="-5"/>
                <w:sz w:val="24"/>
                <w:szCs w:val="24"/>
                <w:highlight w:val="none"/>
                <w:shd w:val="clear" w:color="auto" w:fill="auto"/>
                <w:lang w:val="en-US" w:eastAsia="zh-CN"/>
              </w:rPr>
              <w:t>不涉及生态红线、</w:t>
            </w:r>
            <w:r>
              <w:rPr>
                <w:rFonts w:hint="eastAsia"/>
                <w:color w:val="auto"/>
                <w:spacing w:val="-5"/>
                <w:sz w:val="24"/>
                <w:szCs w:val="24"/>
                <w:highlight w:val="none"/>
                <w:shd w:val="clear" w:color="auto" w:fill="auto"/>
              </w:rPr>
              <w:t>基本农田和有林地</w:t>
            </w:r>
            <w:r>
              <w:rPr>
                <w:rFonts w:hint="eastAsia"/>
                <w:color w:val="auto"/>
                <w:spacing w:val="-5"/>
                <w:sz w:val="24"/>
                <w:szCs w:val="24"/>
                <w:highlight w:val="none"/>
                <w:shd w:val="clear" w:color="auto" w:fill="auto"/>
                <w:lang w:eastAsia="zh-CN"/>
              </w:rPr>
              <w:t>、</w:t>
            </w:r>
            <w:r>
              <w:rPr>
                <w:rFonts w:hint="eastAsia"/>
                <w:color w:val="auto"/>
                <w:spacing w:val="-5"/>
                <w:sz w:val="24"/>
                <w:szCs w:val="24"/>
                <w:highlight w:val="none"/>
                <w:shd w:val="clear" w:color="auto" w:fill="auto"/>
              </w:rPr>
              <w:t>饮用水源保护区等环境敏感区，区域地质环境稳定</w:t>
            </w:r>
            <w:r>
              <w:rPr>
                <w:rFonts w:hint="eastAsia"/>
                <w:color w:val="auto"/>
                <w:sz w:val="24"/>
                <w:szCs w:val="24"/>
                <w:highlight w:val="none"/>
                <w:shd w:val="clear" w:color="auto" w:fill="auto"/>
              </w:rPr>
              <w:t>，未发现泥石流、崩塌、滑坡等不良地质现象，施工场地周边无保护目标</w:t>
            </w:r>
            <w:r>
              <w:rPr>
                <w:rFonts w:hint="default"/>
                <w:bCs/>
                <w:color w:val="auto"/>
                <w:sz w:val="24"/>
                <w:szCs w:val="24"/>
                <w:highlight w:val="none"/>
                <w:shd w:val="clear" w:color="auto" w:fill="auto"/>
              </w:rPr>
              <w:t>。因此，从环境</w:t>
            </w:r>
            <w:r>
              <w:rPr>
                <w:rFonts w:hint="eastAsia"/>
                <w:bCs/>
                <w:color w:val="auto"/>
                <w:sz w:val="24"/>
                <w:szCs w:val="24"/>
                <w:highlight w:val="none"/>
                <w:shd w:val="clear" w:color="auto" w:fill="auto"/>
              </w:rPr>
              <w:t>保护</w:t>
            </w:r>
            <w:r>
              <w:rPr>
                <w:rFonts w:hint="default"/>
                <w:bCs/>
                <w:color w:val="auto"/>
                <w:sz w:val="24"/>
                <w:szCs w:val="24"/>
                <w:highlight w:val="none"/>
                <w:shd w:val="clear" w:color="auto" w:fill="auto"/>
              </w:rPr>
              <w:t>角度分析施工场地的选址是合理的。</w:t>
            </w:r>
          </w:p>
          <w:p w14:paraId="73C2DE98">
            <w:pPr>
              <w:pStyle w:val="76"/>
              <w:keepNext w:val="0"/>
              <w:keepLines w:val="0"/>
              <w:suppressLineNumbers w:val="0"/>
              <w:shd w:val="clear"/>
              <w:adjustRightInd w:val="0"/>
              <w:snapToGrid w:val="0"/>
              <w:spacing w:before="0" w:beforeAutospacing="0" w:after="0" w:afterAutospacing="0"/>
              <w:ind w:left="0" w:right="0"/>
              <w:jc w:val="both"/>
              <w:rPr>
                <w:rFonts w:hint="eastAsia" w:eastAsia="宋体"/>
                <w:color w:val="auto"/>
                <w:szCs w:val="24"/>
                <w:highlight w:val="none"/>
                <w:shd w:val="clear" w:color="auto" w:fill="auto"/>
                <w:lang w:eastAsia="zh-CN"/>
              </w:rPr>
            </w:pPr>
            <w:r>
              <w:rPr>
                <w:rFonts w:hint="eastAsia" w:eastAsia="宋体"/>
                <w:color w:val="auto"/>
                <w:szCs w:val="24"/>
                <w:highlight w:val="none"/>
                <w:shd w:val="clear" w:color="auto" w:fill="auto"/>
                <w:lang w:val="en-US" w:eastAsia="zh-CN"/>
              </w:rPr>
              <w:t>综上</w:t>
            </w:r>
            <w:r>
              <w:rPr>
                <w:rFonts w:hint="eastAsia" w:eastAsia="宋体"/>
                <w:color w:val="auto"/>
                <w:szCs w:val="24"/>
                <w:highlight w:val="none"/>
                <w:shd w:val="clear" w:color="auto" w:fill="auto"/>
              </w:rPr>
              <w:t>，临时工程选址和选线</w:t>
            </w:r>
            <w:r>
              <w:rPr>
                <w:rFonts w:hint="default" w:eastAsia="宋体"/>
                <w:color w:val="auto"/>
                <w:szCs w:val="24"/>
                <w:highlight w:val="none"/>
                <w:shd w:val="clear" w:color="auto" w:fill="auto"/>
              </w:rPr>
              <w:t>合理</w:t>
            </w:r>
            <w:r>
              <w:rPr>
                <w:rFonts w:hint="eastAsia" w:eastAsia="宋体"/>
                <w:color w:val="auto"/>
                <w:szCs w:val="24"/>
                <w:highlight w:val="none"/>
                <w:shd w:val="clear" w:color="auto" w:fill="auto"/>
                <w:lang w:eastAsia="zh-CN"/>
              </w:rPr>
              <w:t>。</w:t>
            </w:r>
          </w:p>
        </w:tc>
      </w:tr>
    </w:tbl>
    <w:p w14:paraId="645399EC">
      <w:pPr>
        <w:pStyle w:val="38"/>
        <w:shd w:val="clear"/>
        <w:jc w:val="center"/>
        <w:rPr>
          <w:rFonts w:ascii="Times New Roman" w:hAnsi="Times New Roman"/>
          <w:snapToGrid w:val="0"/>
          <w:color w:val="auto"/>
          <w:sz w:val="36"/>
          <w:szCs w:val="36"/>
          <w:highlight w:val="none"/>
          <w:shd w:val="clear" w:color="auto" w:fill="auto"/>
        </w:rPr>
        <w:sectPr>
          <w:footerReference r:id="rId7" w:type="default"/>
          <w:pgSz w:w="11906" w:h="16838"/>
          <w:pgMar w:top="1417" w:right="1800" w:bottom="1417" w:left="1800" w:header="851" w:footer="1077" w:gutter="0"/>
          <w:pgNumType w:fmt="decimal"/>
          <w:cols w:space="425" w:num="1"/>
          <w:docGrid w:linePitch="312" w:charSpace="0"/>
        </w:sectPr>
      </w:pPr>
    </w:p>
    <w:p w14:paraId="79088015">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bookmarkStart w:id="82" w:name="_Toc9951"/>
      <w:r>
        <w:rPr>
          <w:b/>
          <w:bCs/>
          <w:snapToGrid w:val="0"/>
          <w:color w:val="auto"/>
          <w:sz w:val="30"/>
          <w:szCs w:val="30"/>
          <w:highlight w:val="none"/>
          <w:shd w:val="clear" w:color="auto" w:fill="auto"/>
        </w:rPr>
        <w:t>五、主要生态环境保护措施</w:t>
      </w:r>
      <w:bookmarkEnd w:id="82"/>
    </w:p>
    <w:tbl>
      <w:tblPr>
        <w:tblStyle w:val="4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02"/>
        <w:gridCol w:w="7645"/>
      </w:tblGrid>
      <w:tr w14:paraId="24A766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3" w:hRule="atLeast"/>
          <w:jc w:val="center"/>
        </w:trPr>
        <w:tc>
          <w:tcPr>
            <w:tcW w:w="475" w:type="pct"/>
            <w:tcMar>
              <w:left w:w="28" w:type="dxa"/>
              <w:right w:w="28" w:type="dxa"/>
            </w:tcMar>
            <w:vAlign w:val="center"/>
          </w:tcPr>
          <w:p w14:paraId="192727C4">
            <w:pPr>
              <w:keepNext w:val="0"/>
              <w:keepLines w:val="0"/>
              <w:suppressLineNumbers w:val="0"/>
              <w:shd w:val="clear"/>
              <w:adjustRightInd w:val="0"/>
              <w:snapToGrid w:val="0"/>
              <w:spacing w:before="0" w:beforeAutospacing="0" w:after="0" w:afterAutospacing="0"/>
              <w:ind w:left="0" w:right="0"/>
              <w:jc w:val="center"/>
              <w:rPr>
                <w:rFonts w:hint="default"/>
                <w:bCs/>
                <w:color w:val="auto"/>
                <w:sz w:val="24"/>
                <w:highlight w:val="none"/>
                <w:shd w:val="clear" w:color="auto" w:fill="auto"/>
              </w:rPr>
            </w:pPr>
            <w:r>
              <w:rPr>
                <w:rFonts w:hint="default"/>
                <w:bCs/>
                <w:color w:val="auto"/>
                <w:spacing w:val="10"/>
                <w:sz w:val="24"/>
                <w:highlight w:val="none"/>
                <w:shd w:val="clear" w:color="auto" w:fill="auto"/>
              </w:rPr>
              <w:t>施工期生态环境保护措施</w:t>
            </w:r>
          </w:p>
        </w:tc>
        <w:tc>
          <w:tcPr>
            <w:tcW w:w="4524" w:type="pct"/>
          </w:tcPr>
          <w:p w14:paraId="068E27E4">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color w:val="auto"/>
                <w:sz w:val="24"/>
                <w:highlight w:val="none"/>
                <w:shd w:val="clear" w:color="auto" w:fill="auto"/>
              </w:rPr>
            </w:pPr>
            <w:r>
              <w:rPr>
                <w:rFonts w:hint="eastAsia"/>
                <w:b/>
                <w:color w:val="auto"/>
                <w:sz w:val="24"/>
                <w:highlight w:val="none"/>
                <w:shd w:val="clear" w:color="auto" w:fill="auto"/>
              </w:rPr>
              <w:t>一、生态影响控制措施</w:t>
            </w:r>
          </w:p>
          <w:p w14:paraId="67DED61B">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eastAsia="宋体"/>
                <w:b/>
                <w:bCs/>
                <w:color w:val="auto"/>
                <w:sz w:val="24"/>
                <w:highlight w:val="none"/>
                <w:shd w:val="clear" w:color="auto" w:fill="auto"/>
                <w:lang w:val="en-US"/>
              </w:rPr>
            </w:pPr>
            <w:r>
              <w:rPr>
                <w:rFonts w:hint="default" w:eastAsia="宋体"/>
                <w:b/>
                <w:bCs/>
                <w:color w:val="auto"/>
                <w:sz w:val="24"/>
                <w:highlight w:val="none"/>
                <w:shd w:val="clear" w:color="auto" w:fill="auto"/>
                <w:lang w:val="en-US"/>
              </w:rPr>
              <w:t>（1）</w:t>
            </w:r>
            <w:r>
              <w:rPr>
                <w:rFonts w:hint="eastAsia"/>
                <w:b/>
                <w:bCs/>
                <w:color w:val="auto"/>
                <w:sz w:val="24"/>
                <w:highlight w:val="none"/>
                <w:shd w:val="clear" w:color="auto" w:fill="auto"/>
                <w:lang w:val="en-US"/>
              </w:rPr>
              <w:t>施工设计</w:t>
            </w:r>
            <w:r>
              <w:rPr>
                <w:rFonts w:hint="default" w:eastAsia="宋体"/>
                <w:b/>
                <w:bCs/>
                <w:color w:val="auto"/>
                <w:sz w:val="24"/>
                <w:highlight w:val="none"/>
                <w:shd w:val="clear" w:color="auto" w:fill="auto"/>
                <w:lang w:val="en-US"/>
              </w:rPr>
              <w:t>阶段</w:t>
            </w:r>
          </w:p>
          <w:p w14:paraId="35F0C16A">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eastAsia="Times New Roman"/>
                <w:color w:val="auto"/>
                <w:sz w:val="24"/>
                <w:highlight w:val="none"/>
                <w:shd w:val="clear" w:color="auto" w:fill="auto"/>
                <w:lang w:bidi="zh-CN"/>
              </w:rPr>
              <w:t>①在施工建设过程中，尽量减少施工占地及临时占地，最大限度的减少对地表原貌的生态破坏。</w:t>
            </w:r>
            <w:r>
              <w:rPr>
                <w:rFonts w:hint="eastAsia"/>
                <w:color w:val="auto"/>
                <w:spacing w:val="-5"/>
                <w:sz w:val="24"/>
                <w:szCs w:val="24"/>
                <w:highlight w:val="none"/>
                <w:shd w:val="clear" w:color="auto" w:fill="auto"/>
                <w:lang w:bidi="he-IL"/>
              </w:rPr>
              <w:t>建设涉及的林地严格按照林草相关法律法规和使用程序办理林草地使用审核审批手续后，方可使用，严禁出现未批先占等违法行为。</w:t>
            </w:r>
          </w:p>
          <w:p w14:paraId="405CBCB2">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w:t>
            </w:r>
            <w:r>
              <w:rPr>
                <w:rFonts w:hint="eastAsia"/>
                <w:color w:val="auto"/>
                <w:sz w:val="24"/>
                <w:highlight w:val="none"/>
                <w:shd w:val="clear" w:color="auto" w:fill="auto"/>
                <w:lang w:val="en-US"/>
              </w:rPr>
              <w:t>项目</w:t>
            </w:r>
            <w:r>
              <w:rPr>
                <w:rFonts w:hint="eastAsia" w:cs="宋体"/>
                <w:color w:val="auto"/>
                <w:sz w:val="24"/>
                <w:highlight w:val="none"/>
                <w:shd w:val="clear" w:color="auto" w:fill="auto"/>
                <w:lang w:val="en-US"/>
              </w:rPr>
              <w:t>开工前，</w:t>
            </w:r>
            <w:r>
              <w:rPr>
                <w:rFonts w:hint="default" w:eastAsia="宋体"/>
                <w:color w:val="auto"/>
                <w:sz w:val="24"/>
                <w:highlight w:val="none"/>
                <w:shd w:val="clear" w:color="auto" w:fill="auto"/>
                <w:lang w:val="en-US"/>
              </w:rPr>
              <w:t>建设前应当对</w:t>
            </w:r>
            <w:r>
              <w:rPr>
                <w:rFonts w:hint="eastAsia"/>
                <w:color w:val="auto"/>
                <w:sz w:val="24"/>
                <w:highlight w:val="none"/>
                <w:shd w:val="clear" w:color="auto" w:fill="auto"/>
                <w:lang w:val="en-US"/>
              </w:rPr>
              <w:t>项目</w:t>
            </w:r>
            <w:r>
              <w:rPr>
                <w:rFonts w:hint="default" w:eastAsia="宋体"/>
                <w:color w:val="auto"/>
                <w:sz w:val="24"/>
                <w:highlight w:val="none"/>
                <w:shd w:val="clear" w:color="auto" w:fill="auto"/>
                <w:lang w:val="en-US"/>
              </w:rPr>
              <w:t>最终设计方案与环评方案进行梳理对比，构成重大变动的应当对变动内容进行环境影响评价并重新报批</w:t>
            </w:r>
            <w:r>
              <w:rPr>
                <w:rFonts w:hint="eastAsia"/>
                <w:color w:val="auto"/>
                <w:sz w:val="24"/>
                <w:highlight w:val="none"/>
                <w:shd w:val="clear" w:color="auto" w:fill="auto"/>
                <w:lang w:val="en-US"/>
              </w:rPr>
              <w:t>，构成一般变动的应当向有审批权限的生态环境主管部门进行备案</w:t>
            </w:r>
            <w:r>
              <w:rPr>
                <w:rFonts w:hint="default" w:eastAsia="宋体"/>
                <w:color w:val="auto"/>
                <w:sz w:val="24"/>
                <w:highlight w:val="none"/>
                <w:shd w:val="clear" w:color="auto" w:fill="auto"/>
                <w:lang w:val="en-US"/>
              </w:rPr>
              <w:t>。</w:t>
            </w:r>
          </w:p>
          <w:p w14:paraId="4B2688C4">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rPr>
              <w:t>③</w:t>
            </w:r>
            <w:r>
              <w:rPr>
                <w:rFonts w:hint="eastAsia"/>
                <w:color w:val="auto"/>
                <w:spacing w:val="-5"/>
                <w:sz w:val="24"/>
                <w:szCs w:val="24"/>
                <w:highlight w:val="none"/>
                <w:shd w:val="clear" w:color="auto" w:fill="auto"/>
                <w:lang w:val="en-US" w:eastAsia="zh-CN" w:bidi="he-IL"/>
              </w:rPr>
              <w:t>项目开工前请依法</w:t>
            </w:r>
            <w:r>
              <w:rPr>
                <w:rFonts w:hint="eastAsia"/>
                <w:color w:val="auto"/>
                <w:spacing w:val="-5"/>
                <w:sz w:val="24"/>
                <w:szCs w:val="24"/>
                <w:highlight w:val="none"/>
                <w:shd w:val="clear" w:color="auto" w:fill="auto"/>
                <w:lang w:bidi="he-IL"/>
              </w:rPr>
              <w:t>办理水土保持方案审批手续</w:t>
            </w:r>
            <w:r>
              <w:rPr>
                <w:rFonts w:hint="eastAsia" w:eastAsia="宋体"/>
                <w:color w:val="auto"/>
                <w:spacing w:val="-5"/>
                <w:sz w:val="24"/>
                <w:szCs w:val="24"/>
                <w:highlight w:val="none"/>
                <w:shd w:val="clear" w:color="auto" w:fill="auto"/>
                <w:lang w:eastAsia="zh-CN" w:bidi="he-IL"/>
              </w:rPr>
              <w:t>，</w:t>
            </w:r>
            <w:r>
              <w:rPr>
                <w:rFonts w:hint="eastAsia"/>
                <w:color w:val="auto"/>
                <w:spacing w:val="-5"/>
                <w:sz w:val="24"/>
                <w:szCs w:val="24"/>
                <w:highlight w:val="none"/>
                <w:shd w:val="clear" w:color="auto" w:fill="auto"/>
                <w:lang w:val="en-US" w:eastAsia="zh-CN" w:bidi="he-IL"/>
              </w:rPr>
              <w:t>施工过程中应尽量避免大挖大填，避免大范围扰动地表面积</w:t>
            </w:r>
            <w:r>
              <w:rPr>
                <w:rFonts w:hint="eastAsia"/>
                <w:color w:val="auto"/>
                <w:spacing w:val="-5"/>
                <w:sz w:val="24"/>
                <w:szCs w:val="24"/>
                <w:highlight w:val="none"/>
                <w:shd w:val="clear" w:color="auto" w:fill="auto"/>
                <w:lang w:bidi="he-IL"/>
              </w:rPr>
              <w:t>。</w:t>
            </w:r>
          </w:p>
          <w:p w14:paraId="79F562F6">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z w:val="24"/>
                <w:highlight w:val="none"/>
                <w:shd w:val="clear" w:color="auto" w:fill="auto"/>
                <w:lang w:val="en-US"/>
              </w:rPr>
            </w:pPr>
            <w:r>
              <w:rPr>
                <w:rFonts w:hint="eastAsia"/>
                <w:b/>
                <w:bCs/>
                <w:color w:val="auto"/>
                <w:sz w:val="24"/>
                <w:highlight w:val="none"/>
                <w:shd w:val="clear" w:color="auto" w:fill="auto"/>
                <w:lang w:val="en-US"/>
              </w:rPr>
              <w:t>（2）避让措施</w:t>
            </w:r>
          </w:p>
          <w:p w14:paraId="7808686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highlight w:val="none"/>
                <w:shd w:val="clear" w:color="auto" w:fill="auto"/>
              </w:rPr>
              <w:t>施工</w:t>
            </w:r>
            <w:r>
              <w:rPr>
                <w:rFonts w:hint="eastAsia"/>
                <w:color w:val="auto"/>
                <w:sz w:val="24"/>
                <w:highlight w:val="none"/>
                <w:shd w:val="clear" w:color="auto" w:fill="auto"/>
              </w:rPr>
              <w:t>设计</w:t>
            </w:r>
            <w:r>
              <w:rPr>
                <w:rFonts w:hint="default"/>
                <w:color w:val="auto"/>
                <w:sz w:val="24"/>
                <w:highlight w:val="none"/>
                <w:shd w:val="clear" w:color="auto" w:fill="auto"/>
              </w:rPr>
              <w:t>阶段必须进行施工组织设计，合理规划</w:t>
            </w:r>
            <w:r>
              <w:rPr>
                <w:rFonts w:hint="eastAsia"/>
                <w:color w:val="auto"/>
                <w:sz w:val="24"/>
                <w:highlight w:val="none"/>
                <w:shd w:val="clear" w:color="auto" w:fill="auto"/>
                <w:lang w:val="en-US"/>
              </w:rPr>
              <w:t>临时</w:t>
            </w:r>
            <w:r>
              <w:rPr>
                <w:rFonts w:hint="default"/>
                <w:color w:val="auto"/>
                <w:sz w:val="24"/>
                <w:highlight w:val="none"/>
                <w:shd w:val="clear" w:color="auto" w:fill="auto"/>
              </w:rPr>
              <w:t>施工场地，</w:t>
            </w:r>
            <w:r>
              <w:rPr>
                <w:rFonts w:hint="default"/>
                <w:color w:val="auto"/>
                <w:sz w:val="24"/>
                <w:highlight w:val="none"/>
              </w:rPr>
              <w:t>严格选择施工附属设施的布置位置，</w:t>
            </w:r>
            <w:r>
              <w:rPr>
                <w:rFonts w:hint="eastAsia"/>
                <w:color w:val="auto"/>
                <w:sz w:val="24"/>
                <w:highlight w:val="none"/>
              </w:rPr>
              <w:t>光伏列阵应避让植被长势较好的植被区，如应避让乔木林地</w:t>
            </w:r>
            <w:r>
              <w:rPr>
                <w:rFonts w:hint="eastAsia"/>
                <w:color w:val="auto"/>
                <w:sz w:val="24"/>
                <w:highlight w:val="none"/>
                <w:lang w:val="en-US"/>
              </w:rPr>
              <w:t>，植被尽可能保留，不改变林地性质，并远离线路附近的村庄</w:t>
            </w:r>
            <w:r>
              <w:rPr>
                <w:rFonts w:hint="default"/>
                <w:color w:val="auto"/>
                <w:sz w:val="24"/>
                <w:highlight w:val="none"/>
              </w:rPr>
              <w:t>，优化布置，减少占地</w:t>
            </w:r>
            <w:r>
              <w:rPr>
                <w:rFonts w:hint="eastAsia"/>
                <w:color w:val="auto"/>
                <w:sz w:val="24"/>
                <w:highlight w:val="none"/>
              </w:rPr>
              <w:t>。</w:t>
            </w:r>
          </w:p>
          <w:p w14:paraId="4D0ED373">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eastAsia"/>
                <w:b/>
                <w:bCs/>
                <w:color w:val="auto"/>
                <w:sz w:val="24"/>
                <w:highlight w:val="none"/>
                <w:shd w:val="clear" w:color="auto" w:fill="auto"/>
                <w:lang w:val="en-US"/>
              </w:rPr>
              <w:t>（3）减缓措施</w:t>
            </w:r>
          </w:p>
          <w:p w14:paraId="263F348E">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①</w:t>
            </w:r>
            <w:r>
              <w:rPr>
                <w:rFonts w:hint="eastAsia" w:eastAsia="宋体"/>
                <w:color w:val="auto"/>
                <w:sz w:val="24"/>
                <w:highlight w:val="none"/>
                <w:shd w:val="clear" w:color="auto" w:fill="auto"/>
                <w:lang w:val="en-US"/>
              </w:rPr>
              <w:t>施工期临时用地应永临结合，优先利用荒地、劣地；临时占地采取隔离保护措施（如铺设草垫或棕垫），施工结束</w:t>
            </w:r>
            <w:r>
              <w:rPr>
                <w:rFonts w:hint="eastAsia" w:eastAsia="宋体"/>
                <w:color w:val="auto"/>
                <w:sz w:val="24"/>
                <w:highlight w:val="none"/>
                <w:shd w:val="clear" w:color="auto" w:fill="auto"/>
                <w:lang w:val="en-US" w:eastAsia="zh-CN"/>
              </w:rPr>
              <w:t>后</w:t>
            </w:r>
            <w:r>
              <w:rPr>
                <w:rFonts w:hint="eastAsia" w:eastAsia="宋体"/>
                <w:color w:val="auto"/>
                <w:sz w:val="24"/>
                <w:highlight w:val="none"/>
                <w:shd w:val="clear" w:color="auto" w:fill="auto"/>
                <w:lang w:val="en-US"/>
              </w:rPr>
              <w:t>将多余砂石料、混凝土残渣等及时清除，</w:t>
            </w:r>
            <w:r>
              <w:rPr>
                <w:rFonts w:hint="eastAsia" w:ascii="宋体" w:hAnsi="宋体" w:eastAsia="宋体" w:cs="宋体"/>
                <w:color w:val="auto"/>
                <w:sz w:val="24"/>
                <w:highlight w:val="none"/>
                <w:shd w:val="clear" w:color="auto" w:fill="auto"/>
                <w:lang w:val="en-US"/>
              </w:rPr>
              <w:t>做到“工完、料尽、场地清”。</w:t>
            </w:r>
          </w:p>
          <w:p w14:paraId="6FCF2764">
            <w:pPr>
              <w:pStyle w:val="91"/>
              <w:keepNext w:val="0"/>
              <w:keepLines w:val="0"/>
              <w:suppressLineNumbers w:val="0"/>
              <w:shd w:val="clear"/>
              <w:overflowPunct w:val="0"/>
              <w:spacing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②光伏场区、</w:t>
            </w:r>
            <w:r>
              <w:rPr>
                <w:rFonts w:hint="eastAsia" w:ascii="宋体" w:hAnsi="宋体" w:eastAsia="宋体" w:cs="宋体"/>
                <w:color w:val="auto"/>
                <w:sz w:val="24"/>
                <w:highlight w:val="none"/>
                <w:shd w:val="clear" w:color="auto" w:fill="auto"/>
                <w:lang w:val="en-US" w:eastAsia="zh-CN"/>
              </w:rPr>
              <w:t>集电线路</w:t>
            </w:r>
            <w:r>
              <w:rPr>
                <w:rFonts w:hint="eastAsia" w:ascii="宋体" w:hAnsi="宋体" w:eastAsia="宋体" w:cs="宋体"/>
                <w:color w:val="auto"/>
                <w:sz w:val="24"/>
                <w:highlight w:val="none"/>
                <w:shd w:val="clear" w:color="auto" w:fill="auto"/>
                <w:lang w:val="en-US"/>
              </w:rPr>
              <w:t>土石方开挖工程尽量避开雨季施工</w:t>
            </w:r>
            <w:r>
              <w:rPr>
                <w:rFonts w:hint="eastAsia"/>
                <w:color w:val="auto"/>
                <w:sz w:val="24"/>
                <w:highlight w:val="none"/>
                <w:shd w:val="clear" w:color="auto" w:fill="auto"/>
                <w:lang w:val="en-US"/>
              </w:rPr>
              <w:t>，</w:t>
            </w:r>
            <w:r>
              <w:rPr>
                <w:rFonts w:hint="eastAsia"/>
                <w:color w:val="auto"/>
                <w:sz w:val="24"/>
                <w:highlight w:val="none"/>
                <w:shd w:val="clear" w:color="auto" w:fill="auto"/>
                <w:lang w:val="en-US" w:eastAsia="zh-CN"/>
              </w:rPr>
              <w:t>桩基开挖土石方及时回填、夯实、平整，不外弃</w:t>
            </w:r>
          </w:p>
          <w:p w14:paraId="5F675B78">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eastAsia="宋体"/>
                <w:bCs/>
                <w:color w:val="auto"/>
                <w:sz w:val="24"/>
                <w:highlight w:val="none"/>
                <w:shd w:val="clear" w:color="auto" w:fill="auto"/>
                <w:lang w:val="en-US" w:eastAsia="zh-CN"/>
              </w:rPr>
            </w:pPr>
            <w:r>
              <w:rPr>
                <w:rFonts w:hint="eastAsia" w:eastAsia="宋体"/>
                <w:bCs/>
                <w:color w:val="auto"/>
                <w:sz w:val="24"/>
                <w:highlight w:val="none"/>
                <w:shd w:val="clear" w:color="auto" w:fill="auto"/>
                <w:lang w:val="en-US" w:eastAsia="zh-CN"/>
              </w:rPr>
              <w:t>③</w:t>
            </w:r>
            <w:r>
              <w:rPr>
                <w:rFonts w:hint="eastAsia" w:eastAsia="宋体"/>
                <w:bCs/>
                <w:color w:val="auto"/>
                <w:sz w:val="24"/>
                <w:highlight w:val="none"/>
                <w:shd w:val="clear" w:color="auto" w:fill="auto"/>
                <w:lang w:val="en-US"/>
              </w:rPr>
              <w:t>施工现场加强管理，做好机械的日常维修保养，杜绝跑、冒、滴、漏现象</w:t>
            </w:r>
            <w:r>
              <w:rPr>
                <w:rFonts w:hint="eastAsia" w:eastAsia="宋体"/>
                <w:bCs/>
                <w:color w:val="auto"/>
                <w:sz w:val="24"/>
                <w:highlight w:val="none"/>
                <w:shd w:val="clear" w:color="auto" w:fill="auto"/>
                <w:lang w:val="en-US" w:eastAsia="zh-CN"/>
              </w:rPr>
              <w:t>，</w:t>
            </w:r>
            <w:r>
              <w:rPr>
                <w:rFonts w:hint="eastAsia" w:eastAsia="宋体"/>
                <w:bCs/>
                <w:color w:val="auto"/>
                <w:sz w:val="24"/>
                <w:highlight w:val="none"/>
                <w:shd w:val="clear" w:color="auto" w:fill="auto"/>
                <w:lang w:val="en-US"/>
              </w:rPr>
              <w:t>防止对土壤和水体造成污染。</w:t>
            </w:r>
          </w:p>
          <w:p w14:paraId="2EFB17C0">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Times New Roman" w:cs="Times New Roman"/>
                <w:color w:val="auto"/>
                <w:sz w:val="24"/>
                <w:highlight w:val="none"/>
                <w:shd w:val="clear" w:color="auto" w:fill="auto"/>
              </w:rPr>
            </w:pPr>
            <w:r>
              <w:rPr>
                <w:rFonts w:hint="eastAsia" w:eastAsia="宋体"/>
                <w:bCs/>
                <w:color w:val="auto"/>
                <w:sz w:val="24"/>
                <w:highlight w:val="none"/>
                <w:shd w:val="clear" w:color="auto" w:fill="auto"/>
                <w:lang w:val="en-US"/>
              </w:rPr>
              <w:t>④</w:t>
            </w:r>
            <w:r>
              <w:rPr>
                <w:rFonts w:hint="eastAsia" w:ascii="Times New Roman" w:hAnsi="Times New Roman" w:eastAsia="Times New Roman" w:cs="Times New Roman"/>
                <w:color w:val="auto"/>
                <w:sz w:val="24"/>
                <w:highlight w:val="none"/>
                <w:shd w:val="clear" w:color="auto" w:fill="auto"/>
              </w:rPr>
              <w:t>设专人负责施工期环境管理，加强施工人员生态保护宣传，禁止施工时乱砍乱伐、狩猎等行为</w:t>
            </w:r>
            <w:r>
              <w:rPr>
                <w:rFonts w:hint="eastAsia" w:ascii="Times New Roman" w:hAnsi="Times New Roman" w:eastAsia="Times New Roman" w:cs="Times New Roman"/>
                <w:color w:val="auto"/>
                <w:sz w:val="24"/>
                <w:highlight w:val="none"/>
                <w:shd w:val="clear" w:color="auto" w:fill="auto"/>
                <w:lang w:eastAsia="zh-CN"/>
              </w:rPr>
              <w:t>，</w:t>
            </w:r>
            <w:r>
              <w:rPr>
                <w:rFonts w:hint="eastAsia" w:ascii="Times New Roman" w:hAnsi="Times New Roman" w:eastAsia="Times New Roman" w:cs="Times New Roman"/>
                <w:color w:val="auto"/>
                <w:sz w:val="24"/>
                <w:highlight w:val="none"/>
                <w:shd w:val="clear" w:color="auto" w:fill="auto"/>
              </w:rPr>
              <w:t>严格执行国家有关动物保护法律法规。</w:t>
            </w:r>
          </w:p>
          <w:p w14:paraId="6A022401">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eastAsia="宋体"/>
                <w:bCs/>
                <w:color w:val="auto"/>
                <w:sz w:val="24"/>
                <w:highlight w:val="none"/>
                <w:shd w:val="clear" w:color="auto" w:fill="auto"/>
                <w:lang w:val="en-US" w:eastAsia="zh-CN"/>
              </w:rPr>
              <w:t>⑤</w:t>
            </w:r>
            <w:r>
              <w:rPr>
                <w:rFonts w:hint="eastAsia"/>
                <w:color w:val="auto"/>
                <w:sz w:val="24"/>
                <w:highlight w:val="none"/>
                <w:shd w:val="clear" w:color="auto" w:fill="auto"/>
              </w:rPr>
              <w:t>在鸟类繁殖期（每年</w:t>
            </w:r>
            <w:r>
              <w:rPr>
                <w:rFonts w:hint="default"/>
                <w:color w:val="auto"/>
                <w:sz w:val="24"/>
                <w:highlight w:val="none"/>
                <w:shd w:val="clear" w:color="auto" w:fill="auto"/>
              </w:rPr>
              <w:t>6-8</w:t>
            </w:r>
            <w:r>
              <w:rPr>
                <w:rFonts w:hint="eastAsia"/>
                <w:color w:val="auto"/>
                <w:sz w:val="24"/>
                <w:highlight w:val="none"/>
                <w:shd w:val="clear" w:color="auto" w:fill="auto"/>
              </w:rPr>
              <w:t>月），应尽量减少因施工噪声所引起的干扰鸟类繁殖的情况发生</w:t>
            </w:r>
            <w:r>
              <w:rPr>
                <w:rFonts w:hint="default"/>
                <w:color w:val="auto"/>
                <w:sz w:val="24"/>
                <w:highlight w:val="none"/>
                <w:shd w:val="clear" w:color="auto" w:fill="auto"/>
              </w:rPr>
              <w:t>。</w:t>
            </w:r>
          </w:p>
          <w:p w14:paraId="5F3C77C2">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eastAsia="宋体"/>
                <w:color w:val="auto"/>
                <w:sz w:val="24"/>
                <w:highlight w:val="none"/>
                <w:shd w:val="clear" w:color="auto" w:fill="auto"/>
                <w:lang w:val="en-US" w:eastAsia="zh-CN"/>
              </w:rPr>
              <w:t>⑥</w:t>
            </w:r>
            <w:r>
              <w:rPr>
                <w:rFonts w:hint="eastAsia" w:ascii="Times New Roman" w:hAnsi="Times New Roman" w:eastAsia="宋体" w:cs="Times New Roman"/>
                <w:color w:val="auto"/>
                <w:sz w:val="24"/>
                <w:highlight w:val="none"/>
                <w:shd w:val="clear" w:color="auto" w:fill="auto"/>
                <w:lang w:val="en-US" w:eastAsia="zh-CN"/>
              </w:rPr>
              <w:t>科学规</w:t>
            </w:r>
            <w:r>
              <w:rPr>
                <w:rFonts w:hint="eastAsia" w:ascii="Times New Roman" w:hAnsi="Times New Roman" w:eastAsia="宋体" w:cs="Times New Roman"/>
                <w:color w:val="auto"/>
                <w:kern w:val="2"/>
                <w:sz w:val="24"/>
                <w:szCs w:val="24"/>
                <w:highlight w:val="none"/>
                <w:lang w:val="en-US" w:eastAsia="zh-CN" w:bidi="ar-SA"/>
              </w:rPr>
              <w:t>划、精心组织、强化教育、缩短工期，减少工程施工期对鸟类栖息地的扰动和破坏，降低施工噪声对鸟类的惊扰和驱赶，避免捕鸟、掏蛋等对鸟类直接伤害的行为。</w:t>
            </w:r>
          </w:p>
          <w:p w14:paraId="27F2721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shd w:val="clear" w:color="auto" w:fill="auto"/>
                <w:lang w:val="en-US" w:eastAsia="zh-CN"/>
              </w:rPr>
              <w:t>⑦</w:t>
            </w:r>
            <w:r>
              <w:rPr>
                <w:rFonts w:hint="eastAsia"/>
                <w:color w:val="auto"/>
                <w:sz w:val="24"/>
                <w:highlight w:val="none"/>
                <w:shd w:val="clear" w:color="auto" w:fill="auto"/>
              </w:rPr>
              <w:t>施工中要有保护动物的专门规定，在施工区内设置保护动物的警示牌，并安排专门人员负责项目区施工中的动物保护的监督和管理工作</w:t>
            </w:r>
            <w:r>
              <w:rPr>
                <w:rFonts w:hint="eastAsia" w:eastAsia="宋体"/>
                <w:color w:val="auto"/>
                <w:sz w:val="24"/>
                <w:highlight w:val="none"/>
                <w:shd w:val="clear" w:color="auto" w:fill="auto"/>
                <w:lang w:eastAsia="zh-CN"/>
              </w:rPr>
              <w:t>。</w:t>
            </w:r>
          </w:p>
          <w:p w14:paraId="530F3DA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4</w:t>
            </w:r>
            <w:r>
              <w:rPr>
                <w:rFonts w:hint="default"/>
                <w:b/>
                <w:bCs/>
                <w:color w:val="auto"/>
                <w:sz w:val="24"/>
                <w:highlight w:val="none"/>
                <w:shd w:val="clear" w:color="auto" w:fill="auto"/>
                <w:lang w:val="en-US"/>
              </w:rPr>
              <w:t>）修复措施</w:t>
            </w:r>
          </w:p>
          <w:p w14:paraId="1E9AA0A2">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rPr>
              <w:t>①</w:t>
            </w:r>
            <w:r>
              <w:rPr>
                <w:rFonts w:hint="eastAsia" w:ascii="Times New Roman" w:hAnsi="Times New Roman" w:eastAsia="Times New Roman" w:cs="Times New Roman"/>
                <w:color w:val="auto"/>
                <w:sz w:val="24"/>
                <w:highlight w:val="none"/>
                <w:shd w:val="clear" w:color="auto" w:fill="auto"/>
              </w:rPr>
              <w:t>严格施工管理，禁止超范围占地；光伏区除桩基用地外，严禁硬化地面、破坏</w:t>
            </w:r>
            <w:r>
              <w:rPr>
                <w:rFonts w:hint="eastAsia" w:eastAsia="宋体" w:cs="Times New Roman"/>
                <w:color w:val="auto"/>
                <w:sz w:val="24"/>
                <w:highlight w:val="none"/>
                <w:shd w:val="clear" w:color="auto" w:fill="auto"/>
                <w:lang w:val="en-US" w:eastAsia="zh-CN"/>
              </w:rPr>
              <w:t>林草植被</w:t>
            </w:r>
            <w:r>
              <w:rPr>
                <w:rFonts w:hint="eastAsia" w:ascii="Times New Roman" w:hAnsi="Times New Roman" w:eastAsia="Times New Roman" w:cs="Times New Roman"/>
                <w:color w:val="auto"/>
                <w:sz w:val="24"/>
                <w:highlight w:val="none"/>
                <w:shd w:val="clear" w:color="auto" w:fill="auto"/>
              </w:rPr>
              <w:t>，严禁抛荒、撂荒；施工结束后，对裸露的土地进行</w:t>
            </w:r>
            <w:r>
              <w:rPr>
                <w:rFonts w:hint="eastAsia" w:eastAsia="宋体" w:cs="Times New Roman"/>
                <w:color w:val="auto"/>
                <w:sz w:val="24"/>
                <w:highlight w:val="none"/>
                <w:shd w:val="clear" w:color="auto" w:fill="auto"/>
                <w:lang w:val="en-US" w:eastAsia="zh-CN"/>
              </w:rPr>
              <w:t>植被恢复</w:t>
            </w:r>
            <w:r>
              <w:rPr>
                <w:rFonts w:hint="eastAsia" w:ascii="Times New Roman" w:hAnsi="Times New Roman" w:eastAsia="Times New Roman" w:cs="Times New Roman"/>
                <w:color w:val="auto"/>
                <w:sz w:val="24"/>
                <w:highlight w:val="none"/>
                <w:shd w:val="clear" w:color="auto" w:fill="auto"/>
              </w:rPr>
              <w:t>、对临时占地进行修复</w:t>
            </w:r>
            <w:r>
              <w:rPr>
                <w:rFonts w:hint="eastAsia" w:ascii="Times New Roman" w:hAnsi="Times New Roman" w:eastAsia="宋体" w:cs="Times New Roman"/>
                <w:color w:val="auto"/>
                <w:sz w:val="24"/>
                <w:highlight w:val="none"/>
                <w:shd w:val="clear" w:color="auto" w:fill="auto"/>
                <w:lang w:eastAsia="zh-CN"/>
              </w:rPr>
              <w:t>。</w:t>
            </w:r>
          </w:p>
          <w:p w14:paraId="7FBCD0D1">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eastAsia" w:ascii="宋体" w:hAnsi="宋体" w:eastAsia="宋体" w:cs="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②</w:t>
            </w:r>
            <w:r>
              <w:rPr>
                <w:rFonts w:hint="eastAsia"/>
                <w:color w:val="auto"/>
                <w:sz w:val="24"/>
                <w:highlight w:val="none"/>
                <w:shd w:val="clear" w:color="auto" w:fill="auto"/>
              </w:rPr>
              <w:t>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w:t>
            </w:r>
            <w:r>
              <w:rPr>
                <w:rFonts w:hint="eastAsia" w:eastAsia="宋体"/>
                <w:color w:val="auto"/>
                <w:sz w:val="24"/>
                <w:highlight w:val="none"/>
                <w:shd w:val="clear" w:color="auto" w:fill="auto"/>
                <w:lang w:eastAsia="zh-CN"/>
              </w:rPr>
              <w:t>土壤条件</w:t>
            </w:r>
            <w:r>
              <w:rPr>
                <w:rFonts w:hint="eastAsia"/>
                <w:color w:val="auto"/>
                <w:sz w:val="24"/>
                <w:highlight w:val="none"/>
                <w:shd w:val="clear" w:color="auto" w:fill="auto"/>
              </w:rPr>
              <w:t>，防止</w:t>
            </w:r>
            <w:r>
              <w:rPr>
                <w:rFonts w:hint="eastAsia" w:eastAsia="宋体"/>
                <w:color w:val="auto"/>
                <w:sz w:val="24"/>
                <w:highlight w:val="none"/>
                <w:shd w:val="clear" w:color="auto" w:fill="auto"/>
                <w:lang w:eastAsia="zh-CN"/>
              </w:rPr>
              <w:t>水土流失</w:t>
            </w:r>
            <w:r>
              <w:rPr>
                <w:rFonts w:hint="eastAsia"/>
                <w:color w:val="auto"/>
                <w:sz w:val="24"/>
                <w:highlight w:val="none"/>
                <w:shd w:val="clear" w:color="auto" w:fill="auto"/>
              </w:rPr>
              <w:t>和土壤侵蚀；尽量选用当地物种，不引入外来物种</w:t>
            </w:r>
            <w:r>
              <w:rPr>
                <w:rFonts w:hint="eastAsia" w:eastAsia="宋体"/>
                <w:color w:val="auto"/>
                <w:sz w:val="24"/>
                <w:highlight w:val="none"/>
                <w:shd w:val="clear" w:color="auto" w:fill="auto"/>
                <w:lang w:eastAsia="zh-CN"/>
              </w:rPr>
              <w:t>。</w:t>
            </w:r>
          </w:p>
          <w:p w14:paraId="77343EDC">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highlight w:val="none"/>
                <w:shd w:val="clear" w:color="auto" w:fill="auto"/>
              </w:rPr>
              <w:t>③植被恢复及绿化过程中，宜</w:t>
            </w:r>
            <w:r>
              <w:rPr>
                <w:rFonts w:hint="default"/>
                <w:color w:val="auto"/>
                <w:sz w:val="24"/>
                <w:highlight w:val="none"/>
                <w:shd w:val="clear" w:color="auto" w:fill="auto"/>
              </w:rPr>
              <w:t>采用当地植物</w:t>
            </w:r>
            <w:r>
              <w:rPr>
                <w:rFonts w:hint="eastAsia" w:ascii="宋体" w:hAnsi="宋体" w:eastAsia="宋体" w:cs="宋体"/>
                <w:color w:val="auto"/>
                <w:sz w:val="24"/>
                <w:highlight w:val="none"/>
                <w:shd w:val="clear" w:color="auto" w:fill="auto"/>
              </w:rPr>
              <w:t>进行“恢复性”种植，然</w:t>
            </w:r>
            <w:r>
              <w:rPr>
                <w:rFonts w:hint="default"/>
                <w:color w:val="auto"/>
                <w:sz w:val="24"/>
                <w:highlight w:val="none"/>
                <w:shd w:val="clear" w:color="auto" w:fill="auto"/>
              </w:rPr>
              <w:t>后采取</w:t>
            </w:r>
            <w:r>
              <w:rPr>
                <w:rFonts w:hint="eastAsia" w:ascii="宋体" w:hAnsi="宋体" w:eastAsia="宋体" w:cs="宋体"/>
                <w:color w:val="auto"/>
                <w:sz w:val="24"/>
                <w:highlight w:val="none"/>
                <w:shd w:val="clear" w:color="auto" w:fill="auto"/>
              </w:rPr>
              <w:t>“封育”手段</w:t>
            </w:r>
            <w:r>
              <w:rPr>
                <w:rFonts w:hint="default"/>
                <w:color w:val="auto"/>
                <w:sz w:val="24"/>
                <w:highlight w:val="none"/>
                <w:shd w:val="clear" w:color="auto" w:fill="auto"/>
              </w:rPr>
              <w:t>，促进自然恢复。在植被恢复及绿化过程中，应选择乡土树种及适合当地环境的植物，并注意乔、灌、草搭配的原则，同时要与周围的自然景观相协调统一</w:t>
            </w:r>
            <w:r>
              <w:rPr>
                <w:rFonts w:hint="eastAsia"/>
                <w:color w:val="auto"/>
                <w:sz w:val="24"/>
                <w:highlight w:val="none"/>
                <w:shd w:val="clear" w:color="auto" w:fill="auto"/>
              </w:rPr>
              <w:t>，</w:t>
            </w:r>
            <w:r>
              <w:rPr>
                <w:rFonts w:hint="default"/>
                <w:color w:val="auto"/>
                <w:sz w:val="24"/>
                <w:highlight w:val="none"/>
                <w:shd w:val="clear" w:color="auto" w:fill="auto"/>
              </w:rPr>
              <w:t>可选用车桑子、白车轴草、黑麦草等</w:t>
            </w:r>
            <w:r>
              <w:rPr>
                <w:rFonts w:hint="eastAsia"/>
                <w:color w:val="auto"/>
                <w:sz w:val="24"/>
                <w:highlight w:val="none"/>
                <w:shd w:val="clear" w:color="auto" w:fill="auto"/>
              </w:rPr>
              <w:t>乡土植物</w:t>
            </w:r>
            <w:r>
              <w:rPr>
                <w:rFonts w:hint="default"/>
                <w:color w:val="auto"/>
                <w:sz w:val="24"/>
                <w:highlight w:val="none"/>
                <w:shd w:val="clear" w:color="auto" w:fill="auto"/>
              </w:rPr>
              <w:t>。</w:t>
            </w:r>
          </w:p>
          <w:p w14:paraId="41D1F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w:t>
            </w:r>
            <w:r>
              <w:rPr>
                <w:rFonts w:hint="default" w:ascii="Times New Roman" w:hAnsi="Times New Roman" w:eastAsia="宋体" w:cs="Times New Roman"/>
                <w:color w:val="auto"/>
                <w:sz w:val="24"/>
                <w:szCs w:val="24"/>
                <w:highlight w:val="none"/>
                <w:lang w:val="en-US" w:eastAsia="zh-CN"/>
              </w:rPr>
              <w:t>光伏阵列区支架基础、箱变施工时，对周边施工场地区域造成碾压、踩踏等，在施工结束后对施工场地占用的区域进行场地清理、生态恢复。</w:t>
            </w:r>
          </w:p>
          <w:p w14:paraId="58CB38B2">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⑤施工结束及时完成临时设施拆除、场地清理及植被恢复；及时完成林光互补工程。</w:t>
            </w:r>
          </w:p>
          <w:p w14:paraId="2817FB0D">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⑥</w:t>
            </w:r>
            <w:r>
              <w:rPr>
                <w:rFonts w:hint="eastAsia" w:ascii="Times New Roman" w:hAnsi="Times New Roman" w:eastAsia="宋体" w:cs="Times New Roman"/>
                <w:color w:val="auto"/>
                <w:kern w:val="2"/>
                <w:sz w:val="24"/>
                <w:szCs w:val="24"/>
                <w:highlight w:val="none"/>
                <w:lang w:val="en-US" w:eastAsia="zh-CN" w:bidi="ar-SA"/>
              </w:rPr>
              <w:t>项目施工过程中、施工结束后应按照《</w:t>
            </w:r>
            <w:r>
              <w:rPr>
                <w:rFonts w:hint="eastAsia" w:cs="Times New Roman"/>
                <w:color w:val="auto"/>
                <w:sz w:val="24"/>
                <w:szCs w:val="24"/>
                <w:highlight w:val="none"/>
                <w:shd w:val="clear" w:color="auto" w:fill="auto"/>
                <w:lang w:val="en-US" w:eastAsia="zh-CN"/>
              </w:rPr>
              <w:t>梳山</w:t>
            </w:r>
            <w:r>
              <w:rPr>
                <w:rFonts w:hint="eastAsia" w:ascii="Times New Roman" w:hAnsi="Times New Roman" w:cs="Times New Roman"/>
                <w:color w:val="auto"/>
                <w:sz w:val="24"/>
                <w:szCs w:val="24"/>
                <w:highlight w:val="none"/>
                <w:shd w:val="clear" w:color="auto" w:fill="auto"/>
                <w:lang w:val="en-US" w:eastAsia="zh-CN"/>
              </w:rPr>
              <w:t>光伏发电项目</w:t>
            </w:r>
            <w:r>
              <w:rPr>
                <w:rFonts w:hint="eastAsia" w:ascii="Times New Roman" w:hAnsi="Times New Roman" w:eastAsia="宋体" w:cs="Times New Roman"/>
                <w:color w:val="auto"/>
                <w:kern w:val="2"/>
                <w:sz w:val="24"/>
                <w:szCs w:val="24"/>
                <w:highlight w:val="none"/>
                <w:lang w:val="en-US" w:eastAsia="zh-CN" w:bidi="ar-SA"/>
              </w:rPr>
              <w:t>水土保持方案报告书》中的要求采取相应水保措施</w:t>
            </w:r>
            <w:r>
              <w:rPr>
                <w:rFonts w:hint="default" w:ascii="Times New Roman" w:hAnsi="Times New Roman" w:eastAsia="宋体" w:cs="Times New Roman"/>
                <w:color w:val="auto"/>
                <w:kern w:val="2"/>
                <w:sz w:val="24"/>
                <w:szCs w:val="24"/>
                <w:highlight w:val="none"/>
                <w:lang w:val="en-US" w:eastAsia="zh-CN" w:bidi="ar-SA"/>
              </w:rPr>
              <w:t>。</w:t>
            </w:r>
          </w:p>
          <w:p w14:paraId="7716CDA5">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5</w:t>
            </w:r>
            <w:r>
              <w:rPr>
                <w:rFonts w:hint="default"/>
                <w:b/>
                <w:bCs/>
                <w:color w:val="auto"/>
                <w:sz w:val="24"/>
                <w:highlight w:val="none"/>
                <w:shd w:val="clear" w:color="auto" w:fill="auto"/>
                <w:lang w:val="en-US"/>
              </w:rPr>
              <w:t>）补偿措施</w:t>
            </w:r>
          </w:p>
          <w:p w14:paraId="697EEF5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eastAsia="宋体"/>
                <w:color w:val="auto"/>
                <w:sz w:val="24"/>
                <w:highlight w:val="none"/>
                <w:shd w:val="clear" w:color="auto" w:fill="auto"/>
                <w:lang w:val="en-US"/>
              </w:rPr>
            </w:pPr>
            <w:r>
              <w:rPr>
                <w:rFonts w:hint="eastAsia"/>
                <w:color w:val="auto"/>
                <w:sz w:val="24"/>
                <w:highlight w:val="none"/>
                <w:shd w:val="clear" w:color="auto" w:fill="auto"/>
                <w:lang w:val="en-US"/>
              </w:rPr>
              <w:t>项目</w:t>
            </w:r>
            <w:r>
              <w:rPr>
                <w:rFonts w:hint="eastAsia"/>
                <w:color w:val="auto"/>
                <w:sz w:val="24"/>
                <w:highlight w:val="none"/>
                <w:shd w:val="clear" w:color="auto" w:fill="auto"/>
              </w:rPr>
              <w:t>建设要永久性的和临时性占用一部分林地、</w:t>
            </w:r>
            <w:r>
              <w:rPr>
                <w:rFonts w:hint="eastAsia" w:eastAsia="宋体"/>
                <w:color w:val="auto"/>
                <w:sz w:val="24"/>
                <w:highlight w:val="none"/>
                <w:shd w:val="clear" w:color="auto" w:fill="auto"/>
                <w:lang w:eastAsia="zh-CN"/>
              </w:rPr>
              <w:t>其他</w:t>
            </w:r>
            <w:r>
              <w:rPr>
                <w:rFonts w:hint="eastAsia" w:eastAsia="宋体"/>
                <w:color w:val="auto"/>
                <w:sz w:val="24"/>
                <w:highlight w:val="none"/>
                <w:shd w:val="clear" w:color="auto" w:fill="auto"/>
                <w:lang w:val="en-US" w:eastAsia="zh-CN"/>
              </w:rPr>
              <w:t>草地、裸地</w:t>
            </w:r>
            <w:r>
              <w:rPr>
                <w:rFonts w:hint="eastAsia"/>
                <w:color w:val="auto"/>
                <w:sz w:val="24"/>
                <w:highlight w:val="none"/>
                <w:shd w:val="clear" w:color="auto" w:fill="auto"/>
              </w:rPr>
              <w:t>等，使这些资源受到损失，因此必须按照国家相关土地补偿标准予以补偿。应根据国家关于林地补偿相关规定，向地方缴纳森林植被恢复费，补偿</w:t>
            </w:r>
            <w:r>
              <w:rPr>
                <w:rFonts w:hint="eastAsia"/>
                <w:color w:val="auto"/>
                <w:sz w:val="24"/>
                <w:highlight w:val="none"/>
                <w:shd w:val="clear" w:color="auto" w:fill="auto"/>
                <w:lang w:val="en-US"/>
              </w:rPr>
              <w:t>项目</w:t>
            </w:r>
            <w:r>
              <w:rPr>
                <w:rFonts w:hint="eastAsia"/>
                <w:color w:val="auto"/>
                <w:sz w:val="24"/>
                <w:highlight w:val="none"/>
                <w:shd w:val="clear" w:color="auto" w:fill="auto"/>
              </w:rPr>
              <w:t>占地造成的损失，专款用于林地恢复、异地造林和养护。</w:t>
            </w:r>
          </w:p>
          <w:p w14:paraId="38A2A335">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b/>
                <w:bCs/>
                <w:color w:val="auto"/>
                <w:sz w:val="24"/>
                <w:highlight w:val="none"/>
                <w:shd w:val="clear" w:color="auto" w:fill="auto"/>
                <w:lang w:val="en-US"/>
              </w:rPr>
            </w:pPr>
            <w:r>
              <w:rPr>
                <w:rFonts w:hint="default"/>
                <w:b/>
                <w:bCs/>
                <w:color w:val="auto"/>
                <w:sz w:val="24"/>
                <w:highlight w:val="none"/>
                <w:shd w:val="clear" w:color="auto" w:fill="auto"/>
                <w:lang w:val="en-US"/>
              </w:rPr>
              <w:t>（</w:t>
            </w:r>
            <w:r>
              <w:rPr>
                <w:rFonts w:hint="eastAsia"/>
                <w:b/>
                <w:bCs/>
                <w:color w:val="auto"/>
                <w:sz w:val="24"/>
                <w:highlight w:val="none"/>
                <w:shd w:val="clear" w:color="auto" w:fill="auto"/>
                <w:lang w:val="en-US"/>
              </w:rPr>
              <w:t>6</w:t>
            </w:r>
            <w:r>
              <w:rPr>
                <w:rFonts w:hint="default"/>
                <w:b/>
                <w:bCs/>
                <w:color w:val="auto"/>
                <w:sz w:val="24"/>
                <w:highlight w:val="none"/>
                <w:shd w:val="clear" w:color="auto" w:fill="auto"/>
                <w:lang w:val="en-US"/>
              </w:rPr>
              <w:t>）管理措施</w:t>
            </w:r>
          </w:p>
          <w:p w14:paraId="14BBDE17">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ascii="宋体" w:hAnsi="宋体" w:eastAsia="宋体" w:cs="宋体"/>
                <w:color w:val="auto"/>
                <w:sz w:val="24"/>
                <w:highlight w:val="none"/>
                <w:shd w:val="clear" w:color="auto" w:fill="auto"/>
                <w:lang w:val="en-US"/>
              </w:rPr>
              <w:t>①</w:t>
            </w:r>
            <w:r>
              <w:rPr>
                <w:rFonts w:hint="eastAsia"/>
                <w:color w:val="auto"/>
                <w:sz w:val="24"/>
                <w:highlight w:val="none"/>
                <w:shd w:val="clear" w:color="auto" w:fill="auto"/>
              </w:rPr>
              <w:t>严格按照征地范围进行施工，划定最小施工范围，</w:t>
            </w:r>
            <w:r>
              <w:rPr>
                <w:rFonts w:hint="eastAsia" w:ascii="宋体" w:hAnsi="宋体" w:cs="宋体"/>
                <w:color w:val="auto"/>
                <w:kern w:val="0"/>
                <w:sz w:val="24"/>
                <w:highlight w:val="none"/>
                <w:shd w:val="clear" w:color="auto" w:fill="auto"/>
              </w:rPr>
              <w:t>严格划定施工界限，禁止超范围占地，避免超计划占用林地、林木，严禁随意扩大占地范围，</w:t>
            </w:r>
            <w:r>
              <w:rPr>
                <w:rFonts w:hint="eastAsia"/>
                <w:color w:val="auto"/>
                <w:kern w:val="0"/>
                <w:sz w:val="24"/>
                <w:highlight w:val="none"/>
                <w:shd w:val="clear" w:color="auto" w:fill="auto"/>
              </w:rPr>
              <w:t>严禁施工人员砍伐、破坏工程占地区外的植被，严禁在征地范围外堆渣等作业</w:t>
            </w:r>
            <w:r>
              <w:rPr>
                <w:rFonts w:hint="eastAsia"/>
                <w:color w:val="auto"/>
                <w:sz w:val="24"/>
                <w:highlight w:val="none"/>
                <w:shd w:val="clear" w:color="auto" w:fill="auto"/>
              </w:rPr>
              <w:t>，</w:t>
            </w:r>
            <w:r>
              <w:rPr>
                <w:rFonts w:hint="eastAsia" w:eastAsia="宋体"/>
                <w:color w:val="auto"/>
                <w:sz w:val="24"/>
                <w:highlight w:val="none"/>
                <w:shd w:val="clear" w:color="auto" w:fill="auto"/>
                <w:lang w:eastAsia="zh-CN"/>
              </w:rPr>
              <w:t>减少</w:t>
            </w:r>
            <w:r>
              <w:rPr>
                <w:rFonts w:hint="eastAsia"/>
                <w:color w:val="auto"/>
                <w:sz w:val="24"/>
                <w:highlight w:val="none"/>
                <w:shd w:val="clear" w:color="auto" w:fill="auto"/>
              </w:rPr>
              <w:t>植被受影响面积。</w:t>
            </w:r>
          </w:p>
          <w:p w14:paraId="7C6E8D47">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en-US"/>
              </w:rPr>
              <w:t>②施工应加强施工期的环境监理工作，定期编制环境监理报送相关部门。</w:t>
            </w:r>
          </w:p>
          <w:p w14:paraId="080D398C">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p w14:paraId="698C686A">
            <w:pPr>
              <w:pStyle w:val="91"/>
              <w:keepNext w:val="0"/>
              <w:keepLines w:val="0"/>
              <w:suppressLineNumbers w:val="0"/>
              <w:overflowPunct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④施工结束后应督促施工单位及时拆除临时建筑，清理，恢复土层，采用当地植物对临时占用的施工场</w:t>
            </w:r>
            <w:r>
              <w:rPr>
                <w:rFonts w:hint="eastAsia" w:eastAsia="宋体" w:cs="Times New Roman"/>
                <w:color w:val="auto"/>
                <w:kern w:val="2"/>
                <w:sz w:val="24"/>
                <w:szCs w:val="24"/>
                <w:highlight w:val="none"/>
                <w:lang w:val="en-US" w:eastAsia="zh-CN" w:bidi="ar-SA"/>
              </w:rPr>
              <w:t>地</w:t>
            </w:r>
            <w:r>
              <w:rPr>
                <w:rFonts w:hint="eastAsia" w:ascii="Times New Roman" w:hAnsi="Times New Roman" w:eastAsia="宋体" w:cs="Times New Roman"/>
                <w:color w:val="auto"/>
                <w:kern w:val="2"/>
                <w:sz w:val="24"/>
                <w:szCs w:val="24"/>
                <w:highlight w:val="none"/>
                <w:lang w:val="en-US" w:eastAsia="zh-CN" w:bidi="ar-SA"/>
              </w:rPr>
              <w:t>进行“恢复性”种植，促进自然恢复。</w:t>
            </w:r>
          </w:p>
          <w:p w14:paraId="4F373662">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w:t>
            </w:r>
            <w:r>
              <w:rPr>
                <w:rFonts w:hint="eastAsia" w:ascii="Times New Roman" w:hAnsi="Times New Roman" w:eastAsia="宋体" w:cs="Times New Roman"/>
                <w:color w:val="auto"/>
                <w:kern w:val="2"/>
                <w:sz w:val="24"/>
                <w:szCs w:val="24"/>
                <w:highlight w:val="none"/>
                <w:lang w:val="en-US" w:eastAsia="zh-CN" w:bidi="ar-SA"/>
              </w:rPr>
              <w:t>植被恢复期应注意加强管理巡查，做好浇水、施肥保障措施，若发现种植的植物死亡，应查明死亡原因，并进行补种和加强管理。</w:t>
            </w:r>
          </w:p>
          <w:p w14:paraId="677D7A14">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b/>
                <w:bCs/>
                <w:color w:val="auto"/>
                <w:sz w:val="24"/>
                <w:highlight w:val="none"/>
                <w:shd w:val="clear" w:color="auto" w:fill="auto"/>
              </w:rPr>
            </w:pPr>
            <w:r>
              <w:rPr>
                <w:rFonts w:hint="eastAsia" w:ascii="宋体" w:hAnsi="宋体" w:cs="宋体"/>
                <w:color w:val="auto"/>
                <w:sz w:val="24"/>
                <w:highlight w:val="none"/>
                <w:shd w:val="clear" w:color="auto" w:fill="auto"/>
              </w:rPr>
              <w:t>以上生态影响保护措施经济合理，便于实施，在采取上述措施后，可有效控制水土流失，保护区域生态环境，使本项目的建设对生态环境的影响在环境可接受的范围内。</w:t>
            </w:r>
          </w:p>
          <w:p w14:paraId="1C4CA56F">
            <w:pPr>
              <w:keepNext w:val="0"/>
              <w:keepLines w:val="0"/>
              <w:widowControl/>
              <w:suppressLineNumbers w:val="0"/>
              <w:shd w:val="clear"/>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二、对生态保护红线、基本农田和公益林等保护措施及要求</w:t>
            </w:r>
          </w:p>
          <w:p w14:paraId="21772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（1）施工期优化布置，项目施工</w:t>
            </w:r>
            <w:r>
              <w:rPr>
                <w:rFonts w:hint="eastAsia" w:ascii="Times New Roman" w:hAnsi="Times New Roman" w:cs="Times New Roman"/>
                <w:b w:val="0"/>
                <w:bCs/>
                <w:color w:val="auto"/>
                <w:spacing w:val="0"/>
                <w:sz w:val="24"/>
                <w:lang w:val="en-US" w:eastAsia="zh-CN"/>
              </w:rPr>
              <w:t>场</w:t>
            </w:r>
            <w:r>
              <w:rPr>
                <w:rFonts w:hint="default" w:ascii="Times New Roman" w:hAnsi="Times New Roman" w:cs="Times New Roman"/>
                <w:b w:val="0"/>
                <w:bCs/>
                <w:color w:val="auto"/>
                <w:spacing w:val="0"/>
                <w:sz w:val="24"/>
              </w:rPr>
              <w:t>地等临时工程选址禁止占用生态保护红线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，并尽量远离生态保护红线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w:t>
            </w:r>
          </w:p>
          <w:p w14:paraId="1C3462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（2）对易产生扬尘污染材料的堆放、装卸，应采取有效遮盖、封闭等防尘措施</w:t>
            </w:r>
            <w:r>
              <w:rPr>
                <w:rFonts w:hint="eastAsia" w:ascii="Times New Roman" w:hAnsi="Times New Roman" w:cs="Times New Roman"/>
                <w:b w:val="0"/>
                <w:bCs/>
                <w:color w:val="auto"/>
                <w:spacing w:val="0"/>
                <w:sz w:val="24"/>
                <w:lang w:eastAsia="zh-CN"/>
              </w:rPr>
              <w:t>，</w:t>
            </w:r>
            <w:r>
              <w:rPr>
                <w:rFonts w:hint="default" w:ascii="Times New Roman" w:hAnsi="Times New Roman" w:cs="Times New Roman"/>
                <w:b w:val="0"/>
                <w:bCs/>
                <w:color w:val="auto"/>
                <w:spacing w:val="0"/>
                <w:sz w:val="24"/>
              </w:rPr>
              <w:t>禁止露天长期敞开堆放易产生扬尘的材料；运输易产生扬尘材料时应按规定实施密闭运输，实现无抛洒滴漏，减轻粉尘对生态保护红线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内植被的影响。</w:t>
            </w:r>
          </w:p>
          <w:p w14:paraId="45AE0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（3）临近生态保护红线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的施工材料堆放场地应设围挡措施，避免造成生态保护红线</w:t>
            </w:r>
            <w:r>
              <w:rPr>
                <w:rFonts w:hint="eastAsia" w:ascii="Times New Roman" w:hAnsi="Times New Roman" w:cs="Times New Roman"/>
                <w:b w:val="0"/>
                <w:bCs/>
                <w:color w:val="auto"/>
                <w:spacing w:val="0"/>
                <w:sz w:val="24"/>
                <w:lang w:eastAsia="zh-CN"/>
              </w:rPr>
              <w:t>、</w:t>
            </w:r>
            <w:r>
              <w:rPr>
                <w:rFonts w:hint="eastAsia" w:ascii="Times New Roman" w:hAnsi="Times New Roman" w:cs="Times New Roman"/>
                <w:b w:val="0"/>
                <w:bCs/>
                <w:color w:val="auto"/>
                <w:spacing w:val="0"/>
                <w:sz w:val="24"/>
                <w:lang w:val="en-US" w:eastAsia="zh-CN"/>
              </w:rPr>
              <w:t>基本农田和省级公益林</w:t>
            </w:r>
            <w:r>
              <w:rPr>
                <w:rFonts w:hint="default" w:ascii="Times New Roman" w:hAnsi="Times New Roman" w:cs="Times New Roman"/>
                <w:b w:val="0"/>
                <w:bCs/>
                <w:color w:val="auto"/>
                <w:spacing w:val="0"/>
                <w:sz w:val="24"/>
              </w:rPr>
              <w:t>内的地表原始植被丧失和土壤结构的破坏。</w:t>
            </w:r>
          </w:p>
          <w:p w14:paraId="4CC68D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（4）要求施工时加强施工管理，严格按项目划定的</w:t>
            </w:r>
            <w:r>
              <w:rPr>
                <w:rFonts w:hint="eastAsia" w:ascii="Times New Roman" w:hAnsi="Times New Roman" w:cs="Times New Roman"/>
                <w:b w:val="0"/>
                <w:bCs/>
                <w:color w:val="auto"/>
                <w:spacing w:val="0"/>
                <w:sz w:val="24"/>
                <w:lang w:val="en-US" w:eastAsia="zh-CN"/>
              </w:rPr>
              <w:t>红线</w:t>
            </w:r>
            <w:r>
              <w:rPr>
                <w:rFonts w:hint="default" w:ascii="Times New Roman" w:hAnsi="Times New Roman" w:cs="Times New Roman"/>
                <w:b w:val="0"/>
                <w:bCs/>
                <w:color w:val="auto"/>
                <w:spacing w:val="0"/>
                <w:sz w:val="24"/>
              </w:rPr>
              <w:t>范围施工，不得越界。施工严格限制施工机械和人员活动范围，必要时使用地表铺垫（草垫、钢板垫），减少生态影响。</w:t>
            </w:r>
          </w:p>
          <w:p w14:paraId="29BA6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color w:val="auto"/>
                <w:spacing w:val="0"/>
                <w:sz w:val="24"/>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5</w:t>
            </w:r>
            <w:r>
              <w:rPr>
                <w:rFonts w:hint="default" w:ascii="Times New Roman" w:hAnsi="Times New Roman" w:cs="Times New Roman"/>
                <w:b w:val="0"/>
                <w:bCs/>
                <w:color w:val="auto"/>
                <w:spacing w:val="0"/>
                <w:sz w:val="24"/>
              </w:rPr>
              <w:t>）加强施工人员生态保护教育，严禁捕猎、捕食野生动物和随意砍伐、践踏植被；在紧邻生态保护红线</w:t>
            </w:r>
            <w:r>
              <w:rPr>
                <w:rFonts w:hint="eastAsia" w:ascii="Times New Roman" w:hAnsi="Times New Roman" w:cs="Times New Roman"/>
                <w:b w:val="0"/>
                <w:bCs/>
                <w:color w:val="auto"/>
                <w:spacing w:val="0"/>
                <w:sz w:val="24"/>
                <w:lang w:val="en-US" w:eastAsia="zh-CN"/>
              </w:rPr>
              <w:t>和基本农田</w:t>
            </w:r>
            <w:r>
              <w:rPr>
                <w:rFonts w:hint="default" w:ascii="Times New Roman" w:hAnsi="Times New Roman" w:cs="Times New Roman"/>
                <w:b w:val="0"/>
                <w:bCs/>
                <w:color w:val="auto"/>
                <w:spacing w:val="0"/>
                <w:sz w:val="24"/>
              </w:rPr>
              <w:t>的边界竖立施工警示标牌。</w:t>
            </w:r>
          </w:p>
          <w:p w14:paraId="683748EC">
            <w:pPr>
              <w:keepNext w:val="0"/>
              <w:keepLines w:val="0"/>
              <w:widowControl/>
              <w:suppressLineNumbers w:val="0"/>
              <w:shd w:val="clear"/>
              <w:spacing w:before="0" w:beforeAutospacing="0" w:after="0" w:afterAutospacing="0" w:line="360" w:lineRule="auto"/>
              <w:ind w:left="0" w:right="0" w:firstLine="480" w:firstLineChars="200"/>
              <w:jc w:val="left"/>
              <w:rPr>
                <w:rFonts w:hint="eastAsia"/>
                <w:b/>
                <w:bCs/>
                <w:color w:val="auto"/>
                <w:sz w:val="24"/>
                <w:highlight w:val="none"/>
                <w:shd w:val="clear" w:color="auto" w:fill="auto"/>
              </w:rPr>
            </w:pPr>
            <w:r>
              <w:rPr>
                <w:rFonts w:hint="default" w:ascii="Times New Roman" w:hAnsi="Times New Roman" w:cs="Times New Roman"/>
                <w:b w:val="0"/>
                <w:bCs/>
                <w:color w:val="auto"/>
                <w:spacing w:val="0"/>
                <w:sz w:val="24"/>
              </w:rPr>
              <w:t>（</w:t>
            </w:r>
            <w:r>
              <w:rPr>
                <w:rFonts w:hint="eastAsia" w:ascii="Times New Roman" w:hAnsi="Times New Roman" w:cs="Times New Roman"/>
                <w:b w:val="0"/>
                <w:bCs/>
                <w:color w:val="auto"/>
                <w:spacing w:val="0"/>
                <w:sz w:val="24"/>
                <w:lang w:val="en-US" w:eastAsia="zh-CN"/>
              </w:rPr>
              <w:t>6</w:t>
            </w:r>
            <w:r>
              <w:rPr>
                <w:rFonts w:hint="default" w:ascii="Times New Roman" w:hAnsi="Times New Roman" w:cs="Times New Roman"/>
                <w:b w:val="0"/>
                <w:bCs/>
                <w:color w:val="auto"/>
                <w:spacing w:val="0"/>
                <w:sz w:val="24"/>
              </w:rPr>
              <w:t>）对于临时占地区域的表层土予以收集保存，施工结束后及时清理、松土、覆盖表层土；</w:t>
            </w:r>
            <w:r>
              <w:rPr>
                <w:rFonts w:hint="eastAsia" w:ascii="宋体" w:hAnsi="宋体" w:eastAsia="宋体" w:cs="宋体"/>
                <w:b w:val="0"/>
                <w:bCs/>
                <w:color w:val="auto"/>
                <w:spacing w:val="0"/>
                <w:sz w:val="24"/>
              </w:rPr>
              <w:t>在“适地适树、适地适草”的</w:t>
            </w:r>
            <w:r>
              <w:rPr>
                <w:rFonts w:hint="default" w:ascii="Times New Roman" w:hAnsi="Times New Roman" w:cs="Times New Roman"/>
                <w:b w:val="0"/>
                <w:bCs/>
                <w:color w:val="auto"/>
                <w:spacing w:val="0"/>
                <w:sz w:val="24"/>
              </w:rPr>
              <w:t>原则下，选用灌草结合的方式进行植被恢复，植物种类选择当地乡土物种，重点考虑根量多、根域广、林冠层郁闭度高且水源涵养性能高的灌草物种，并加强后期养护和维护</w:t>
            </w:r>
            <w:r>
              <w:rPr>
                <w:rFonts w:hint="eastAsia" w:ascii="Times New Roman" w:hAnsi="Times New Roman" w:cs="Times New Roman"/>
                <w:b w:val="0"/>
                <w:bCs/>
                <w:color w:val="auto"/>
                <w:spacing w:val="0"/>
                <w:sz w:val="24"/>
                <w:lang w:eastAsia="zh-CN"/>
              </w:rPr>
              <w:t>。</w:t>
            </w:r>
          </w:p>
          <w:p w14:paraId="01AFFECF">
            <w:pPr>
              <w:keepNext w:val="0"/>
              <w:keepLines w:val="0"/>
              <w:widowControl/>
              <w:suppressLineNumbers w:val="0"/>
              <w:shd w:val="clear"/>
              <w:spacing w:before="0" w:beforeAutospacing="0" w:after="0" w:afterAutospacing="0" w:line="360" w:lineRule="auto"/>
              <w:ind w:left="0" w:right="0" w:firstLine="482" w:firstLineChars="200"/>
              <w:jc w:val="left"/>
              <w:rPr>
                <w:rFonts w:hint="default"/>
                <w:b/>
                <w:color w:val="auto"/>
                <w:spacing w:val="10"/>
                <w:sz w:val="24"/>
                <w:highlight w:val="none"/>
                <w:shd w:val="clear" w:color="auto" w:fill="auto"/>
              </w:rPr>
            </w:pPr>
            <w:r>
              <w:rPr>
                <w:rFonts w:hint="eastAsia"/>
                <w:b/>
                <w:bCs/>
                <w:color w:val="auto"/>
                <w:sz w:val="24"/>
                <w:highlight w:val="none"/>
                <w:shd w:val="clear" w:color="auto" w:fill="auto"/>
              </w:rPr>
              <w:t>二、</w:t>
            </w:r>
            <w:r>
              <w:rPr>
                <w:rFonts w:hint="default"/>
                <w:b/>
                <w:bCs/>
                <w:color w:val="auto"/>
                <w:sz w:val="24"/>
                <w:highlight w:val="none"/>
                <w:shd w:val="clear" w:color="auto" w:fill="auto"/>
              </w:rPr>
              <w:t>污染影响控制措施</w:t>
            </w:r>
          </w:p>
          <w:p w14:paraId="31AAA5AF">
            <w:pPr>
              <w:pStyle w:val="91"/>
              <w:keepNext w:val="0"/>
              <w:keepLines w:val="0"/>
              <w:suppressLineNumbers w:val="0"/>
              <w:shd w:val="clear"/>
              <w:overflowPunct w:val="0"/>
              <w:spacing w:before="0" w:beforeAutospacing="0" w:after="0" w:afterAutospacing="0" w:line="360" w:lineRule="auto"/>
              <w:ind w:left="0" w:right="0" w:firstLine="482" w:firstLineChars="200"/>
              <w:jc w:val="left"/>
              <w:rPr>
                <w:rFonts w:hint="default"/>
                <w:b/>
                <w:color w:val="auto"/>
                <w:spacing w:val="10"/>
                <w:sz w:val="24"/>
                <w:szCs w:val="24"/>
                <w:highlight w:val="none"/>
                <w:shd w:val="clear" w:color="auto" w:fill="auto"/>
              </w:rPr>
            </w:pPr>
            <w:r>
              <w:rPr>
                <w:rFonts w:hint="eastAsia" w:eastAsia="宋体"/>
                <w:b/>
                <w:bCs/>
                <w:color w:val="auto"/>
                <w:sz w:val="24"/>
                <w:szCs w:val="24"/>
                <w:highlight w:val="none"/>
                <w:shd w:val="clear" w:color="auto" w:fill="auto"/>
                <w:lang w:val="en-US"/>
              </w:rPr>
              <w:t>1、</w:t>
            </w:r>
            <w:r>
              <w:rPr>
                <w:rFonts w:hint="eastAsia" w:ascii="宋体" w:hAnsi="宋体" w:eastAsia="宋体" w:cs="宋体"/>
                <w:b/>
                <w:bCs/>
                <w:color w:val="auto"/>
                <w:kern w:val="0"/>
                <w:sz w:val="24"/>
                <w:szCs w:val="24"/>
                <w:highlight w:val="none"/>
                <w:shd w:val="clear" w:color="auto" w:fill="auto"/>
                <w:lang w:val="en-US" w:bidi="ar"/>
              </w:rPr>
              <w:t>大气环境</w:t>
            </w:r>
            <w:r>
              <w:rPr>
                <w:rFonts w:hint="default" w:eastAsia="宋体"/>
                <w:b/>
                <w:bCs/>
                <w:color w:val="auto"/>
                <w:sz w:val="24"/>
                <w:szCs w:val="24"/>
                <w:highlight w:val="none"/>
                <w:shd w:val="clear" w:color="auto" w:fill="auto"/>
                <w:lang w:val="en-US"/>
              </w:rPr>
              <w:t>控制措施</w:t>
            </w:r>
          </w:p>
          <w:p w14:paraId="299D70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租用</w:t>
            </w:r>
            <w:r>
              <w:rPr>
                <w:rFonts w:hint="default" w:ascii="Times New Roman" w:hAnsi="Times New Roman" w:eastAsia="宋体" w:cs="Times New Roman"/>
                <w:color w:val="auto"/>
                <w:sz w:val="24"/>
                <w:szCs w:val="24"/>
                <w:highlight w:val="none"/>
                <w:lang w:val="en-US" w:eastAsia="zh-CN"/>
              </w:rPr>
              <w:t>1辆洒水车，</w:t>
            </w:r>
            <w:r>
              <w:rPr>
                <w:rFonts w:hint="eastAsia" w:ascii="Times New Roman" w:hAnsi="Times New Roman" w:eastAsia="宋体" w:cs="Times New Roman"/>
                <w:bCs/>
                <w:color w:val="auto"/>
                <w:spacing w:val="0"/>
                <w:sz w:val="24"/>
                <w:szCs w:val="24"/>
                <w:highlight w:val="none"/>
                <w:lang w:val="en-US" w:eastAsia="zh-CN"/>
              </w:rPr>
              <w:t>施工期间根据具体情况适时对施工现场、交通道路洒水至少</w:t>
            </w:r>
            <w:r>
              <w:rPr>
                <w:rFonts w:hint="default" w:ascii="Times New Roman" w:hAnsi="Times New Roman" w:eastAsia="宋体" w:cs="Times New Roman"/>
                <w:bCs/>
                <w:color w:val="auto"/>
                <w:spacing w:val="0"/>
                <w:sz w:val="24"/>
                <w:szCs w:val="24"/>
                <w:highlight w:val="none"/>
                <w:lang w:val="en-US" w:eastAsia="zh-CN"/>
              </w:rPr>
              <w:t>2</w:t>
            </w:r>
            <w:r>
              <w:rPr>
                <w:rFonts w:hint="eastAsia" w:ascii="Times New Roman" w:hAnsi="Times New Roman" w:eastAsia="宋体" w:cs="Times New Roman"/>
                <w:bCs/>
                <w:color w:val="auto"/>
                <w:spacing w:val="0"/>
                <w:sz w:val="24"/>
                <w:szCs w:val="24"/>
                <w:highlight w:val="none"/>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4"/>
                <w:szCs w:val="24"/>
                <w:highlight w:val="none"/>
                <w:lang w:val="en-US" w:eastAsia="zh-CN"/>
              </w:rPr>
              <w:t>；施工区</w:t>
            </w:r>
            <w:r>
              <w:rPr>
                <w:rFonts w:hint="default" w:ascii="Times New Roman" w:hAnsi="Times New Roman" w:eastAsia="宋体" w:cs="Times New Roman"/>
                <w:color w:val="auto"/>
                <w:sz w:val="24"/>
                <w:szCs w:val="24"/>
                <w:highlight w:val="none"/>
                <w:lang w:val="en-US" w:eastAsia="zh-CN"/>
              </w:rPr>
              <w:t>散体材料库内存放、露天存放应采用防尘网遮盖</w:t>
            </w:r>
            <w:r>
              <w:rPr>
                <w:rFonts w:hint="eastAsia" w:ascii="Times New Roman" w:hAnsi="Times New Roman" w:eastAsia="宋体" w:cs="Times New Roman"/>
                <w:color w:val="auto"/>
                <w:sz w:val="24"/>
                <w:szCs w:val="24"/>
                <w:highlight w:val="none"/>
                <w:lang w:val="en-US" w:eastAsia="zh-CN"/>
              </w:rPr>
              <w:t>；</w:t>
            </w:r>
          </w:p>
          <w:p w14:paraId="7638AB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）在施工中合理组织施工，缩短施工时间，尽量减少施工污染； </w:t>
            </w:r>
          </w:p>
          <w:p w14:paraId="29909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）加强监督管理，运输车辆采取篷布遮盖等封闭措施，以避免运输途中砂石、水泥等</w:t>
            </w:r>
            <w:r>
              <w:rPr>
                <w:rFonts w:hint="eastAsia" w:cs="Times New Roman"/>
                <w:color w:val="auto"/>
                <w:sz w:val="24"/>
                <w:szCs w:val="24"/>
                <w:highlight w:val="none"/>
                <w:lang w:val="en-US" w:eastAsia="zh-CN"/>
              </w:rPr>
              <w:t>固体</w:t>
            </w:r>
            <w:r>
              <w:rPr>
                <w:rFonts w:hint="default" w:ascii="Times New Roman" w:hAnsi="Times New Roman" w:eastAsia="宋体" w:cs="Times New Roman"/>
                <w:color w:val="auto"/>
                <w:sz w:val="24"/>
                <w:szCs w:val="24"/>
                <w:highlight w:val="none"/>
                <w:lang w:val="en-US" w:eastAsia="zh-CN"/>
              </w:rPr>
              <w:t>材料洒落；运输车辆不得超量运载；运输车辆经过村庄路段应减速行驶，并安排专人定期对运输道路进行维护清扫、洒水降尘；</w:t>
            </w:r>
          </w:p>
          <w:p w14:paraId="79B15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）施工后要及时清理平整场地、及时实施地面绿化措施</w:t>
            </w:r>
            <w:r>
              <w:rPr>
                <w:rFonts w:hint="default" w:ascii="Times New Roman" w:hAnsi="Times New Roman" w:eastAsia="宋体" w:cs="Times New Roman"/>
                <w:color w:val="auto"/>
                <w:sz w:val="24"/>
                <w:szCs w:val="24"/>
                <w:highlight w:val="none"/>
                <w:lang w:eastAsia="zh-CN"/>
              </w:rPr>
              <w:t>。</w:t>
            </w:r>
          </w:p>
          <w:p w14:paraId="1DE71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7975E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）出现五级以上大风天气时，禁止进行土方等易产生扬尘污染的施工作业；</w:t>
            </w:r>
          </w:p>
          <w:p w14:paraId="29911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4"/>
                <w:szCs w:val="24"/>
                <w:highlight w:val="none"/>
                <w:lang w:val="en-US" w:eastAsia="zh-CN"/>
              </w:rPr>
              <w:t>；</w:t>
            </w:r>
          </w:p>
          <w:p w14:paraId="291E2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Cs/>
                <w:color w:val="auto"/>
                <w:spacing w:val="0"/>
                <w:sz w:val="24"/>
                <w:szCs w:val="24"/>
                <w:highlight w:val="none"/>
                <w:lang w:val="en-US" w:eastAsia="zh-CN"/>
              </w:rPr>
              <w:t>（8）限制运输车辆的行驶速度，场地内的行车速度不得超过</w:t>
            </w:r>
            <w:r>
              <w:rPr>
                <w:rFonts w:hint="default" w:ascii="Times New Roman" w:hAnsi="Times New Roman" w:eastAsia="宋体" w:cs="Times New Roman"/>
                <w:bCs/>
                <w:color w:val="auto"/>
                <w:spacing w:val="0"/>
                <w:sz w:val="24"/>
                <w:szCs w:val="24"/>
                <w:highlight w:val="none"/>
                <w:lang w:val="en-US" w:eastAsia="zh-CN"/>
              </w:rPr>
              <w:t>20km/h</w:t>
            </w:r>
            <w:r>
              <w:rPr>
                <w:rFonts w:hint="eastAsia" w:cs="Times New Roman"/>
                <w:bCs/>
                <w:color w:val="auto"/>
                <w:spacing w:val="0"/>
                <w:sz w:val="24"/>
                <w:szCs w:val="24"/>
                <w:highlight w:val="none"/>
                <w:lang w:val="en-US" w:eastAsia="zh-CN"/>
              </w:rPr>
              <w:t>；</w:t>
            </w:r>
          </w:p>
          <w:p w14:paraId="6C7E0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4"/>
                <w:szCs w:val="24"/>
                <w:highlight w:val="none"/>
                <w:lang w:val="en-US" w:eastAsia="zh-CN"/>
              </w:rPr>
              <w:t>日常</w:t>
            </w:r>
            <w:r>
              <w:rPr>
                <w:rFonts w:hint="eastAsia" w:ascii="Times New Roman" w:hAnsi="Times New Roman" w:eastAsia="宋体" w:cs="Times New Roman"/>
                <w:color w:val="auto"/>
                <w:sz w:val="24"/>
                <w:szCs w:val="24"/>
                <w:highlight w:val="none"/>
                <w:lang w:val="en-US" w:eastAsia="zh-CN"/>
              </w:rPr>
              <w:t>教育培训和考核等</w:t>
            </w:r>
            <w:r>
              <w:rPr>
                <w:rFonts w:hint="eastAsia" w:cs="Times New Roman"/>
                <w:color w:val="auto"/>
                <w:sz w:val="24"/>
                <w:szCs w:val="24"/>
                <w:highlight w:val="none"/>
                <w:lang w:val="en-US" w:eastAsia="zh-CN"/>
              </w:rPr>
              <w:t>；</w:t>
            </w:r>
          </w:p>
          <w:p w14:paraId="544BF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）推行绿色文明施工管理模式，建设单位、施工单位在合同中依法明确扬尘污染治理实施方案和责任，并将防治费用列入工程成本，单独列支，专款专用。</w:t>
            </w:r>
          </w:p>
          <w:p w14:paraId="5365F94A">
            <w:pPr>
              <w:pStyle w:val="91"/>
              <w:keepNext w:val="0"/>
              <w:keepLines w:val="0"/>
              <w:suppressLineNumbers w:val="0"/>
              <w:overflowPunct w:val="0"/>
              <w:spacing w:before="0" w:beforeAutospacing="0" w:after="0" w:afterAutospacing="0" w:line="360" w:lineRule="auto"/>
              <w:ind w:left="0" w:right="0" w:firstLine="480" w:firstLineChars="200"/>
              <w:jc w:val="left"/>
              <w:rPr>
                <w:rFonts w:hint="default"/>
                <w:color w:val="auto"/>
                <w:kern w:val="0"/>
                <w:sz w:val="24"/>
                <w:highlight w:val="none"/>
              </w:rPr>
            </w:pPr>
            <w:r>
              <w:rPr>
                <w:rFonts w:hint="eastAsia"/>
                <w:color w:val="auto"/>
                <w:sz w:val="24"/>
                <w:highlight w:val="none"/>
              </w:rPr>
              <w:t>当采取上述大气污染物防治措施后，项目区施工期粉尘污染物将得到有效控制，厂界及敏感点大气污染物将可达到《大气污染物综合排放标准》（GB16297-1996）表2中无组织排放监控浓度限值标准，</w:t>
            </w:r>
            <w:r>
              <w:rPr>
                <w:rFonts w:hint="eastAsia"/>
                <w:color w:val="auto"/>
                <w:sz w:val="24"/>
                <w:highlight w:val="none"/>
                <w:lang w:val="en-US" w:eastAsia="zh-CN"/>
              </w:rPr>
              <w:t>且</w:t>
            </w:r>
            <w:r>
              <w:rPr>
                <w:rFonts w:hint="eastAsia"/>
                <w:color w:val="auto"/>
                <w:sz w:val="24"/>
                <w:highlight w:val="none"/>
              </w:rPr>
              <w:t>上述大气污染物治理措施不涉及专业设备及设施，仅涉及一般管理要求，因此，经济成本较低，措施操作简单易行</w:t>
            </w:r>
            <w:r>
              <w:rPr>
                <w:rFonts w:hint="eastAsia"/>
                <w:color w:val="auto"/>
                <w:sz w:val="24"/>
                <w:highlight w:val="none"/>
                <w:lang w:eastAsia="zh-CN"/>
              </w:rPr>
              <w:t>，</w:t>
            </w:r>
            <w:r>
              <w:rPr>
                <w:rFonts w:hint="default"/>
                <w:color w:val="auto"/>
                <w:sz w:val="24"/>
                <w:highlight w:val="none"/>
              </w:rPr>
              <w:t>措施可行</w:t>
            </w:r>
            <w:r>
              <w:rPr>
                <w:rFonts w:hint="eastAsia"/>
                <w:color w:val="auto"/>
                <w:sz w:val="24"/>
                <w:highlight w:val="none"/>
                <w:lang w:eastAsia="zh-CN"/>
              </w:rPr>
              <w:t>。</w:t>
            </w:r>
          </w:p>
          <w:p w14:paraId="3BF8C77B">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b/>
                <w:color w:val="auto"/>
                <w:sz w:val="24"/>
                <w:highlight w:val="none"/>
                <w:shd w:val="clear" w:color="auto" w:fill="auto"/>
                <w:lang w:val="en-US"/>
              </w:rPr>
              <w:t>2、</w:t>
            </w:r>
            <w:r>
              <w:rPr>
                <w:rFonts w:hint="default" w:eastAsia="宋体"/>
                <w:b/>
                <w:bCs/>
                <w:color w:val="auto"/>
                <w:sz w:val="24"/>
                <w:highlight w:val="none"/>
                <w:shd w:val="clear" w:color="auto" w:fill="auto"/>
                <w:lang w:val="en-US"/>
              </w:rPr>
              <w:t>废水控制措施</w:t>
            </w:r>
          </w:p>
          <w:p w14:paraId="627092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color w:val="auto"/>
                <w:sz w:val="24"/>
                <w:highlight w:val="none"/>
              </w:rPr>
              <w:t>（1）</w:t>
            </w:r>
            <w:r>
              <w:rPr>
                <w:rFonts w:hint="default" w:ascii="Times New Roman" w:hAnsi="Times New Roman" w:eastAsia="宋体" w:cs="Times New Roman"/>
                <w:color w:val="auto"/>
                <w:sz w:val="24"/>
                <w:szCs w:val="24"/>
                <w:highlight w:val="none"/>
                <w:lang w:val="en-US" w:eastAsia="zh-CN"/>
              </w:rPr>
              <w:t>施工期间应按照水保要求优先完成区内排水沟和沉砂池，为排出场内汇水，光伏方阵区上游应修建排水沟；临时施工场地四周布置临时排水沟，末端设置临时沉砂池；雨水径流经沉砂池沉淀处理后，接入周围地表水体。</w:t>
            </w:r>
          </w:p>
          <w:p w14:paraId="45E4B548">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w:t>
            </w:r>
            <w:r>
              <w:rPr>
                <w:rFonts w:hint="eastAsia"/>
                <w:color w:val="auto"/>
                <w:sz w:val="24"/>
                <w:highlight w:val="none"/>
                <w:lang w:val="en-US" w:eastAsia="zh-CN"/>
              </w:rPr>
              <w:t>2</w:t>
            </w:r>
            <w:r>
              <w:rPr>
                <w:rFonts w:hint="default"/>
                <w:color w:val="auto"/>
                <w:sz w:val="24"/>
                <w:highlight w:val="none"/>
              </w:rPr>
              <w:t>）加强管理，做好机械的日常维修保养，杜绝跑、冒、滴、漏现象。另外，雨天应对各类机械、粉状物料进行遮盖防雨。</w:t>
            </w:r>
          </w:p>
          <w:p w14:paraId="0A29290C">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w:t>
            </w:r>
            <w:r>
              <w:rPr>
                <w:rFonts w:hint="eastAsia"/>
                <w:color w:val="auto"/>
                <w:sz w:val="24"/>
                <w:highlight w:val="none"/>
                <w:lang w:val="en-US" w:eastAsia="zh-CN"/>
              </w:rPr>
              <w:t>3</w:t>
            </w:r>
            <w:r>
              <w:rPr>
                <w:rFonts w:hint="default"/>
                <w:color w:val="auto"/>
                <w:sz w:val="24"/>
                <w:highlight w:val="none"/>
              </w:rPr>
              <w:t>）节约用水，减少施工废水的产生，且尽量避免雨季土石方施工，暴雨期间停止地基开挖等扰动地表类的施工。禁止任何施工废水排入周边地表水。</w:t>
            </w:r>
          </w:p>
          <w:p w14:paraId="4E616B5E">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rPr>
              <w:t>经采取以上措施后，施工期废水可以得到妥善处理，对下游环境影响小，措施可行</w:t>
            </w:r>
            <w:r>
              <w:rPr>
                <w:rFonts w:hint="default"/>
                <w:color w:val="auto"/>
                <w:sz w:val="24"/>
                <w:highlight w:val="none"/>
              </w:rPr>
              <w:t>。</w:t>
            </w:r>
          </w:p>
          <w:p w14:paraId="0E441936">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经采取以上措施后，施工期废水可以得到妥善处理，对下游环境影响小，措施可行。</w:t>
            </w:r>
          </w:p>
          <w:p w14:paraId="56E63F40">
            <w:pPr>
              <w:pStyle w:val="91"/>
              <w:keepNext w:val="0"/>
              <w:keepLines w:val="0"/>
              <w:suppressLineNumbers w:val="0"/>
              <w:shd w:val="clear"/>
              <w:overflowPunct w:val="0"/>
              <w:spacing w:before="0" w:beforeAutospacing="0" w:after="0" w:afterAutospacing="0" w:line="360" w:lineRule="auto"/>
              <w:ind w:left="0" w:right="0" w:firstLine="480" w:firstLineChars="200"/>
              <w:jc w:val="left"/>
              <w:rPr>
                <w:rFonts w:hint="default"/>
                <w:b/>
                <w:bCs/>
                <w:color w:val="auto"/>
                <w:spacing w:val="10"/>
                <w:sz w:val="24"/>
                <w:highlight w:val="none"/>
                <w:shd w:val="clear" w:color="auto" w:fill="auto"/>
              </w:rPr>
            </w:pPr>
            <w:r>
              <w:rPr>
                <w:rFonts w:hint="eastAsia"/>
                <w:b/>
                <w:color w:val="auto"/>
                <w:sz w:val="24"/>
                <w:highlight w:val="none"/>
                <w:shd w:val="clear" w:color="auto" w:fill="auto"/>
                <w:lang w:val="en-US"/>
              </w:rPr>
              <w:t>3、</w:t>
            </w:r>
            <w:r>
              <w:rPr>
                <w:rFonts w:hint="eastAsia" w:eastAsia="宋体"/>
                <w:b/>
                <w:bCs/>
                <w:color w:val="auto"/>
                <w:sz w:val="24"/>
                <w:highlight w:val="none"/>
                <w:shd w:val="clear" w:color="auto" w:fill="auto"/>
                <w:lang w:val="en-US"/>
              </w:rPr>
              <w:t>噪声</w:t>
            </w:r>
            <w:r>
              <w:rPr>
                <w:rFonts w:hint="default" w:eastAsia="宋体"/>
                <w:b/>
                <w:bCs/>
                <w:color w:val="auto"/>
                <w:sz w:val="24"/>
                <w:highlight w:val="none"/>
                <w:shd w:val="clear" w:color="auto" w:fill="auto"/>
                <w:lang w:val="en-US"/>
              </w:rPr>
              <w:t>控制措施</w:t>
            </w:r>
          </w:p>
          <w:p w14:paraId="61762F03">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建设单位施工过程应严格执行国家《建筑施工场界环境噪声排放标准》（GB12523-2011），尽可能采取有效的减噪措施，避免在同一时间集中使用大量的动力机械设备，施工设备尽量远离敏感点布置，加强对施工噪声的治理，尽量减轻由于施工给周围环境和敏感目标的影响。施工期噪声防护措施：</w:t>
            </w:r>
          </w:p>
          <w:p w14:paraId="73F9E2E0">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rPr>
              <w:t>使用低噪声机械设备，同时对设备进行定期保养和维护，严格操作规范和操作规程，减少设备噪声的产生；</w:t>
            </w:r>
          </w:p>
          <w:p w14:paraId="5A949FC2">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做好设备保养维护工作，以最大限度的减轻高噪声施工机械对周围环境的影响；</w:t>
            </w:r>
          </w:p>
          <w:p w14:paraId="3D0CEFCC">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rPr>
              <w:t>项目方还应该加强对施工人员的管理，做到文明施工，避免人为噪声的产生；</w:t>
            </w:r>
          </w:p>
          <w:p w14:paraId="54807A02">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rPr>
              <w:t>施工车辆一般禁鸣喇叭；在施工现场禁止大声喧哗吵闹或敲击工具等；</w:t>
            </w:r>
          </w:p>
          <w:p w14:paraId="0B05CE63">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rFonts w:hint="eastAsia"/>
                <w:color w:val="auto"/>
                <w:sz w:val="24"/>
                <w:highlight w:val="none"/>
              </w:rPr>
              <w:t>作业中搬运物件，必须轻拿轻放，钢铁件堆放不发出大的声响，严禁抛掷物件而造成噪声；</w:t>
            </w:r>
          </w:p>
          <w:p w14:paraId="3EBB9C67">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w:t>
            </w:r>
            <w:r>
              <w:rPr>
                <w:rFonts w:hint="eastAsia"/>
                <w:color w:val="auto"/>
                <w:sz w:val="24"/>
                <w:highlight w:val="none"/>
              </w:rPr>
              <w:t>合理安排施工时间：合理安排施工时间，除工程必须，并取得</w:t>
            </w:r>
            <w:r>
              <w:rPr>
                <w:rFonts w:hint="eastAsia"/>
                <w:color w:val="auto"/>
                <w:sz w:val="24"/>
                <w:highlight w:val="none"/>
                <w:lang w:val="en-US" w:eastAsia="zh-CN"/>
              </w:rPr>
              <w:t>主管</w:t>
            </w:r>
            <w:r>
              <w:rPr>
                <w:rFonts w:hint="eastAsia"/>
                <w:color w:val="auto"/>
                <w:sz w:val="24"/>
                <w:highlight w:val="none"/>
              </w:rPr>
              <w:t>部门批准，严禁在22</w:t>
            </w:r>
            <w:r>
              <w:rPr>
                <w:rFonts w:hint="eastAsia"/>
                <w:color w:val="auto"/>
                <w:sz w:val="24"/>
                <w:highlight w:val="none"/>
                <w:lang w:eastAsia="zh-CN"/>
              </w:rPr>
              <w:t>:</w:t>
            </w:r>
            <w:r>
              <w:rPr>
                <w:rFonts w:hint="eastAsia"/>
                <w:color w:val="auto"/>
                <w:sz w:val="24"/>
                <w:highlight w:val="none"/>
              </w:rPr>
              <w:t>00-6</w:t>
            </w:r>
            <w:r>
              <w:rPr>
                <w:rFonts w:hint="eastAsia"/>
                <w:color w:val="auto"/>
                <w:sz w:val="24"/>
                <w:highlight w:val="none"/>
                <w:lang w:eastAsia="zh-CN"/>
              </w:rPr>
              <w:t>:</w:t>
            </w:r>
            <w:r>
              <w:rPr>
                <w:rFonts w:hint="eastAsia"/>
                <w:color w:val="auto"/>
                <w:sz w:val="24"/>
                <w:highlight w:val="none"/>
              </w:rPr>
              <w:t>00期间施工</w:t>
            </w:r>
            <w:r>
              <w:rPr>
                <w:rFonts w:hint="eastAsia"/>
                <w:color w:val="auto"/>
                <w:sz w:val="24"/>
                <w:highlight w:val="none"/>
                <w:lang w:eastAsia="zh-CN"/>
              </w:rPr>
              <w:t>；</w:t>
            </w:r>
          </w:p>
          <w:p w14:paraId="6D6C477F">
            <w:pPr>
              <w:keepNext w:val="0"/>
              <w:keepLines w:val="0"/>
              <w:suppressLineNumbers w:val="0"/>
              <w:spacing w:before="0" w:beforeAutospacing="0" w:after="0" w:afterAutospacing="0" w:line="360" w:lineRule="auto"/>
              <w:ind w:left="0" w:right="0" w:firstLine="480"/>
              <w:rPr>
                <w:rFonts w:hint="eastAsia" w:eastAsia="宋体"/>
                <w:color w:val="auto"/>
                <w:sz w:val="24"/>
                <w:highlight w:val="none"/>
                <w:lang w:eastAsia="zh-CN"/>
              </w:rPr>
            </w:pPr>
            <w:r>
              <w:rPr>
                <w:rFonts w:hint="default" w:hAnsi="宋体"/>
                <w:color w:val="auto"/>
                <w:sz w:val="24"/>
                <w:highlight w:val="none"/>
              </w:rPr>
              <w:t>（</w:t>
            </w:r>
            <w:r>
              <w:rPr>
                <w:rFonts w:hint="eastAsia"/>
                <w:color w:val="auto"/>
                <w:sz w:val="24"/>
                <w:highlight w:val="none"/>
                <w:lang w:val="en-US" w:eastAsia="zh-CN"/>
              </w:rPr>
              <w:t>7</w:t>
            </w:r>
            <w:r>
              <w:rPr>
                <w:rFonts w:hint="default" w:hAnsi="宋体"/>
                <w:color w:val="auto"/>
                <w:sz w:val="24"/>
                <w:highlight w:val="none"/>
              </w:rPr>
              <w:t>）施工期间建设单位应与施工方签订环境管理责任书，具体落实施工期噪声防治措施，并且加强与周围可能受影响单位的沟通，减轻对声环境的不利影响。</w:t>
            </w:r>
          </w:p>
          <w:p w14:paraId="2DBA7FE1">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rPr>
              <w:t>项目施工期短，施工期噪声会随施工完成而消失。经采取以上措施后，施工期噪声可以得到有效管控，对周围环境影响小，措施可行。</w:t>
            </w:r>
          </w:p>
          <w:p w14:paraId="19BC7D6F">
            <w:pPr>
              <w:keepNext w:val="0"/>
              <w:keepLines w:val="0"/>
              <w:suppressLineNumbers w:val="0"/>
              <w:shd w:val="clear"/>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eastAsia"/>
                <w:b/>
                <w:color w:val="auto"/>
                <w:sz w:val="24"/>
                <w:highlight w:val="none"/>
                <w:shd w:val="clear" w:color="auto" w:fill="auto"/>
              </w:rPr>
              <w:t>4、</w:t>
            </w:r>
            <w:r>
              <w:rPr>
                <w:rFonts w:hint="eastAsia"/>
                <w:b/>
                <w:bCs/>
                <w:color w:val="auto"/>
                <w:sz w:val="24"/>
                <w:highlight w:val="none"/>
                <w:shd w:val="clear" w:color="auto" w:fill="auto"/>
              </w:rPr>
              <w:t>固废</w:t>
            </w:r>
            <w:r>
              <w:rPr>
                <w:rFonts w:hint="default"/>
                <w:b/>
                <w:bCs/>
                <w:color w:val="auto"/>
                <w:sz w:val="24"/>
                <w:highlight w:val="none"/>
                <w:shd w:val="clear" w:color="auto" w:fill="auto"/>
              </w:rPr>
              <w:t>控制措施</w:t>
            </w:r>
          </w:p>
          <w:p w14:paraId="2929D919">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ascii="Times New Roman" w:hAnsi="Times New Roman" w:eastAsia="宋体" w:cs="Times New Roman"/>
                <w:color w:val="auto"/>
                <w:sz w:val="24"/>
                <w:highlight w:val="none"/>
              </w:rPr>
              <w:t>（1）废弃土石方：</w:t>
            </w:r>
            <w:r>
              <w:rPr>
                <w:rFonts w:hint="default" w:ascii="Times New Roman" w:hAnsi="Times New Roman" w:eastAsia="宋体" w:cs="Times New Roman"/>
                <w:color w:val="auto"/>
                <w:sz w:val="24"/>
                <w:highlight w:val="none"/>
              </w:rPr>
              <w:t>项目产生的土石方全部在场地内回填，不设置弃渣场，禁止乱弃渣</w:t>
            </w:r>
            <w:r>
              <w:rPr>
                <w:rFonts w:hint="eastAsia" w:ascii="Times New Roman" w:hAnsi="Times New Roman" w:eastAsia="宋体" w:cs="Times New Roman"/>
                <w:color w:val="auto"/>
                <w:sz w:val="24"/>
                <w:highlight w:val="none"/>
              </w:rPr>
              <w:t>。</w:t>
            </w:r>
          </w:p>
          <w:p w14:paraId="2D04CB22">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（2）建筑垃圾：分类收集，能利用部分外售收购商进行回收利用，不可回收部分委托资质单位清运至政府部门指定的场所进行处置。禁止乱堆乱倒。</w:t>
            </w:r>
          </w:p>
          <w:p w14:paraId="30009461">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（3）生活垃圾：在施工场地设置临时生活垃圾收集桶，对施工人员的生活垃圾进行收集，垃圾实</w:t>
            </w:r>
            <w:r>
              <w:rPr>
                <w:rFonts w:hint="eastAsia" w:ascii="宋体" w:hAnsi="宋体" w:eastAsia="宋体" w:cs="宋体"/>
                <w:color w:val="auto"/>
                <w:sz w:val="24"/>
                <w:highlight w:val="none"/>
              </w:rPr>
              <w:t>行“日产日清”，能</w:t>
            </w:r>
            <w:r>
              <w:rPr>
                <w:rFonts w:hint="default"/>
                <w:color w:val="auto"/>
                <w:sz w:val="24"/>
                <w:highlight w:val="none"/>
              </w:rPr>
              <w:t>回收利用部分回收利用，不能回收利用的自行转运至</w:t>
            </w:r>
            <w:r>
              <w:rPr>
                <w:rFonts w:hint="eastAsia"/>
                <w:color w:val="auto"/>
                <w:sz w:val="24"/>
                <w:highlight w:val="none"/>
                <w:lang w:eastAsia="zh-CN"/>
              </w:rPr>
              <w:t>附近村镇</w:t>
            </w:r>
            <w:r>
              <w:rPr>
                <w:rFonts w:hint="default"/>
                <w:color w:val="auto"/>
                <w:sz w:val="24"/>
                <w:highlight w:val="none"/>
              </w:rPr>
              <w:t>垃圾收集点统一处置。</w:t>
            </w:r>
          </w:p>
          <w:p w14:paraId="74DC8F63">
            <w:pPr>
              <w:keepNext w:val="0"/>
              <w:keepLines w:val="0"/>
              <w:widowControl/>
              <w:suppressLineNumbers w:val="0"/>
              <w:spacing w:before="0" w:beforeAutospacing="0" w:after="0" w:afterAutospacing="0" w:line="360" w:lineRule="auto"/>
              <w:ind w:left="0" w:right="0" w:firstLine="480" w:firstLineChars="200"/>
              <w:jc w:val="left"/>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rPr>
              <w:t>废弃设备零件经收集后，可回收利用。</w:t>
            </w:r>
          </w:p>
          <w:p w14:paraId="1E347F38">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sz w:val="24"/>
                <w:highlight w:val="none"/>
              </w:rPr>
              <w:t>经采取以上措施后，施工期固体废物可以得到有效处理处置，对周围环境影响小，措施可行。</w:t>
            </w:r>
          </w:p>
          <w:p w14:paraId="73A12B61">
            <w:pPr>
              <w:keepNext w:val="0"/>
              <w:keepLines w:val="0"/>
              <w:widowControl/>
              <w:suppressLineNumbers w:val="0"/>
              <w:shd w:val="clear"/>
              <w:spacing w:before="0" w:beforeAutospacing="0" w:after="0" w:afterAutospacing="0" w:line="360" w:lineRule="auto"/>
              <w:ind w:left="0" w:right="0" w:firstLine="482" w:firstLineChars="200"/>
              <w:jc w:val="left"/>
              <w:rPr>
                <w:rFonts w:hint="default"/>
                <w:color w:val="auto"/>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bidi="ar"/>
              </w:rPr>
              <w:t>三、措施的合理性分析</w:t>
            </w:r>
          </w:p>
          <w:p w14:paraId="0FD8FF32">
            <w:pPr>
              <w:keepNext w:val="0"/>
              <w:keepLines w:val="0"/>
              <w:widowControl/>
              <w:suppressLineNumbers w:val="0"/>
              <w:shd w:val="clear"/>
              <w:spacing w:before="0" w:beforeAutospacing="0" w:after="0" w:afterAutospacing="0" w:line="360" w:lineRule="auto"/>
              <w:ind w:left="0" w:right="0" w:firstLine="480" w:firstLineChars="200"/>
              <w:jc w:val="left"/>
              <w:rPr>
                <w:rFonts w:hint="default"/>
                <w:bCs/>
                <w:color w:val="auto"/>
                <w:spacing w:val="10"/>
                <w:szCs w:val="21"/>
                <w:highlight w:val="none"/>
                <w:shd w:val="clear" w:color="auto" w:fill="auto"/>
              </w:rPr>
            </w:pPr>
            <w:r>
              <w:rPr>
                <w:rFonts w:hint="eastAsia" w:ascii="宋体" w:hAnsi="宋体" w:cs="宋体"/>
                <w:color w:val="auto"/>
                <w:kern w:val="0"/>
                <w:sz w:val="24"/>
                <w:szCs w:val="24"/>
                <w:highlight w:val="none"/>
                <w:shd w:val="clear" w:color="auto" w:fill="auto"/>
                <w:lang w:bidi="ar"/>
              </w:rPr>
              <w:t>项目目前所采取的措施均是技术先进、经济合理，便于实施、能够稳定运行，且长期有效可行的措施，在已有项目的运行中，暂未出现不可预见的现象，运行较稳定。生态保护和修复效果，只要严格落实报告中提出的环境保护措施，其保护和修复效果是可以达到的。</w:t>
            </w:r>
          </w:p>
        </w:tc>
      </w:tr>
      <w:tr w14:paraId="35018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3" w:hRule="atLeast"/>
          <w:jc w:val="center"/>
        </w:trPr>
        <w:tc>
          <w:tcPr>
            <w:tcW w:w="475" w:type="pct"/>
            <w:tcMar>
              <w:left w:w="28" w:type="dxa"/>
              <w:right w:w="28" w:type="dxa"/>
            </w:tcMar>
            <w:vAlign w:val="center"/>
          </w:tcPr>
          <w:p w14:paraId="7FD23B88">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pacing w:val="10"/>
                <w:sz w:val="24"/>
                <w:highlight w:val="none"/>
                <w:shd w:val="clear" w:color="auto" w:fill="auto"/>
              </w:rPr>
              <w:t>运营期生态环境保护措施</w:t>
            </w:r>
          </w:p>
        </w:tc>
        <w:tc>
          <w:tcPr>
            <w:tcW w:w="4524" w:type="pct"/>
          </w:tcPr>
          <w:p w14:paraId="0772DDAC">
            <w:pPr>
              <w:keepNext w:val="0"/>
              <w:keepLines w:val="0"/>
              <w:suppressLineNumbers w:val="0"/>
              <w:shd w:val="clear"/>
              <w:adjustRightInd w:val="0"/>
              <w:snapToGrid w:val="0"/>
              <w:spacing w:before="0" w:beforeAutospacing="0" w:after="0" w:afterAutospacing="0" w:line="360" w:lineRule="auto"/>
              <w:ind w:left="0" w:right="0" w:firstLine="522" w:firstLineChars="200"/>
              <w:rPr>
                <w:rFonts w:hint="default"/>
                <w:b/>
                <w:color w:val="auto"/>
                <w:spacing w:val="10"/>
                <w:sz w:val="24"/>
                <w:highlight w:val="none"/>
                <w:shd w:val="clear" w:color="auto" w:fill="auto"/>
              </w:rPr>
            </w:pPr>
            <w:r>
              <w:rPr>
                <w:rFonts w:hint="eastAsia"/>
                <w:b/>
                <w:color w:val="auto"/>
                <w:spacing w:val="10"/>
                <w:sz w:val="24"/>
                <w:highlight w:val="none"/>
                <w:shd w:val="clear" w:color="auto" w:fill="auto"/>
              </w:rPr>
              <w:t>一、生态环境保护措施</w:t>
            </w:r>
          </w:p>
          <w:p w14:paraId="57DD7ECF">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eastAsia"/>
                <w:color w:val="auto"/>
                <w:sz w:val="24"/>
                <w:highlight w:val="none"/>
                <w:shd w:val="clear" w:color="auto" w:fill="auto"/>
              </w:rPr>
              <w:t>（1）严格执行《云南省能源局关于进一步支持光伏扶贫和规范光伏发电产业用地的通知》（云自然资〔2019〕</w:t>
            </w:r>
            <w:r>
              <w:rPr>
                <w:rFonts w:hint="default"/>
                <w:color w:val="auto"/>
                <w:sz w:val="24"/>
                <w:highlight w:val="none"/>
                <w:shd w:val="clear" w:color="auto" w:fill="auto"/>
              </w:rPr>
              <w:t>196</w:t>
            </w:r>
            <w:r>
              <w:rPr>
                <w:rFonts w:hint="eastAsia"/>
                <w:color w:val="auto"/>
                <w:sz w:val="24"/>
                <w:highlight w:val="none"/>
                <w:shd w:val="clear" w:color="auto" w:fill="auto"/>
              </w:rPr>
              <w:t>号）</w:t>
            </w:r>
            <w:r>
              <w:rPr>
                <w:rFonts w:hint="eastAsia"/>
                <w:color w:val="auto"/>
                <w:sz w:val="24"/>
                <w:highlight w:val="none"/>
                <w:shd w:val="clear" w:color="auto" w:fill="auto"/>
                <w:lang w:val="en-US" w:eastAsia="zh-CN"/>
              </w:rPr>
              <w:t>和</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《自然资源部办公厅 国家林业和草原局办公室 国家能源局综合司关于支持光伏发电产业发展规范用地管理有关工作的通知》（自然资办发〔</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2023</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0"/>
                <w:sz w:val="24"/>
                <w:szCs w:val="24"/>
                <w:highlight w:val="none"/>
                <w:shd w:val="clear" w:color="auto" w:fill="auto"/>
                <w:lang w:val="en-US" w:eastAsia="zh-CN" w:bidi="ar-SA"/>
              </w:rPr>
              <w:t>12</w:t>
            </w:r>
            <w:r>
              <w:rPr>
                <w:rFonts w:hint="eastAsia" w:ascii="Times New Roman" w:hAnsi="Times New Roman" w:eastAsia="宋体" w:cs="Times New Roman"/>
                <w:b w:val="0"/>
                <w:bCs w:val="0"/>
                <w:color w:val="auto"/>
                <w:kern w:val="0"/>
                <w:sz w:val="24"/>
                <w:szCs w:val="24"/>
                <w:highlight w:val="none"/>
                <w:shd w:val="clear" w:color="auto" w:fill="auto"/>
                <w:lang w:val="en-US" w:eastAsia="zh-CN" w:bidi="ar-SA"/>
              </w:rPr>
              <w:t>号）</w:t>
            </w:r>
            <w:r>
              <w:rPr>
                <w:rFonts w:hint="eastAsia"/>
                <w:color w:val="auto"/>
                <w:sz w:val="24"/>
                <w:highlight w:val="none"/>
                <w:shd w:val="clear" w:color="auto" w:fill="auto"/>
              </w:rPr>
              <w:t>，光伏复合项目，光伏板下及周围种植林业或农作物，光伏组件严格执行最低沿高于地面</w:t>
            </w:r>
            <w:r>
              <w:rPr>
                <w:rFonts w:hint="default"/>
                <w:color w:val="auto"/>
                <w:sz w:val="24"/>
                <w:highlight w:val="none"/>
                <w:shd w:val="clear" w:color="auto" w:fill="auto"/>
              </w:rPr>
              <w:t>2.5m</w:t>
            </w:r>
            <w:r>
              <w:rPr>
                <w:rFonts w:hint="eastAsia"/>
                <w:color w:val="auto"/>
                <w:sz w:val="24"/>
                <w:highlight w:val="none"/>
                <w:shd w:val="clear" w:color="auto" w:fill="auto"/>
              </w:rPr>
              <w:t>、桩基间列间距大于</w:t>
            </w:r>
            <w:r>
              <w:rPr>
                <w:rFonts w:hint="default"/>
                <w:color w:val="auto"/>
                <w:sz w:val="24"/>
                <w:highlight w:val="none"/>
                <w:shd w:val="clear" w:color="auto" w:fill="auto"/>
              </w:rPr>
              <w:t>4m</w:t>
            </w:r>
            <w:r>
              <w:rPr>
                <w:rFonts w:hint="eastAsia"/>
                <w:color w:val="auto"/>
                <w:sz w:val="24"/>
                <w:highlight w:val="none"/>
                <w:shd w:val="clear" w:color="auto" w:fill="auto"/>
              </w:rPr>
              <w:t>、行间距大于</w:t>
            </w:r>
            <w:r>
              <w:rPr>
                <w:rFonts w:hint="default"/>
                <w:color w:val="auto"/>
                <w:sz w:val="24"/>
                <w:highlight w:val="none"/>
                <w:shd w:val="clear" w:color="auto" w:fill="auto"/>
              </w:rPr>
              <w:t>6.5m</w:t>
            </w:r>
            <w:r>
              <w:rPr>
                <w:rFonts w:hint="eastAsia"/>
                <w:color w:val="auto"/>
                <w:sz w:val="24"/>
                <w:highlight w:val="none"/>
                <w:shd w:val="clear" w:color="auto" w:fill="auto"/>
              </w:rPr>
              <w:t>的架设要求，不破坏林业或农业生产条件，除桩基用地外，严禁硬化地面</w:t>
            </w:r>
            <w:r>
              <w:rPr>
                <w:rFonts w:hint="eastAsia" w:ascii="Times New Roman" w:hAnsi="Times New Roman" w:eastAsia="Times New Roman" w:cs="Times New Roman"/>
                <w:color w:val="auto"/>
                <w:sz w:val="24"/>
                <w:highlight w:val="none"/>
                <w:shd w:val="clear" w:color="auto" w:fill="auto"/>
              </w:rPr>
              <w:t>、破坏</w:t>
            </w:r>
            <w:r>
              <w:rPr>
                <w:rFonts w:hint="eastAsia" w:eastAsia="宋体" w:cs="Times New Roman"/>
                <w:color w:val="auto"/>
                <w:sz w:val="24"/>
                <w:highlight w:val="none"/>
                <w:shd w:val="clear" w:color="auto" w:fill="auto"/>
                <w:lang w:val="en-US" w:eastAsia="zh-CN"/>
              </w:rPr>
              <w:t>林草植被</w:t>
            </w:r>
            <w:r>
              <w:rPr>
                <w:rFonts w:hint="eastAsia"/>
                <w:color w:val="auto"/>
                <w:sz w:val="24"/>
                <w:highlight w:val="none"/>
                <w:shd w:val="clear" w:color="auto" w:fill="auto"/>
              </w:rPr>
              <w:t>，严禁抛荒、撂荒。</w:t>
            </w:r>
          </w:p>
          <w:p w14:paraId="79AD6B67">
            <w:pPr>
              <w:keepNext w:val="0"/>
              <w:keepLines w:val="0"/>
              <w:pageBreakBefore w:val="0"/>
              <w:suppressLineNumbers w:val="0"/>
              <w:shd w:val="clear"/>
              <w:kinsoku/>
              <w:wordWrap/>
              <w:overflowPunct/>
              <w:topLinePunct w:val="0"/>
              <w:bidi w:val="0"/>
              <w:spacing w:before="0" w:beforeAutospacing="0" w:after="0" w:afterAutospacing="0" w:line="360" w:lineRule="auto"/>
              <w:ind w:left="0" w:right="0" w:firstLine="480" w:firstLineChars="200"/>
              <w:rPr>
                <w:rFonts w:hint="eastAsia"/>
                <w:color w:val="auto"/>
                <w:sz w:val="24"/>
                <w:highlight w:val="none"/>
                <w:shd w:val="clear" w:color="auto" w:fill="auto"/>
              </w:rPr>
            </w:pPr>
            <w:bookmarkStart w:id="83" w:name="_Toc19274"/>
            <w:r>
              <w:rPr>
                <w:rFonts w:hint="eastAsia"/>
                <w:color w:val="auto"/>
                <w:sz w:val="24"/>
                <w:highlight w:val="none"/>
                <w:shd w:val="clear" w:color="auto" w:fill="auto"/>
              </w:rPr>
              <w:t>（2）光伏场区及临时道路区等临时用地区域在植被恢复过程中，应加强初期、中期的植被抚育工作。尽量采取场地封禁自然恢复，并辅以适当的人工手段；如选取本地常见的乡土物种补种补植。</w:t>
            </w:r>
          </w:p>
          <w:p w14:paraId="14D5BA89">
            <w:pPr>
              <w:pStyle w:val="28"/>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（3）占用林草地区域，后期光伏场区植被恢复后，生长过程中在满足电站正常运行的基础上，应尽量减少对下方及周边植物的扰动。在影响电站发电时，应尽量采取人工</w:t>
            </w:r>
            <w:r>
              <w:rPr>
                <w:rFonts w:hint="eastAsia"/>
                <w:color w:val="auto"/>
                <w:sz w:val="24"/>
                <w:highlight w:val="none"/>
                <w:shd w:val="clear" w:color="auto" w:fill="auto"/>
                <w:lang w:eastAsia="zh-CN"/>
              </w:rPr>
              <w:t>修剪</w:t>
            </w:r>
            <w:r>
              <w:rPr>
                <w:rFonts w:hint="eastAsia"/>
                <w:color w:val="auto"/>
                <w:sz w:val="24"/>
                <w:highlight w:val="none"/>
                <w:shd w:val="clear" w:color="auto" w:fill="auto"/>
              </w:rPr>
              <w:t>高度的方式，避免直接清理砍伐。</w:t>
            </w:r>
          </w:p>
          <w:p w14:paraId="11829AC1">
            <w:pPr>
              <w:pStyle w:val="28"/>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（4）保护当地的野生动物，禁止人为捕杀；禁止引入外来有害生物。</w:t>
            </w:r>
          </w:p>
          <w:p w14:paraId="3D33E9FB">
            <w:pPr>
              <w:pStyle w:val="28"/>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eastAsia"/>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5</w:t>
            </w:r>
            <w:r>
              <w:rPr>
                <w:rFonts w:hint="eastAsia"/>
                <w:color w:val="auto"/>
                <w:sz w:val="24"/>
                <w:highlight w:val="none"/>
                <w:shd w:val="clear" w:color="auto" w:fill="auto"/>
              </w:rPr>
              <w:t>）</w:t>
            </w:r>
            <w:r>
              <w:rPr>
                <w:rFonts w:hint="eastAsia"/>
                <w:color w:val="auto"/>
                <w:sz w:val="24"/>
                <w:highlight w:val="none"/>
                <w:shd w:val="clear" w:color="auto" w:fill="auto"/>
                <w:lang w:val="en-US" w:eastAsia="zh-CN"/>
              </w:rPr>
              <w:t>对光伏区鸟类死亡、受伤情况进行调查，</w:t>
            </w:r>
            <w:r>
              <w:rPr>
                <w:rFonts w:hint="eastAsia" w:ascii="宋体" w:hAnsi="宋体" w:cs="宋体"/>
                <w:color w:val="auto"/>
                <w:sz w:val="24"/>
                <w:highlight w:val="none"/>
                <w:shd w:val="clear" w:color="auto" w:fill="FFFFFF"/>
                <w:lang w:val="en-US" w:eastAsia="zh-CN"/>
              </w:rPr>
              <w:t>必要时采取驱赶措施，降低光伏板对鸟类的影响。</w:t>
            </w:r>
          </w:p>
          <w:p w14:paraId="23A6832B">
            <w:pPr>
              <w:pStyle w:val="28"/>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6</w:t>
            </w:r>
            <w:r>
              <w:rPr>
                <w:rFonts w:hint="eastAsia"/>
                <w:color w:val="auto"/>
                <w:sz w:val="24"/>
                <w:highlight w:val="none"/>
                <w:shd w:val="clear" w:color="auto" w:fill="auto"/>
              </w:rPr>
              <w:t>）光伏</w:t>
            </w:r>
            <w:r>
              <w:rPr>
                <w:rFonts w:hint="eastAsia"/>
                <w:color w:val="auto"/>
                <w:sz w:val="24"/>
                <w:highlight w:val="none"/>
                <w:shd w:val="clear" w:color="auto" w:fill="auto"/>
                <w:lang w:val="en-US" w:eastAsia="zh-CN"/>
              </w:rPr>
              <w:t>厂区</w:t>
            </w:r>
            <w:r>
              <w:rPr>
                <w:rFonts w:hint="eastAsia"/>
                <w:color w:val="auto"/>
                <w:sz w:val="24"/>
                <w:highlight w:val="none"/>
                <w:shd w:val="clear" w:color="auto" w:fill="auto"/>
              </w:rPr>
              <w:t>周围建设好截排水沟，空闲地多种植本地树种，减少区域水土流失。</w:t>
            </w:r>
          </w:p>
          <w:p w14:paraId="43E639D1">
            <w:pPr>
              <w:pStyle w:val="28"/>
              <w:keepNext w:val="0"/>
              <w:keepLines w:val="0"/>
              <w:pageBreakBefore w:val="0"/>
              <w:suppressLineNumbers w:val="0"/>
              <w:shd w:val="clear"/>
              <w:kinsoku/>
              <w:wordWrap/>
              <w:overflowPunct/>
              <w:topLinePunct w:val="0"/>
              <w:bidi w:val="0"/>
              <w:spacing w:beforeAutospacing="0" w:after="0" w:afterAutospacing="0" w:line="360" w:lineRule="auto"/>
              <w:ind w:left="0" w:firstLine="480" w:firstLineChars="200"/>
              <w:rPr>
                <w:rFonts w:hint="default"/>
                <w:color w:val="auto"/>
                <w:sz w:val="24"/>
                <w:highlight w:val="none"/>
                <w:shd w:val="clear" w:color="auto" w:fill="auto"/>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7</w:t>
            </w:r>
            <w:r>
              <w:rPr>
                <w:rFonts w:hint="eastAsia"/>
                <w:color w:val="auto"/>
                <w:sz w:val="24"/>
                <w:highlight w:val="none"/>
                <w:shd w:val="clear" w:color="auto" w:fill="auto"/>
              </w:rPr>
              <w:t>）建设</w:t>
            </w:r>
            <w:r>
              <w:rPr>
                <w:rFonts w:hint="default"/>
                <w:color w:val="auto"/>
                <w:sz w:val="24"/>
                <w:highlight w:val="none"/>
                <w:shd w:val="clear" w:color="auto" w:fill="auto"/>
              </w:rPr>
              <w:t>单位要做好项目区的森林草原防火工作，重点加强项目运营、检修期间的野外火源管理，落实森林草原防火管护人员和措施。</w:t>
            </w:r>
          </w:p>
          <w:p w14:paraId="4C4FE2C6">
            <w:pPr>
              <w:keepNext w:val="0"/>
              <w:keepLines w:val="0"/>
              <w:pageBreakBefore w:val="0"/>
              <w:suppressLineNumbers w:val="0"/>
              <w:shd w:val="clear"/>
              <w:kinsoku/>
              <w:wordWrap/>
              <w:overflowPunct/>
              <w:topLinePunct w:val="0"/>
              <w:bidi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shd w:val="clear" w:color="auto" w:fill="auto"/>
              </w:rPr>
              <w:t>（</w:t>
            </w:r>
            <w:r>
              <w:rPr>
                <w:rFonts w:hint="eastAsia"/>
                <w:color w:val="auto"/>
                <w:sz w:val="24"/>
                <w:highlight w:val="none"/>
                <w:shd w:val="clear" w:color="auto" w:fill="auto"/>
                <w:lang w:val="en-US" w:eastAsia="zh-CN"/>
              </w:rPr>
              <w:t>8</w:t>
            </w:r>
            <w:r>
              <w:rPr>
                <w:rFonts w:hint="eastAsia"/>
                <w:color w:val="auto"/>
                <w:sz w:val="24"/>
                <w:highlight w:val="none"/>
                <w:shd w:val="clear" w:color="auto" w:fill="auto"/>
              </w:rPr>
              <w:t>）</w:t>
            </w:r>
            <w:r>
              <w:rPr>
                <w:rFonts w:hint="default"/>
                <w:color w:val="auto"/>
                <w:sz w:val="24"/>
                <w:highlight w:val="none"/>
              </w:rPr>
              <w:t>强化光伏电站运营期环境风险管理，避免泄漏事故发生。</w:t>
            </w:r>
          </w:p>
          <w:p w14:paraId="1506747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default"/>
                <w:color w:val="auto"/>
                <w:sz w:val="24"/>
                <w:highlight w:val="none"/>
              </w:rPr>
              <w:t>（</w:t>
            </w:r>
            <w:r>
              <w:rPr>
                <w:rFonts w:hint="eastAsia"/>
                <w:color w:val="auto"/>
                <w:sz w:val="24"/>
                <w:highlight w:val="none"/>
                <w:lang w:val="en-US" w:eastAsia="zh-CN"/>
              </w:rPr>
              <w:t>9</w:t>
            </w:r>
            <w:r>
              <w:rPr>
                <w:rFonts w:hint="default"/>
                <w:color w:val="auto"/>
                <w:sz w:val="24"/>
                <w:highlight w:val="none"/>
              </w:rPr>
              <w:t>）</w:t>
            </w:r>
            <w:r>
              <w:rPr>
                <w:rFonts w:hint="default"/>
                <w:color w:val="auto"/>
                <w:kern w:val="0"/>
                <w:sz w:val="24"/>
                <w:highlight w:val="none"/>
              </w:rPr>
              <w:t>在满足正常运营的同时，须保证光伏阵列下方不改变林草地用途，不得硬化或作其他用途。</w:t>
            </w:r>
          </w:p>
          <w:p w14:paraId="094D969B">
            <w:pPr>
              <w:keepNext w:val="0"/>
              <w:keepLines w:val="0"/>
              <w:suppressLineNumbers w:val="0"/>
              <w:shd w:val="clear"/>
              <w:snapToGrid w:val="0"/>
              <w:spacing w:before="0" w:beforeAutospacing="0" w:after="0" w:afterAutospacing="0" w:line="360" w:lineRule="auto"/>
              <w:ind w:left="0" w:right="0" w:firstLine="482" w:firstLineChars="200"/>
              <w:jc w:val="left"/>
              <w:rPr>
                <w:rFonts w:hint="default"/>
                <w:b/>
                <w:bCs/>
                <w:color w:val="auto"/>
                <w:sz w:val="24"/>
                <w:highlight w:val="none"/>
                <w:shd w:val="clear" w:color="auto" w:fill="auto"/>
              </w:rPr>
            </w:pPr>
            <w:r>
              <w:rPr>
                <w:rFonts w:hint="eastAsia"/>
                <w:b/>
                <w:bCs/>
                <w:color w:val="auto"/>
                <w:sz w:val="24"/>
                <w:highlight w:val="none"/>
                <w:shd w:val="clear" w:color="auto" w:fill="auto"/>
              </w:rPr>
              <w:t>二</w:t>
            </w:r>
            <w:r>
              <w:rPr>
                <w:rFonts w:hint="default"/>
                <w:b/>
                <w:bCs/>
                <w:color w:val="auto"/>
                <w:sz w:val="24"/>
                <w:highlight w:val="none"/>
                <w:shd w:val="clear" w:color="auto" w:fill="auto"/>
              </w:rPr>
              <w:t>、污染影响控制措施</w:t>
            </w:r>
            <w:bookmarkEnd w:id="83"/>
          </w:p>
          <w:p w14:paraId="12E73582">
            <w:pPr>
              <w:keepNext w:val="0"/>
              <w:keepLines w:val="0"/>
              <w:suppressLineNumbers w:val="0"/>
              <w:shd w:val="clear"/>
              <w:spacing w:before="0" w:beforeAutospacing="0" w:after="0" w:afterAutospacing="0" w:line="360" w:lineRule="auto"/>
              <w:ind w:left="0" w:right="0" w:firstLine="482" w:firstLineChars="200"/>
              <w:rPr>
                <w:rFonts w:hint="default"/>
                <w:b/>
                <w:color w:val="auto"/>
                <w:spacing w:val="10"/>
                <w:sz w:val="24"/>
                <w:szCs w:val="24"/>
                <w:highlight w:val="none"/>
                <w:shd w:val="clear" w:color="auto" w:fill="auto"/>
              </w:rPr>
            </w:pPr>
            <w:r>
              <w:rPr>
                <w:rFonts w:hint="eastAsia" w:ascii="宋体" w:hAnsi="宋体" w:cs="宋体"/>
                <w:b/>
                <w:bCs/>
                <w:color w:val="auto"/>
                <w:kern w:val="0"/>
                <w:sz w:val="24"/>
                <w:szCs w:val="24"/>
                <w:highlight w:val="none"/>
                <w:shd w:val="clear" w:color="auto" w:fill="auto"/>
                <w:lang w:bidi="ar"/>
              </w:rPr>
              <w:t>1、运营期大气环境保护措施</w:t>
            </w:r>
          </w:p>
          <w:p w14:paraId="0763DBF8">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eastAsia" w:hAnsi="宋体" w:cs="宋体"/>
                <w:color w:val="auto"/>
                <w:sz w:val="24"/>
                <w:highlight w:val="none"/>
                <w:lang w:bidi="ar"/>
              </w:rPr>
            </w:pPr>
            <w:r>
              <w:rPr>
                <w:rFonts w:hint="eastAsia" w:hAnsi="宋体" w:cs="宋体"/>
                <w:color w:val="auto"/>
                <w:sz w:val="24"/>
                <w:highlight w:val="none"/>
                <w:lang w:bidi="ar"/>
              </w:rPr>
              <w:t>光伏发电是将太阳能转换为电能，在转换过程中没有废气排放，本项目升压站依托</w:t>
            </w:r>
            <w:r>
              <w:rPr>
                <w:rFonts w:hint="eastAsia" w:hAnsi="宋体" w:cs="宋体"/>
                <w:color w:val="auto"/>
                <w:sz w:val="24"/>
                <w:highlight w:val="none"/>
                <w:lang w:eastAsia="zh-CN" w:bidi="ar"/>
              </w:rPr>
              <w:t>“</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hAnsi="宋体" w:cs="宋体"/>
                <w:color w:val="auto"/>
                <w:sz w:val="24"/>
                <w:highlight w:val="none"/>
                <w:lang w:eastAsia="zh-CN" w:bidi="ar"/>
              </w:rPr>
              <w:t>”</w:t>
            </w:r>
            <w:r>
              <w:rPr>
                <w:rFonts w:hint="eastAsia" w:hAnsi="宋体" w:cs="宋体"/>
                <w:color w:val="auto"/>
                <w:sz w:val="24"/>
                <w:highlight w:val="none"/>
                <w:lang w:bidi="ar"/>
              </w:rPr>
              <w:t>220kV升压站，不进行升压站、办公生活区等的建设。项目运营期仅工作人员使用汽车时，会产生少量的汽车尾气</w:t>
            </w:r>
            <w:r>
              <w:rPr>
                <w:rFonts w:hint="eastAsia" w:hAnsi="宋体" w:cs="宋体"/>
                <w:color w:val="auto"/>
                <w:sz w:val="24"/>
                <w:highlight w:val="none"/>
                <w:lang w:eastAsia="zh-CN" w:bidi="ar"/>
              </w:rPr>
              <w:t>，</w:t>
            </w:r>
            <w:r>
              <w:rPr>
                <w:rFonts w:hint="eastAsia" w:hAnsi="宋体" w:cs="宋体"/>
                <w:color w:val="auto"/>
                <w:sz w:val="24"/>
                <w:highlight w:val="none"/>
                <w:lang w:bidi="ar"/>
              </w:rPr>
              <w:t>汽车尾气经周边环境及时扩散。</w:t>
            </w:r>
          </w:p>
          <w:p w14:paraId="51B8C526">
            <w:pPr>
              <w:keepNext w:val="0"/>
              <w:keepLines w:val="0"/>
              <w:suppressLineNumbers w:val="0"/>
              <w:shd w:val="clear"/>
              <w:spacing w:before="0" w:beforeAutospacing="0" w:after="0" w:afterAutospacing="0" w:line="360" w:lineRule="auto"/>
              <w:ind w:left="0" w:right="0" w:firstLine="480"/>
              <w:rPr>
                <w:rFonts w:hint="default" w:ascii="宋体" w:hAnsi="宋体" w:cs="宋体"/>
                <w:b/>
                <w:bCs/>
                <w:color w:val="auto"/>
                <w:kern w:val="0"/>
                <w:sz w:val="25"/>
                <w:szCs w:val="25"/>
                <w:highlight w:val="none"/>
                <w:shd w:val="clear" w:color="auto" w:fill="auto"/>
                <w:lang w:bidi="ar"/>
              </w:rPr>
            </w:pPr>
            <w:r>
              <w:rPr>
                <w:rFonts w:hint="eastAsia"/>
                <w:b/>
                <w:bCs/>
                <w:color w:val="auto"/>
                <w:kern w:val="0"/>
                <w:sz w:val="24"/>
                <w:highlight w:val="none"/>
                <w:shd w:val="clear" w:color="auto" w:fill="auto"/>
              </w:rPr>
              <w:t>2、</w:t>
            </w:r>
            <w:r>
              <w:rPr>
                <w:rFonts w:hint="eastAsia" w:ascii="宋体" w:hAnsi="宋体" w:cs="宋体"/>
                <w:b/>
                <w:bCs/>
                <w:color w:val="auto"/>
                <w:kern w:val="0"/>
                <w:sz w:val="25"/>
                <w:szCs w:val="25"/>
                <w:highlight w:val="none"/>
                <w:shd w:val="clear" w:color="auto" w:fill="auto"/>
                <w:lang w:bidi="ar"/>
              </w:rPr>
              <w:t>运营期水环境保护措施</w:t>
            </w:r>
          </w:p>
          <w:p w14:paraId="29F2ADAD">
            <w:pPr>
              <w:keepNext w:val="0"/>
              <w:keepLines w:val="0"/>
              <w:suppressLineNumbers w:val="0"/>
              <w:shd w:val="clear"/>
              <w:spacing w:before="0" w:beforeAutospacing="0" w:after="0" w:afterAutospacing="0" w:line="360" w:lineRule="auto"/>
              <w:ind w:left="0" w:right="0" w:firstLine="480"/>
              <w:rPr>
                <w:rFonts w:hint="default"/>
                <w:color w:val="auto"/>
                <w:sz w:val="24"/>
                <w:highlight w:val="none"/>
                <w:shd w:val="clear" w:color="auto" w:fill="auto"/>
              </w:rPr>
            </w:pPr>
            <w:r>
              <w:rPr>
                <w:rFonts w:hint="default"/>
                <w:color w:val="auto"/>
                <w:kern w:val="0"/>
                <w:sz w:val="24"/>
                <w:highlight w:val="none"/>
              </w:rPr>
              <w:t>太阳能电池板尽量在旱季进行清洗，产生的清洗废水由</w:t>
            </w:r>
            <w:r>
              <w:rPr>
                <w:rFonts w:hint="default"/>
                <w:color w:val="auto"/>
                <w:sz w:val="24"/>
                <w:highlight w:val="none"/>
              </w:rPr>
              <w:t>光伏板下方林草植被吸收</w:t>
            </w:r>
            <w:r>
              <w:rPr>
                <w:rFonts w:hint="default"/>
                <w:color w:val="auto"/>
                <w:kern w:val="0"/>
                <w:sz w:val="24"/>
                <w:highlight w:val="none"/>
              </w:rPr>
              <w:t>，不外排</w:t>
            </w:r>
            <w:r>
              <w:rPr>
                <w:rFonts w:hint="default"/>
                <w:bCs/>
                <w:color w:val="auto"/>
                <w:sz w:val="24"/>
                <w:highlight w:val="none"/>
                <w:shd w:val="clear" w:color="auto" w:fill="auto"/>
              </w:rPr>
              <w:t>。</w:t>
            </w:r>
          </w:p>
          <w:p w14:paraId="4E81CE60">
            <w:pPr>
              <w:keepNext w:val="0"/>
              <w:keepLines w:val="0"/>
              <w:suppressLineNumbers w:val="0"/>
              <w:shd w:val="clear"/>
              <w:spacing w:before="0" w:beforeAutospacing="0" w:after="0" w:afterAutospacing="0" w:line="360" w:lineRule="auto"/>
              <w:ind w:left="0" w:right="0" w:firstLine="502" w:firstLineChars="200"/>
              <w:rPr>
                <w:rFonts w:hint="eastAsia" w:ascii="宋体" w:hAnsi="宋体" w:eastAsia="宋体" w:cs="宋体"/>
                <w:b/>
                <w:bCs/>
                <w:color w:val="auto"/>
                <w:kern w:val="0"/>
                <w:sz w:val="25"/>
                <w:szCs w:val="25"/>
                <w:highlight w:val="none"/>
                <w:shd w:val="clear" w:color="auto" w:fill="auto"/>
                <w:lang w:val="en-US" w:eastAsia="zh-CN" w:bidi="ar"/>
              </w:rPr>
            </w:pPr>
            <w:r>
              <w:rPr>
                <w:rFonts w:hint="default" w:ascii="Times New Roman" w:hAnsi="Times New Roman" w:eastAsia="宋体" w:cs="Times New Roman"/>
                <w:b/>
                <w:bCs/>
                <w:color w:val="auto"/>
                <w:kern w:val="0"/>
                <w:sz w:val="25"/>
                <w:szCs w:val="25"/>
                <w:highlight w:val="none"/>
                <w:shd w:val="clear" w:color="auto" w:fill="auto"/>
                <w:lang w:bidi="ar"/>
              </w:rPr>
              <w:t>3、</w:t>
            </w:r>
            <w:r>
              <w:rPr>
                <w:rFonts w:hint="eastAsia" w:ascii="宋体" w:hAnsi="宋体" w:eastAsia="宋体" w:cs="宋体"/>
                <w:b/>
                <w:bCs/>
                <w:color w:val="auto"/>
                <w:kern w:val="0"/>
                <w:sz w:val="25"/>
                <w:szCs w:val="25"/>
                <w:highlight w:val="none"/>
                <w:shd w:val="clear" w:color="auto" w:fill="auto"/>
                <w:lang w:val="en-US" w:eastAsia="zh-CN" w:bidi="ar"/>
              </w:rPr>
              <w:t>运营期</w:t>
            </w:r>
            <w:r>
              <w:rPr>
                <w:rFonts w:hint="eastAsia" w:ascii="宋体" w:hAnsi="宋体" w:eastAsia="宋体" w:cs="宋体"/>
                <w:b/>
                <w:bCs/>
                <w:color w:val="auto"/>
                <w:kern w:val="0"/>
                <w:sz w:val="25"/>
                <w:szCs w:val="25"/>
                <w:highlight w:val="none"/>
                <w:shd w:val="clear" w:color="auto" w:fill="auto"/>
                <w:lang w:bidi="ar"/>
              </w:rPr>
              <w:t>地下水及土壤环境保护措施</w:t>
            </w:r>
          </w:p>
          <w:p w14:paraId="12A1735C">
            <w:pPr>
              <w:keepNext w:val="0"/>
              <w:keepLines w:val="0"/>
              <w:suppressLineNumbers w:val="0"/>
              <w:shd w:val="clear"/>
              <w:spacing w:before="0" w:beforeAutospacing="0" w:after="0" w:afterAutospacing="0" w:line="360" w:lineRule="auto"/>
              <w:ind w:left="0" w:right="0" w:firstLine="480" w:firstLineChars="200"/>
              <w:rPr>
                <w:rFonts w:hint="eastAsia"/>
                <w:b/>
                <w:bCs/>
                <w:color w:val="auto"/>
                <w:sz w:val="24"/>
                <w:highlight w:val="none"/>
                <w:shd w:val="clear" w:color="auto" w:fill="auto"/>
              </w:rPr>
            </w:pPr>
            <w:r>
              <w:rPr>
                <w:rFonts w:hint="eastAsia" w:ascii="宋体" w:hAnsi="宋体" w:eastAsia="宋体" w:cs="宋体"/>
                <w:color w:val="auto"/>
                <w:kern w:val="0"/>
                <w:sz w:val="24"/>
                <w:szCs w:val="24"/>
                <w:highlight w:val="none"/>
                <w:lang w:val="en-US" w:eastAsia="zh-CN" w:bidi="ar"/>
              </w:rPr>
              <w:t>事故油池</w:t>
            </w:r>
            <w:r>
              <w:rPr>
                <w:rFonts w:hint="eastAsia" w:cs="宋体"/>
                <w:bCs/>
                <w:color w:val="auto"/>
                <w:sz w:val="24"/>
                <w:szCs w:val="24"/>
                <w:highlight w:val="none"/>
                <w:shd w:val="clear" w:color="auto" w:fill="auto"/>
              </w:rPr>
              <w:t>严格按照</w:t>
            </w:r>
            <w:r>
              <w:rPr>
                <w:rFonts w:hint="default" w:ascii="Times New Roman" w:hAnsi="Times New Roman" w:eastAsia="宋体" w:cs="Times New Roman"/>
                <w:color w:val="auto"/>
                <w:spacing w:val="-8"/>
                <w:sz w:val="24"/>
                <w:szCs w:val="24"/>
                <w:highlight w:val="none"/>
                <w:shd w:val="clear" w:color="auto" w:fill="auto"/>
                <w:lang w:val="en-US" w:eastAsia="zh-CN"/>
              </w:rPr>
              <w:t>《环境影响评价技术导则 地下水环境》（HJ610-2016）</w:t>
            </w:r>
            <w:r>
              <w:rPr>
                <w:rFonts w:hint="eastAsia" w:eastAsia="宋体" w:cs="Times New Roman"/>
                <w:color w:val="auto"/>
                <w:spacing w:val="-8"/>
                <w:sz w:val="24"/>
                <w:szCs w:val="24"/>
                <w:highlight w:val="none"/>
                <w:shd w:val="clear" w:color="auto" w:fill="auto"/>
                <w:lang w:val="en-US" w:eastAsia="zh-CN"/>
              </w:rPr>
              <w:t>和</w:t>
            </w:r>
            <w:r>
              <w:rPr>
                <w:rFonts w:hint="default"/>
                <w:color w:val="auto"/>
                <w:kern w:val="0"/>
                <w:sz w:val="24"/>
                <w:szCs w:val="24"/>
                <w:highlight w:val="none"/>
              </w:rPr>
              <w:t>《危险废物贮存污染控制标准》（GB 18597-20</w:t>
            </w:r>
            <w:r>
              <w:rPr>
                <w:rFonts w:hint="eastAsia"/>
                <w:color w:val="auto"/>
                <w:kern w:val="0"/>
                <w:sz w:val="24"/>
                <w:szCs w:val="24"/>
                <w:highlight w:val="none"/>
                <w:lang w:val="en-US" w:eastAsia="zh-CN"/>
              </w:rPr>
              <w:t>23</w:t>
            </w:r>
            <w:r>
              <w:rPr>
                <w:rFonts w:hint="default"/>
                <w:color w:val="auto"/>
                <w:kern w:val="0"/>
                <w:sz w:val="24"/>
                <w:szCs w:val="24"/>
                <w:highlight w:val="none"/>
              </w:rPr>
              <w:t>）</w:t>
            </w:r>
            <w:r>
              <w:rPr>
                <w:rFonts w:hint="default" w:hAnsi="宋体"/>
                <w:color w:val="auto"/>
                <w:sz w:val="24"/>
                <w:szCs w:val="24"/>
                <w:highlight w:val="none"/>
                <w:shd w:val="clear" w:color="auto" w:fill="auto"/>
              </w:rPr>
              <w:t>有关要求进行设计</w:t>
            </w:r>
            <w:r>
              <w:rPr>
                <w:rFonts w:hint="eastAsia" w:hAnsi="宋体"/>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等效黏土防渗层Mb≥6m，K≤1×10</w:t>
            </w:r>
            <w:r>
              <w:rPr>
                <w:rFonts w:hint="default" w:ascii="Times New Roman" w:hAnsi="Times New Roman" w:eastAsia="宋体" w:cs="Times New Roman"/>
                <w:color w:val="auto"/>
                <w:sz w:val="24"/>
                <w:szCs w:val="24"/>
                <w:highlight w:val="none"/>
                <w:shd w:val="clear" w:color="auto" w:fill="auto"/>
                <w:vertAlign w:val="superscript"/>
              </w:rPr>
              <w:t>-7</w:t>
            </w:r>
            <w:r>
              <w:rPr>
                <w:rFonts w:hint="default" w:ascii="Times New Roman" w:hAnsi="Times New Roman" w:eastAsia="宋体" w:cs="Times New Roman"/>
                <w:color w:val="auto"/>
                <w:sz w:val="24"/>
                <w:szCs w:val="24"/>
                <w:highlight w:val="none"/>
                <w:shd w:val="clear" w:color="auto" w:fill="auto"/>
              </w:rPr>
              <w:t>cm/s，或</w:t>
            </w:r>
            <w:r>
              <w:rPr>
                <w:rFonts w:hint="eastAsia" w:ascii="Times New Roman" w:hAnsi="Times New Roman" w:eastAsia="宋体" w:cs="Times New Roman"/>
                <w:color w:val="auto"/>
                <w:sz w:val="24"/>
                <w:szCs w:val="24"/>
                <w:highlight w:val="none"/>
                <w:shd w:val="clear" w:color="auto" w:fill="auto"/>
                <w:lang w:val="en-US" w:eastAsia="zh-CN"/>
              </w:rPr>
              <w:t>至少</w:t>
            </w:r>
            <w:r>
              <w:rPr>
                <w:rFonts w:hint="default" w:ascii="Times New Roman" w:hAnsi="Times New Roman" w:eastAsia="宋体" w:cs="Times New Roman"/>
                <w:color w:val="auto"/>
                <w:sz w:val="24"/>
                <w:szCs w:val="24"/>
                <w:highlight w:val="none"/>
                <w:shd w:val="clear" w:color="auto" w:fill="auto"/>
              </w:rPr>
              <w:t>2mm厚高密度聚乙烯</w:t>
            </w:r>
            <w:r>
              <w:rPr>
                <w:rFonts w:hint="eastAsia" w:ascii="Times New Roman" w:hAnsi="Times New Roman" w:eastAsia="宋体" w:cs="Times New Roman"/>
                <w:color w:val="auto"/>
                <w:sz w:val="24"/>
                <w:szCs w:val="24"/>
                <w:highlight w:val="none"/>
                <w:shd w:val="clear" w:color="auto" w:fill="auto"/>
                <w:lang w:val="en-US" w:eastAsia="zh-CN"/>
              </w:rPr>
              <w:t>膜等人工防渗材料（渗透系数</w:t>
            </w:r>
            <w:r>
              <w:rPr>
                <w:rFonts w:hint="default" w:ascii="Times New Roman" w:hAnsi="Times New Roman" w:eastAsia="宋体" w:cs="Times New Roman"/>
                <w:color w:val="auto"/>
                <w:sz w:val="24"/>
                <w:szCs w:val="24"/>
                <w:highlight w:val="none"/>
                <w:shd w:val="clear" w:color="auto" w:fill="auto"/>
                <w:lang w:val="zh-CN"/>
              </w:rPr>
              <w:t>≤</w:t>
            </w:r>
            <w:r>
              <w:rPr>
                <w:rFonts w:hint="default" w:ascii="Times New Roman" w:hAnsi="Times New Roman" w:eastAsia="宋体" w:cs="Times New Roman"/>
                <w:color w:val="auto"/>
                <w:sz w:val="24"/>
                <w:szCs w:val="24"/>
                <w:highlight w:val="none"/>
                <w:shd w:val="clear" w:color="auto" w:fill="auto"/>
              </w:rPr>
              <w:t>1×</w:t>
            </w:r>
            <w:r>
              <w:rPr>
                <w:rFonts w:hint="default" w:ascii="Times New Roman" w:hAnsi="Times New Roman" w:eastAsia="宋体" w:cs="Times New Roman"/>
                <w:color w:val="auto"/>
                <w:sz w:val="24"/>
                <w:szCs w:val="24"/>
                <w:highlight w:val="none"/>
                <w:shd w:val="clear" w:color="auto" w:fill="auto"/>
                <w:lang w:val="zh-CN"/>
              </w:rPr>
              <w:t>10</w:t>
            </w:r>
            <w:r>
              <w:rPr>
                <w:rFonts w:hint="default" w:ascii="Times New Roman" w:hAnsi="Times New Roman" w:eastAsia="宋体" w:cs="Times New Roman"/>
                <w:color w:val="auto"/>
                <w:sz w:val="24"/>
                <w:szCs w:val="24"/>
                <w:highlight w:val="none"/>
                <w:shd w:val="clear" w:color="auto" w:fill="auto"/>
                <w:vertAlign w:val="superscript"/>
                <w:lang w:val="zh-CN"/>
              </w:rPr>
              <w:t>-</w:t>
            </w:r>
            <w:r>
              <w:rPr>
                <w:rFonts w:hint="eastAsia" w:ascii="Times New Roman" w:hAnsi="Times New Roman" w:eastAsia="宋体" w:cs="Times New Roman"/>
                <w:color w:val="auto"/>
                <w:sz w:val="24"/>
                <w:szCs w:val="24"/>
                <w:highlight w:val="none"/>
                <w:shd w:val="clear" w:color="auto" w:fill="auto"/>
                <w:vertAlign w:val="superscript"/>
                <w:lang w:val="en-US" w:eastAsia="zh-CN"/>
              </w:rPr>
              <w:t>10</w:t>
            </w:r>
            <w:r>
              <w:rPr>
                <w:rFonts w:hint="default" w:ascii="Times New Roman" w:hAnsi="Times New Roman" w:eastAsia="宋体" w:cs="Times New Roman"/>
                <w:color w:val="auto"/>
                <w:sz w:val="24"/>
                <w:szCs w:val="24"/>
                <w:highlight w:val="none"/>
                <w:shd w:val="clear" w:color="auto" w:fill="auto"/>
                <w:lang w:val="zh-CN"/>
              </w:rPr>
              <w:t>cm/s</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或其他防渗性能等效的材料。</w:t>
            </w:r>
          </w:p>
          <w:p w14:paraId="70142A14">
            <w:pPr>
              <w:keepNext w:val="0"/>
              <w:keepLines w:val="0"/>
              <w:suppressLineNumbers w:val="0"/>
              <w:shd w:val="clear"/>
              <w:spacing w:before="0" w:beforeAutospacing="0" w:after="0" w:afterAutospacing="0" w:line="360" w:lineRule="auto"/>
              <w:ind w:left="0" w:right="0" w:firstLine="502" w:firstLineChars="200"/>
              <w:rPr>
                <w:rFonts w:hint="default"/>
                <w:b/>
                <w:bCs/>
                <w:color w:val="auto"/>
                <w:kern w:val="0"/>
                <w:sz w:val="24"/>
                <w:highlight w:val="none"/>
                <w:shd w:val="clear" w:color="auto" w:fill="auto"/>
              </w:rPr>
            </w:pPr>
            <w:r>
              <w:rPr>
                <w:rFonts w:hint="default" w:ascii="Times New Roman" w:hAnsi="Times New Roman" w:cs="Times New Roman"/>
                <w:b/>
                <w:bCs/>
                <w:color w:val="auto"/>
                <w:kern w:val="0"/>
                <w:sz w:val="25"/>
                <w:szCs w:val="25"/>
                <w:highlight w:val="none"/>
                <w:shd w:val="clear" w:color="auto" w:fill="auto"/>
                <w:lang w:val="en-US" w:eastAsia="zh-CN" w:bidi="ar"/>
              </w:rPr>
              <w:t>4</w:t>
            </w:r>
            <w:r>
              <w:rPr>
                <w:rFonts w:hint="eastAsia" w:ascii="宋体" w:hAnsi="宋体" w:cs="宋体"/>
                <w:b/>
                <w:bCs/>
                <w:color w:val="auto"/>
                <w:kern w:val="0"/>
                <w:sz w:val="25"/>
                <w:szCs w:val="25"/>
                <w:highlight w:val="none"/>
                <w:shd w:val="clear" w:color="auto" w:fill="auto"/>
                <w:lang w:val="en-US" w:eastAsia="zh-CN" w:bidi="ar"/>
              </w:rPr>
              <w:t>、</w:t>
            </w:r>
            <w:r>
              <w:rPr>
                <w:rFonts w:hint="eastAsia" w:ascii="宋体" w:hAnsi="宋体" w:cs="宋体"/>
                <w:b/>
                <w:bCs/>
                <w:color w:val="auto"/>
                <w:kern w:val="0"/>
                <w:sz w:val="25"/>
                <w:szCs w:val="25"/>
                <w:highlight w:val="none"/>
                <w:shd w:val="clear" w:color="auto" w:fill="auto"/>
                <w:lang w:bidi="ar"/>
              </w:rPr>
              <w:t>运营期声环境保护措施</w:t>
            </w:r>
          </w:p>
          <w:p w14:paraId="3086F8E4">
            <w:pPr>
              <w:keepNext w:val="0"/>
              <w:keepLines w:val="0"/>
              <w:suppressLineNumbers w:val="0"/>
              <w:adjustRightInd w:val="0"/>
              <w:snapToGrid w:val="0"/>
              <w:spacing w:before="0" w:beforeAutospacing="0" w:after="0" w:afterAutospacing="0" w:line="360" w:lineRule="auto"/>
              <w:ind w:left="0" w:right="0" w:firstLine="480"/>
              <w:rPr>
                <w:rFonts w:hint="default" w:hAnsi="宋体"/>
                <w:color w:val="auto"/>
                <w:spacing w:val="10"/>
                <w:sz w:val="24"/>
                <w:highlight w:val="none"/>
                <w:shd w:val="clear" w:color="auto" w:fill="auto"/>
              </w:rPr>
            </w:pPr>
            <w:r>
              <w:rPr>
                <w:rFonts w:hint="default"/>
                <w:bCs/>
                <w:color w:val="auto"/>
                <w:sz w:val="24"/>
                <w:highlight w:val="none"/>
              </w:rPr>
              <w:t>项目</w:t>
            </w:r>
            <w:r>
              <w:rPr>
                <w:rFonts w:hint="eastAsia"/>
                <w:bCs/>
                <w:color w:val="auto"/>
                <w:sz w:val="24"/>
                <w:highlight w:val="none"/>
              </w:rPr>
              <w:t>运营期箱式</w:t>
            </w:r>
            <w:r>
              <w:rPr>
                <w:rFonts w:hint="default"/>
                <w:bCs/>
                <w:color w:val="auto"/>
                <w:sz w:val="24"/>
                <w:highlight w:val="none"/>
              </w:rPr>
              <w:t>变压器、逆变器选用低噪声类型设备，均设置外壳隔声；设备底部基础安装减振垫；加强对逆变器和</w:t>
            </w:r>
            <w:r>
              <w:rPr>
                <w:rFonts w:hint="eastAsia"/>
                <w:bCs/>
                <w:color w:val="auto"/>
                <w:sz w:val="24"/>
                <w:highlight w:val="none"/>
              </w:rPr>
              <w:t>箱式</w:t>
            </w:r>
            <w:r>
              <w:rPr>
                <w:rFonts w:hint="default"/>
                <w:bCs/>
                <w:color w:val="auto"/>
                <w:sz w:val="24"/>
                <w:highlight w:val="none"/>
              </w:rPr>
              <w:t>变压器的定期检查维护使其处于正常稳定的运行状态。</w:t>
            </w:r>
          </w:p>
          <w:p w14:paraId="4464838E">
            <w:pPr>
              <w:keepNext w:val="0"/>
              <w:keepLines w:val="0"/>
              <w:widowControl/>
              <w:suppressLineNumbers w:val="0"/>
              <w:shd w:val="clear"/>
              <w:spacing w:before="0" w:beforeAutospacing="0" w:after="0" w:afterAutospacing="0" w:line="360" w:lineRule="auto"/>
              <w:ind w:left="0" w:right="0" w:firstLine="522" w:firstLineChars="200"/>
              <w:jc w:val="left"/>
              <w:rPr>
                <w:rFonts w:hint="default"/>
                <w:color w:val="auto"/>
                <w:highlight w:val="none"/>
                <w:shd w:val="clear" w:color="auto" w:fill="auto"/>
              </w:rPr>
            </w:pPr>
            <w:r>
              <w:rPr>
                <w:rFonts w:hint="eastAsia"/>
                <w:b/>
                <w:color w:val="auto"/>
                <w:spacing w:val="10"/>
                <w:sz w:val="24"/>
                <w:highlight w:val="none"/>
                <w:shd w:val="clear" w:color="auto" w:fill="auto"/>
                <w:lang w:val="en-US" w:eastAsia="zh-CN"/>
              </w:rPr>
              <w:t>5</w:t>
            </w:r>
            <w:r>
              <w:rPr>
                <w:rFonts w:hint="eastAsia"/>
                <w:b/>
                <w:color w:val="auto"/>
                <w:spacing w:val="10"/>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运营期固体废物保护措施</w:t>
            </w:r>
          </w:p>
          <w:p w14:paraId="0985B332">
            <w:pPr>
              <w:keepNext w:val="0"/>
              <w:keepLines w:val="0"/>
              <w:pageBreakBefore w:val="0"/>
              <w:suppressLineNumbers w:val="0"/>
              <w:kinsoku/>
              <w:wordWrap/>
              <w:overflowPunct/>
              <w:topLinePunct w:val="0"/>
              <w:bidi w:val="0"/>
              <w:spacing w:before="0" w:beforeAutospacing="0" w:after="0" w:afterAutospacing="0" w:line="360" w:lineRule="auto"/>
              <w:ind w:left="0" w:right="0" w:firstLine="520" w:firstLineChars="200"/>
              <w:rPr>
                <w:rFonts w:hint="default"/>
                <w:color w:val="auto"/>
                <w:sz w:val="24"/>
                <w:highlight w:val="none"/>
              </w:rPr>
            </w:pPr>
            <w:r>
              <w:rPr>
                <w:rFonts w:hint="default"/>
                <w:color w:val="auto"/>
                <w:spacing w:val="10"/>
                <w:sz w:val="24"/>
                <w:highlight w:val="none"/>
              </w:rPr>
              <w:t>（1）</w:t>
            </w:r>
            <w:r>
              <w:rPr>
                <w:rFonts w:hint="default"/>
                <w:color w:val="auto"/>
                <w:sz w:val="24"/>
                <w:highlight w:val="none"/>
              </w:rPr>
              <w:t>废电池板、</w:t>
            </w:r>
            <w:r>
              <w:rPr>
                <w:rFonts w:hint="eastAsia"/>
                <w:bCs/>
                <w:color w:val="auto"/>
                <w:sz w:val="24"/>
                <w:highlight w:val="none"/>
                <w:lang w:val="en-US" w:eastAsia="zh-CN"/>
              </w:rPr>
              <w:t>废逆变器、废电气元件</w:t>
            </w:r>
            <w:r>
              <w:rPr>
                <w:rFonts w:hint="default"/>
                <w:color w:val="auto"/>
                <w:sz w:val="24"/>
                <w:highlight w:val="none"/>
              </w:rPr>
              <w:t>：</w:t>
            </w:r>
            <w:r>
              <w:rPr>
                <w:rFonts w:hint="default"/>
                <w:color w:val="auto"/>
                <w:kern w:val="0"/>
                <w:sz w:val="24"/>
                <w:highlight w:val="none"/>
              </w:rPr>
              <w:t>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default"/>
                <w:color w:val="auto"/>
                <w:kern w:val="0"/>
                <w:sz w:val="24"/>
                <w:highlight w:val="none"/>
              </w:rPr>
              <w:t>一般固废暂存间</w:t>
            </w:r>
            <w:r>
              <w:rPr>
                <w:rFonts w:hint="default"/>
                <w:color w:val="auto"/>
                <w:sz w:val="24"/>
                <w:highlight w:val="none"/>
              </w:rPr>
              <w:t>，</w:t>
            </w:r>
            <w:r>
              <w:rPr>
                <w:rFonts w:hint="default"/>
                <w:bCs/>
                <w:color w:val="auto"/>
                <w:sz w:val="24"/>
                <w:highlight w:val="none"/>
              </w:rPr>
              <w:t>及时委托专业的回收厂家收购回收处理</w:t>
            </w:r>
            <w:r>
              <w:rPr>
                <w:rFonts w:hint="default"/>
                <w:color w:val="auto"/>
                <w:sz w:val="24"/>
                <w:highlight w:val="none"/>
              </w:rPr>
              <w:t xml:space="preserve">，不得随意堆放处置。 </w:t>
            </w:r>
          </w:p>
          <w:p w14:paraId="215665FE">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rPr>
                <w:rFonts w:hint="default"/>
                <w:bCs/>
                <w:color w:val="auto"/>
                <w:sz w:val="24"/>
                <w:highlight w:val="none"/>
              </w:rPr>
            </w:pPr>
            <w:r>
              <w:rPr>
                <w:rFonts w:hint="default"/>
                <w:color w:val="auto"/>
                <w:sz w:val="24"/>
                <w:highlight w:val="none"/>
              </w:rPr>
              <w:t>（</w:t>
            </w:r>
            <w:r>
              <w:rPr>
                <w:rFonts w:hint="eastAsia"/>
                <w:color w:val="auto"/>
                <w:sz w:val="24"/>
                <w:highlight w:val="none"/>
              </w:rPr>
              <w:t>2</w:t>
            </w:r>
            <w:r>
              <w:rPr>
                <w:rFonts w:hint="default"/>
                <w:color w:val="auto"/>
                <w:sz w:val="24"/>
                <w:highlight w:val="none"/>
              </w:rPr>
              <w:t>）</w:t>
            </w:r>
            <w:r>
              <w:rPr>
                <w:rFonts w:hint="default" w:hAnsi="宋体"/>
                <w:bCs/>
                <w:color w:val="auto"/>
                <w:sz w:val="24"/>
                <w:highlight w:val="none"/>
                <w:shd w:val="clear" w:color="auto" w:fill="auto"/>
              </w:rPr>
              <w:t>单次维修产生的废变压器油</w:t>
            </w:r>
            <w:r>
              <w:rPr>
                <w:rFonts w:hint="eastAsia" w:hAnsi="宋体"/>
                <w:bCs/>
                <w:color w:val="auto"/>
                <w:sz w:val="24"/>
                <w:highlight w:val="none"/>
                <w:shd w:val="clear" w:color="auto" w:fill="auto"/>
                <w:lang w:val="en-US" w:eastAsia="zh-CN"/>
              </w:rPr>
              <w:t>和</w:t>
            </w:r>
            <w:r>
              <w:rPr>
                <w:rFonts w:hint="default" w:hAnsi="宋体"/>
                <w:bCs/>
                <w:color w:val="auto"/>
                <w:sz w:val="24"/>
                <w:highlight w:val="none"/>
                <w:shd w:val="clear" w:color="auto" w:fill="auto"/>
              </w:rPr>
              <w:t>事故废油均属危险废物，经集中收集后，暂存于</w:t>
            </w:r>
            <w:r>
              <w:rPr>
                <w:rFonts w:hint="eastAsia" w:ascii="Times New Roman" w:hAnsi="Times New Roman" w:cs="Times New Roman"/>
                <w:color w:val="auto"/>
                <w:sz w:val="24"/>
                <w:szCs w:val="24"/>
                <w:highlight w:val="none"/>
                <w:shd w:val="clear" w:color="auto" w:fill="auto"/>
                <w:lang w:val="en-US" w:eastAsia="zh-CN"/>
              </w:rPr>
              <w:t>竹园沟光伏发电项目</w:t>
            </w:r>
            <w:r>
              <w:rPr>
                <w:rFonts w:hint="eastAsia" w:ascii="Times New Roman" w:hAnsi="Times New Roman" w:eastAsia="宋体" w:cs="Times New Roman"/>
                <w:b w:val="0"/>
                <w:bCs w:val="0"/>
                <w:color w:val="auto"/>
                <w:sz w:val="24"/>
                <w:szCs w:val="24"/>
                <w:highlight w:val="none"/>
                <w:lang w:val="en-US" w:eastAsia="zh-CN"/>
              </w:rPr>
              <w:t>升压站</w:t>
            </w:r>
            <w:r>
              <w:rPr>
                <w:rFonts w:hint="default" w:hAnsi="宋体"/>
                <w:bCs/>
                <w:color w:val="auto"/>
                <w:sz w:val="24"/>
                <w:highlight w:val="none"/>
                <w:shd w:val="clear" w:color="auto" w:fill="auto"/>
              </w:rPr>
              <w:t>危废</w:t>
            </w:r>
            <w:r>
              <w:rPr>
                <w:rFonts w:hint="eastAsia" w:hAnsi="宋体"/>
                <w:bCs/>
                <w:color w:val="auto"/>
                <w:sz w:val="24"/>
                <w:highlight w:val="none"/>
                <w:shd w:val="clear" w:color="auto" w:fill="auto"/>
                <w:lang w:val="en-US" w:eastAsia="zh-CN"/>
              </w:rPr>
              <w:t>贮存库</w:t>
            </w:r>
            <w:r>
              <w:rPr>
                <w:rFonts w:hint="default" w:hAnsi="宋体"/>
                <w:bCs/>
                <w:color w:val="auto"/>
                <w:sz w:val="24"/>
                <w:highlight w:val="none"/>
                <w:shd w:val="clear" w:color="auto" w:fill="auto"/>
              </w:rPr>
              <w:t>，并委托有资质单位处置</w:t>
            </w:r>
            <w:r>
              <w:rPr>
                <w:rFonts w:hint="eastAsia" w:hAnsi="宋体"/>
                <w:bCs/>
                <w:color w:val="auto"/>
                <w:sz w:val="24"/>
                <w:highlight w:val="none"/>
                <w:shd w:val="clear" w:color="auto" w:fill="auto"/>
                <w:lang w:eastAsia="zh-CN"/>
              </w:rPr>
              <w:t>；</w:t>
            </w:r>
            <w:r>
              <w:rPr>
                <w:rFonts w:hint="default" w:hAnsi="宋体"/>
                <w:bCs/>
                <w:color w:val="auto"/>
                <w:sz w:val="24"/>
                <w:highlight w:val="none"/>
                <w:shd w:val="clear" w:color="auto" w:fill="auto"/>
              </w:rPr>
              <w:t>变压器油不合格需全部更换时产生的废变压器油，委托有资质单位在更换后即时转移处置，不在厂区贮存。</w:t>
            </w:r>
          </w:p>
          <w:p w14:paraId="1313C40E">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cs="宋体"/>
                <w:b/>
                <w:color w:val="auto"/>
                <w:sz w:val="24"/>
                <w:highlight w:val="none"/>
                <w:shd w:val="clear" w:color="auto" w:fill="auto"/>
              </w:rPr>
            </w:pPr>
            <w:r>
              <w:rPr>
                <w:rStyle w:val="105"/>
                <w:rFonts w:hint="eastAsia"/>
                <w:b/>
                <w:color w:val="auto"/>
                <w:sz w:val="24"/>
                <w:highlight w:val="none"/>
                <w:shd w:val="clear" w:color="auto" w:fill="auto"/>
                <w:lang w:val="en-US" w:eastAsia="zh-CN"/>
              </w:rPr>
              <w:t>6</w:t>
            </w:r>
            <w:r>
              <w:rPr>
                <w:rStyle w:val="105"/>
                <w:rFonts w:hint="eastAsia"/>
                <w:b/>
                <w:color w:val="auto"/>
                <w:sz w:val="24"/>
                <w:highlight w:val="none"/>
                <w:shd w:val="clear" w:color="auto" w:fill="auto"/>
              </w:rPr>
              <w:t>、</w:t>
            </w:r>
            <w:r>
              <w:rPr>
                <w:rFonts w:hint="eastAsia" w:ascii="宋体" w:hAnsi="宋体" w:cs="宋体"/>
                <w:b/>
                <w:bCs/>
                <w:color w:val="auto"/>
                <w:kern w:val="0"/>
                <w:sz w:val="25"/>
                <w:szCs w:val="25"/>
                <w:highlight w:val="none"/>
                <w:shd w:val="clear" w:color="auto" w:fill="auto"/>
                <w:lang w:bidi="ar"/>
              </w:rPr>
              <w:t>运营期环境风险保护措施</w:t>
            </w:r>
          </w:p>
          <w:p w14:paraId="5DBB014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highlight w:val="none"/>
              </w:rPr>
            </w:pPr>
            <w:r>
              <w:rPr>
                <w:rFonts w:hint="default"/>
                <w:color w:val="auto"/>
                <w:sz w:val="24"/>
                <w:highlight w:val="none"/>
                <w:shd w:val="clear" w:color="auto" w:fill="auto"/>
              </w:rPr>
              <w:t>（1）</w:t>
            </w:r>
            <w:r>
              <w:rPr>
                <w:rFonts w:hint="eastAsia"/>
                <w:bCs/>
                <w:color w:val="auto"/>
                <w:sz w:val="24"/>
                <w:szCs w:val="24"/>
                <w:highlight w:val="none"/>
                <w:shd w:val="clear" w:color="auto" w:fill="auto"/>
              </w:rPr>
              <w:t>在</w:t>
            </w:r>
            <w:r>
              <w:rPr>
                <w:rFonts w:hint="default"/>
                <w:color w:val="auto"/>
                <w:kern w:val="0"/>
                <w:sz w:val="24"/>
                <w:szCs w:val="24"/>
                <w:highlight w:val="none"/>
                <w:shd w:val="clear" w:color="auto" w:fill="auto"/>
              </w:rPr>
              <w:t>箱式变压器下方基础处设置</w:t>
            </w:r>
            <w:r>
              <w:rPr>
                <w:rFonts w:hint="eastAsia"/>
                <w:color w:val="auto"/>
                <w:kern w:val="0"/>
                <w:sz w:val="24"/>
                <w:szCs w:val="24"/>
                <w:highlight w:val="none"/>
                <w:shd w:val="clear" w:color="auto" w:fill="auto"/>
                <w:lang w:val="en-US" w:eastAsia="zh-CN" w:bidi="ar"/>
              </w:rPr>
              <w:t>16</w:t>
            </w:r>
            <w:r>
              <w:rPr>
                <w:rFonts w:hint="eastAsia"/>
                <w:color w:val="auto"/>
                <w:kern w:val="0"/>
                <w:sz w:val="24"/>
                <w:szCs w:val="24"/>
                <w:highlight w:val="none"/>
                <w:shd w:val="clear" w:color="auto" w:fill="auto"/>
              </w:rPr>
              <w:t>个</w:t>
            </w:r>
            <w:r>
              <w:rPr>
                <w:rFonts w:hint="eastAsia"/>
                <w:color w:val="auto"/>
                <w:kern w:val="0"/>
                <w:sz w:val="24"/>
                <w:szCs w:val="24"/>
                <w:highlight w:val="none"/>
                <w:shd w:val="clear" w:color="auto" w:fill="auto"/>
                <w:lang w:eastAsia="zh-CN"/>
              </w:rPr>
              <w:t>事故油池</w:t>
            </w:r>
            <w:r>
              <w:rPr>
                <w:rFonts w:hint="default"/>
                <w:color w:val="auto"/>
                <w:kern w:val="0"/>
                <w:sz w:val="24"/>
                <w:szCs w:val="24"/>
                <w:highlight w:val="none"/>
              </w:rPr>
              <w:t>（</w:t>
            </w:r>
            <w:r>
              <w:rPr>
                <w:rFonts w:hint="eastAsia"/>
                <w:color w:val="auto"/>
                <w:kern w:val="0"/>
                <w:sz w:val="24"/>
                <w:highlight w:val="none"/>
              </w:rPr>
              <w:t>其中</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个</w:t>
            </w:r>
            <w:r>
              <w:rPr>
                <w:rFonts w:hint="default" w:ascii="Times New Roman" w:hAnsi="Times New Roman" w:eastAsia="宋体" w:cs="Times New Roman"/>
                <w:color w:val="auto"/>
                <w:sz w:val="24"/>
                <w:szCs w:val="24"/>
                <w:highlight w:val="none"/>
                <w:shd w:val="clear" w:color="auto" w:fill="auto"/>
              </w:rPr>
              <w:t>不低于</w:t>
            </w:r>
            <w:r>
              <w:rPr>
                <w:rFonts w:hint="eastAsia" w:cs="Times New Roman"/>
                <w:color w:val="auto"/>
                <w:sz w:val="24"/>
                <w:szCs w:val="24"/>
                <w:highlight w:val="none"/>
                <w:shd w:val="clear" w:color="auto" w:fill="auto"/>
                <w:lang w:val="en-US" w:eastAsia="zh-CN"/>
              </w:rPr>
              <w:t>2.4</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val="en-US" w:eastAsia="zh-CN"/>
              </w:rPr>
              <w:t>个</w:t>
            </w:r>
            <w:r>
              <w:rPr>
                <w:rFonts w:hint="default" w:ascii="Times New Roman" w:hAnsi="Times New Roman" w:eastAsia="宋体" w:cs="Times New Roman"/>
                <w:color w:val="auto"/>
                <w:sz w:val="24"/>
                <w:szCs w:val="24"/>
                <w:highlight w:val="none"/>
                <w:shd w:val="clear" w:color="auto" w:fill="auto"/>
              </w:rPr>
              <w:t>不低于</w:t>
            </w:r>
            <w:r>
              <w:rPr>
                <w:rFonts w:hint="eastAsia" w:cs="Times New Roman"/>
                <w:color w:val="auto"/>
                <w:sz w:val="24"/>
                <w:szCs w:val="24"/>
                <w:highlight w:val="none"/>
                <w:shd w:val="clear" w:color="auto" w:fill="auto"/>
                <w:lang w:val="en-US" w:eastAsia="zh-CN"/>
              </w:rPr>
              <w:t>2.85</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6</w:t>
            </w:r>
            <w:r>
              <w:rPr>
                <w:rFonts w:hint="eastAsia" w:ascii="Times New Roman" w:hAnsi="Times New Roman" w:eastAsia="宋体" w:cs="Times New Roman"/>
                <w:color w:val="auto"/>
                <w:sz w:val="24"/>
                <w:szCs w:val="24"/>
                <w:highlight w:val="none"/>
                <w:shd w:val="clear" w:color="auto" w:fill="auto"/>
                <w:lang w:val="en-US" w:eastAsia="zh-CN"/>
              </w:rPr>
              <w:t>个</w:t>
            </w:r>
            <w:r>
              <w:rPr>
                <w:rFonts w:hint="default" w:ascii="Times New Roman" w:hAnsi="Times New Roman" w:eastAsia="宋体" w:cs="Times New Roman"/>
                <w:color w:val="auto"/>
                <w:sz w:val="24"/>
                <w:szCs w:val="24"/>
                <w:highlight w:val="none"/>
                <w:shd w:val="clear" w:color="auto" w:fill="auto"/>
              </w:rPr>
              <w:t>不低于</w:t>
            </w: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color w:val="auto"/>
                <w:kern w:val="0"/>
                <w:sz w:val="24"/>
                <w:szCs w:val="24"/>
                <w:highlight w:val="none"/>
              </w:rPr>
              <w:t>）</w:t>
            </w:r>
            <w:r>
              <w:rPr>
                <w:rFonts w:hint="eastAsia"/>
                <w:color w:val="auto"/>
                <w:kern w:val="0"/>
                <w:sz w:val="24"/>
                <w:szCs w:val="24"/>
                <w:highlight w:val="none"/>
                <w:shd w:val="clear" w:color="auto" w:fill="auto"/>
                <w:lang w:eastAsia="zh-CN"/>
              </w:rPr>
              <w:t>，</w:t>
            </w:r>
            <w:r>
              <w:rPr>
                <w:rFonts w:hint="eastAsia"/>
                <w:color w:val="auto"/>
                <w:sz w:val="24"/>
                <w:highlight w:val="none"/>
                <w:shd w:val="clear" w:color="auto" w:fill="auto"/>
                <w:lang w:val="en-US" w:eastAsia="zh-CN"/>
              </w:rPr>
              <w:t>箱变</w:t>
            </w:r>
            <w:r>
              <w:rPr>
                <w:rFonts w:hint="default"/>
                <w:color w:val="auto"/>
                <w:sz w:val="24"/>
                <w:highlight w:val="none"/>
                <w:shd w:val="clear" w:color="auto" w:fill="auto"/>
              </w:rPr>
              <w:t>在事故情况下，</w:t>
            </w:r>
            <w:r>
              <w:rPr>
                <w:rFonts w:hint="eastAsia"/>
                <w:color w:val="auto"/>
                <w:sz w:val="24"/>
                <w:highlight w:val="none"/>
                <w:shd w:val="clear" w:color="auto" w:fill="auto"/>
              </w:rPr>
              <w:t>泄漏的变压器油经排油管自流进入</w:t>
            </w:r>
            <w:r>
              <w:rPr>
                <w:rFonts w:hint="eastAsia"/>
                <w:color w:val="auto"/>
                <w:kern w:val="0"/>
                <w:sz w:val="24"/>
                <w:szCs w:val="24"/>
                <w:highlight w:val="none"/>
                <w:shd w:val="clear" w:color="auto" w:fill="auto"/>
                <w:lang w:eastAsia="zh-CN"/>
              </w:rPr>
              <w:t>事故油池</w:t>
            </w:r>
            <w:r>
              <w:rPr>
                <w:rFonts w:hint="default"/>
                <w:color w:val="auto"/>
                <w:sz w:val="24"/>
                <w:szCs w:val="24"/>
                <w:highlight w:val="none"/>
              </w:rPr>
              <w:t>，收集后暂存</w:t>
            </w:r>
            <w:r>
              <w:rPr>
                <w:rFonts w:hint="eastAsia"/>
                <w:color w:val="auto"/>
                <w:sz w:val="24"/>
                <w:szCs w:val="24"/>
                <w:highlight w:val="none"/>
                <w:lang w:val="en-US" w:eastAsia="zh-CN"/>
              </w:rPr>
              <w:t>于竹园沟光伏发电项目</w:t>
            </w:r>
            <w:r>
              <w:rPr>
                <w:rFonts w:hint="default"/>
                <w:color w:val="auto"/>
                <w:kern w:val="0"/>
                <w:sz w:val="24"/>
                <w:szCs w:val="24"/>
                <w:highlight w:val="none"/>
              </w:rPr>
              <w:t>升压站</w:t>
            </w:r>
            <w:r>
              <w:rPr>
                <w:rFonts w:hint="eastAsia"/>
                <w:color w:val="auto"/>
                <w:sz w:val="24"/>
                <w:szCs w:val="24"/>
                <w:highlight w:val="none"/>
                <w:lang w:eastAsia="zh-CN"/>
              </w:rPr>
              <w:t>危废贮存库</w:t>
            </w:r>
            <w:r>
              <w:rPr>
                <w:rFonts w:hint="default"/>
                <w:color w:val="auto"/>
                <w:sz w:val="24"/>
                <w:szCs w:val="24"/>
                <w:highlight w:val="none"/>
              </w:rPr>
              <w:t>，委托资质单位清运处置。</w:t>
            </w:r>
          </w:p>
          <w:p w14:paraId="4D43AE67">
            <w:pPr>
              <w:keepNext w:val="0"/>
              <w:keepLines w:val="0"/>
              <w:suppressLineNumbers w:val="0"/>
              <w:shd w:val="clear"/>
              <w:adjustRightInd w:val="0"/>
              <w:snapToGrid w:val="0"/>
              <w:spacing w:before="0" w:beforeAutospacing="0" w:after="0" w:afterAutospacing="0" w:line="360" w:lineRule="auto"/>
              <w:ind w:left="0" w:right="0" w:firstLine="480"/>
              <w:textAlignment w:val="baseline"/>
              <w:rPr>
                <w:rFonts w:hint="default"/>
                <w:color w:val="auto"/>
                <w:kern w:val="0"/>
                <w:sz w:val="24"/>
                <w:highlight w:val="none"/>
                <w:shd w:val="clear" w:color="auto" w:fill="auto"/>
                <w:lang w:val="zh-CN"/>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2</w:t>
            </w:r>
            <w:r>
              <w:rPr>
                <w:rFonts w:hint="default"/>
                <w:color w:val="auto"/>
                <w:kern w:val="0"/>
                <w:sz w:val="24"/>
                <w:highlight w:val="none"/>
                <w:shd w:val="clear" w:color="auto" w:fill="auto"/>
              </w:rPr>
              <w:t>）</w:t>
            </w:r>
            <w:r>
              <w:rPr>
                <w:rFonts w:hint="default"/>
                <w:color w:val="auto"/>
                <w:kern w:val="0"/>
                <w:sz w:val="24"/>
                <w:highlight w:val="none"/>
                <w:shd w:val="clear" w:color="auto" w:fill="auto"/>
                <w:lang w:val="zh-CN"/>
              </w:rPr>
              <w:t>运营期定期检查</w:t>
            </w:r>
            <w:r>
              <w:rPr>
                <w:rFonts w:hint="default"/>
                <w:color w:val="auto"/>
                <w:kern w:val="0"/>
                <w:sz w:val="24"/>
                <w:highlight w:val="none"/>
                <w:shd w:val="clear" w:color="auto" w:fill="auto"/>
              </w:rPr>
              <w:t>各储存设施</w:t>
            </w:r>
            <w:r>
              <w:rPr>
                <w:rFonts w:hint="default"/>
                <w:color w:val="auto"/>
                <w:kern w:val="0"/>
                <w:sz w:val="24"/>
                <w:highlight w:val="none"/>
                <w:shd w:val="clear" w:color="auto" w:fill="auto"/>
                <w:lang w:val="zh-CN"/>
              </w:rPr>
              <w:t>，避免出现泄漏等不良情况。</w:t>
            </w:r>
          </w:p>
          <w:p w14:paraId="5AEE5FFC">
            <w:pPr>
              <w:pStyle w:val="54"/>
              <w:keepNext w:val="0"/>
              <w:keepLines w:val="0"/>
              <w:suppressLineNumbers w:val="0"/>
              <w:shd w:val="clear"/>
              <w:spacing w:before="0" w:beforeAutospacing="0" w:after="0" w:afterAutospacing="0"/>
              <w:ind w:left="0" w:right="0" w:firstLine="470"/>
              <w:jc w:val="both"/>
              <w:rPr>
                <w:rFonts w:hint="default" w:eastAsia="宋体"/>
                <w:color w:val="auto"/>
                <w:szCs w:val="24"/>
                <w:highlight w:val="none"/>
                <w:shd w:val="clear" w:color="auto" w:fill="auto"/>
              </w:rPr>
            </w:pPr>
            <w:r>
              <w:rPr>
                <w:rFonts w:hint="eastAsia" w:eastAsia="宋体"/>
                <w:color w:val="auto"/>
                <w:szCs w:val="24"/>
                <w:highlight w:val="none"/>
                <w:shd w:val="clear" w:color="auto" w:fill="auto"/>
              </w:rPr>
              <w:t>（</w:t>
            </w:r>
            <w:r>
              <w:rPr>
                <w:rFonts w:hint="eastAsia" w:eastAsia="宋体"/>
                <w:color w:val="auto"/>
                <w:szCs w:val="24"/>
                <w:highlight w:val="none"/>
                <w:shd w:val="clear" w:color="auto" w:fill="auto"/>
                <w:lang w:val="en-US" w:eastAsia="zh-CN"/>
              </w:rPr>
              <w:t>3</w:t>
            </w:r>
            <w:r>
              <w:rPr>
                <w:rFonts w:hint="eastAsia" w:eastAsia="宋体"/>
                <w:color w:val="auto"/>
                <w:szCs w:val="24"/>
                <w:highlight w:val="none"/>
                <w:shd w:val="clear" w:color="auto" w:fill="auto"/>
              </w:rPr>
              <w:t>）应及时开展应急预案的编制工作。</w:t>
            </w:r>
          </w:p>
          <w:p w14:paraId="06B30F1F">
            <w:pPr>
              <w:keepNext w:val="0"/>
              <w:keepLines w:val="0"/>
              <w:suppressLineNumbers w:val="0"/>
              <w:shd w:val="clear"/>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kern w:val="0"/>
                <w:sz w:val="24"/>
                <w:highlight w:val="none"/>
                <w:shd w:val="clear" w:color="auto" w:fill="auto"/>
              </w:rPr>
              <w:t>（</w:t>
            </w:r>
            <w:r>
              <w:rPr>
                <w:rFonts w:hint="eastAsia"/>
                <w:color w:val="auto"/>
                <w:kern w:val="0"/>
                <w:sz w:val="24"/>
                <w:highlight w:val="none"/>
                <w:shd w:val="clear" w:color="auto" w:fill="auto"/>
                <w:lang w:val="en-US" w:eastAsia="zh-CN"/>
              </w:rPr>
              <w:t>4</w:t>
            </w:r>
            <w:r>
              <w:rPr>
                <w:rFonts w:hint="default"/>
                <w:color w:val="auto"/>
                <w:kern w:val="0"/>
                <w:sz w:val="24"/>
                <w:highlight w:val="none"/>
                <w:shd w:val="clear" w:color="auto" w:fill="auto"/>
              </w:rPr>
              <w:t>）</w:t>
            </w:r>
            <w:r>
              <w:rPr>
                <w:rFonts w:hint="default"/>
                <w:color w:val="auto"/>
                <w:sz w:val="24"/>
                <w:highlight w:val="none"/>
                <w:shd w:val="clear" w:color="auto" w:fill="auto"/>
              </w:rPr>
              <w:t>加强对操作人员的岗位培训，建立健全的环保管理机制和各项环保规章制度，落实岗位环保责任制，加强环境风险防范工作，防止事故排放导致环境问题。</w:t>
            </w:r>
          </w:p>
          <w:p w14:paraId="7B886526">
            <w:pPr>
              <w:keepNext w:val="0"/>
              <w:keepLines w:val="0"/>
              <w:suppressLineNumbers w:val="0"/>
              <w:shd w:val="clear"/>
              <w:spacing w:before="0" w:beforeAutospacing="0" w:after="0" w:afterAutospacing="0" w:line="360" w:lineRule="auto"/>
              <w:ind w:left="0" w:right="0" w:firstLine="482" w:firstLineChars="200"/>
              <w:rPr>
                <w:rFonts w:hint="default"/>
                <w:color w:val="auto"/>
                <w:kern w:val="0"/>
                <w:sz w:val="24"/>
                <w:highlight w:val="none"/>
                <w:shd w:val="clear" w:color="auto" w:fill="auto"/>
              </w:rPr>
            </w:pPr>
            <w:r>
              <w:rPr>
                <w:rFonts w:hint="eastAsia"/>
                <w:b/>
                <w:bCs/>
                <w:color w:val="auto"/>
                <w:kern w:val="0"/>
                <w:sz w:val="24"/>
                <w:highlight w:val="none"/>
                <w:shd w:val="clear" w:color="auto" w:fill="auto"/>
                <w:lang w:val="en-US" w:eastAsia="zh-CN"/>
              </w:rPr>
              <w:t>7</w:t>
            </w:r>
            <w:r>
              <w:rPr>
                <w:rFonts w:hint="eastAsia"/>
                <w:b/>
                <w:bCs/>
                <w:color w:val="auto"/>
                <w:kern w:val="0"/>
                <w:sz w:val="24"/>
                <w:highlight w:val="none"/>
                <w:shd w:val="clear" w:color="auto" w:fill="auto"/>
              </w:rPr>
              <w:t>、景观影响和光污染防治措施</w:t>
            </w:r>
          </w:p>
          <w:p w14:paraId="4874AB83">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1</w:t>
            </w:r>
            <w:r>
              <w:rPr>
                <w:rFonts w:hint="eastAsia"/>
                <w:color w:val="auto"/>
                <w:kern w:val="0"/>
                <w:sz w:val="24"/>
                <w:highlight w:val="none"/>
                <w:shd w:val="clear" w:color="auto" w:fill="auto"/>
              </w:rPr>
              <w:t>）光伏板尽量依山势布置，减少对</w:t>
            </w:r>
            <w:r>
              <w:rPr>
                <w:rFonts w:hint="eastAsia"/>
                <w:color w:val="auto"/>
                <w:kern w:val="0"/>
                <w:sz w:val="24"/>
                <w:highlight w:val="none"/>
                <w:shd w:val="clear" w:color="auto" w:fill="auto"/>
                <w:lang w:eastAsia="zh-CN"/>
              </w:rPr>
              <w:t>地形地貌</w:t>
            </w:r>
            <w:r>
              <w:rPr>
                <w:rFonts w:hint="eastAsia"/>
                <w:color w:val="auto"/>
                <w:kern w:val="0"/>
                <w:sz w:val="24"/>
                <w:highlight w:val="none"/>
                <w:shd w:val="clear" w:color="auto" w:fill="auto"/>
              </w:rPr>
              <w:t>的破坏，加强区域的绿化，减少视觉景观单一化。</w:t>
            </w:r>
          </w:p>
          <w:p w14:paraId="66D18EED">
            <w:pPr>
              <w:keepNext w:val="0"/>
              <w:keepLines w:val="0"/>
              <w:suppressLineNumbers w:val="0"/>
              <w:shd w:val="clear"/>
              <w:spacing w:before="0" w:beforeAutospacing="0" w:after="0" w:afterAutospacing="0" w:line="360" w:lineRule="auto"/>
              <w:ind w:left="0" w:right="0" w:firstLine="480" w:firstLineChars="200"/>
              <w:rPr>
                <w:rFonts w:hint="default"/>
                <w:color w:val="auto"/>
                <w:kern w:val="0"/>
                <w:sz w:val="24"/>
                <w:highlight w:val="none"/>
                <w:shd w:val="clear" w:color="auto" w:fill="auto"/>
              </w:rPr>
            </w:pPr>
            <w:r>
              <w:rPr>
                <w:rFonts w:hint="eastAsia"/>
                <w:color w:val="auto"/>
                <w:kern w:val="0"/>
                <w:sz w:val="24"/>
                <w:highlight w:val="none"/>
                <w:shd w:val="clear" w:color="auto" w:fill="auto"/>
              </w:rPr>
              <w:t>（</w:t>
            </w:r>
            <w:r>
              <w:rPr>
                <w:rFonts w:hint="default"/>
                <w:color w:val="auto"/>
                <w:kern w:val="0"/>
                <w:sz w:val="24"/>
                <w:highlight w:val="none"/>
                <w:shd w:val="clear" w:color="auto" w:fill="auto"/>
              </w:rPr>
              <w:t>2</w:t>
            </w:r>
            <w:r>
              <w:rPr>
                <w:rFonts w:hint="eastAsia"/>
                <w:color w:val="auto"/>
                <w:kern w:val="0"/>
                <w:sz w:val="24"/>
                <w:highlight w:val="none"/>
                <w:shd w:val="clear" w:color="auto" w:fill="auto"/>
              </w:rPr>
              <w:t>）合理设计和安装太阳能光伏阵列，项目根据地形设计，调整合理的角度，将放设角度错开周围的村庄。</w:t>
            </w:r>
          </w:p>
          <w:p w14:paraId="6DDB4ADB">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bCs/>
                <w:color w:val="auto"/>
                <w:kern w:val="0"/>
                <w:sz w:val="24"/>
                <w:highlight w:val="none"/>
                <w:shd w:val="clear" w:color="auto" w:fill="auto"/>
                <w:lang w:bidi="ar"/>
              </w:rPr>
            </w:pPr>
            <w:r>
              <w:rPr>
                <w:rFonts w:hint="eastAsia" w:cs="Times New Roman"/>
                <w:b/>
                <w:bCs/>
                <w:color w:val="auto"/>
                <w:kern w:val="0"/>
                <w:sz w:val="24"/>
                <w:highlight w:val="none"/>
                <w:shd w:val="clear" w:color="auto" w:fill="auto"/>
                <w:lang w:val="en-US" w:eastAsia="zh-CN" w:bidi="ar"/>
              </w:rPr>
              <w:t>8</w:t>
            </w:r>
            <w:r>
              <w:rPr>
                <w:rFonts w:hint="default" w:ascii="Times New Roman" w:hAnsi="Times New Roman" w:cs="Times New Roman"/>
                <w:b/>
                <w:bCs/>
                <w:color w:val="auto"/>
                <w:kern w:val="0"/>
                <w:sz w:val="24"/>
                <w:highlight w:val="none"/>
                <w:shd w:val="clear" w:color="auto" w:fill="auto"/>
                <w:lang w:val="en-US" w:eastAsia="zh-CN" w:bidi="ar"/>
              </w:rPr>
              <w:t>、服务期结束后对策措施</w:t>
            </w:r>
          </w:p>
          <w:p w14:paraId="33A686A1">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项目服务期将结束时应建立退役计划，其应包括光伏组件拆除方案、生态恢复方案及项目拆除文明管理制度等，确保项目在服务期结束后能够快速拆除相关设施，及时恢复生态环境。在拆除过程产生固体废物及生态恢复措施如下：</w:t>
            </w:r>
          </w:p>
          <w:p w14:paraId="53B6F690">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（1）固体废物处置措施</w:t>
            </w:r>
          </w:p>
          <w:p w14:paraId="138901CE">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①服务期满后拆除的光伏电池板全部由专业的回收厂家回收处理，不得随意丢弃。</w:t>
            </w:r>
          </w:p>
          <w:p w14:paraId="4015419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②服务期满后及时联系厂家对逆变器、箱变等电气设备进行回收利用。</w:t>
            </w:r>
          </w:p>
          <w:p w14:paraId="20255CCB">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③电缆、光缆拆除后交由资源回收单位收集处理。</w:t>
            </w:r>
          </w:p>
          <w:p w14:paraId="77A3337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④服务期满后需要对已建成的各类建（构）筑物进行全部拆除，以利于恢复原地表和植被。拆除过程中产生的建筑垃圾经分类收集后可回收利用的回收利用，不可回收利用的清运至当地住建部门指定地点堆存。</w:t>
            </w:r>
          </w:p>
          <w:p w14:paraId="4129F989">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（2）生态恢复措施</w:t>
            </w:r>
          </w:p>
          <w:p w14:paraId="710C0193">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①拆除过程中应尽量减小对土地的扰动，对于项目厂区原绿化土地应保留；</w:t>
            </w:r>
          </w:p>
          <w:p w14:paraId="21228F61">
            <w:pPr>
              <w:keepNext w:val="0"/>
              <w:keepLines w:val="0"/>
              <w:suppressLineNumbers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kern w:val="0"/>
                <w:sz w:val="24"/>
                <w:highlight w:val="none"/>
                <w:lang w:bidi="ar"/>
              </w:rPr>
              <w:t>②拆除硬化检修道路基础，对场地进行恢复，在场地内播撒耐旱绿植。</w:t>
            </w:r>
          </w:p>
          <w:p w14:paraId="0D45C438">
            <w:pPr>
              <w:keepNext w:val="0"/>
              <w:keepLines w:val="0"/>
              <w:suppressLineNumbers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kern w:val="0"/>
                <w:sz w:val="24"/>
                <w:highlight w:val="none"/>
                <w:lang w:bidi="ar"/>
              </w:rPr>
              <w:t>③拆除光伏方阵区支架、箱变等混凝土基础后，场地应进行恢复，覆土厚度30cm，并将光伏阵列区侵蚀沟和低洼区域填土、平整，恢复后的场地进行洒水和压实，以固结地表，防止产生扬尘和对土壤的风蚀，进行植被恢复，对于少量不能进行植被恢复的区域，进行平整压实，以减轻水土流失。</w:t>
            </w:r>
          </w:p>
          <w:p w14:paraId="58D0D3A9">
            <w:pPr>
              <w:keepNext w:val="0"/>
              <w:keepLines w:val="0"/>
              <w:suppressLineNumbers w:val="0"/>
              <w:spacing w:before="0" w:beforeAutospacing="0" w:after="0" w:afterAutospacing="0" w:line="360" w:lineRule="auto"/>
              <w:ind w:left="0" w:right="0" w:firstLine="480" w:firstLineChars="200"/>
              <w:rPr>
                <w:rFonts w:hint="default"/>
                <w:bCs/>
                <w:color w:val="auto"/>
                <w:highlight w:val="none"/>
                <w:shd w:val="clear" w:color="auto" w:fill="auto"/>
              </w:rPr>
            </w:pPr>
            <w:r>
              <w:rPr>
                <w:rFonts w:hint="default"/>
                <w:color w:val="auto"/>
                <w:kern w:val="0"/>
                <w:sz w:val="24"/>
                <w:highlight w:val="none"/>
                <w:lang w:bidi="ar"/>
              </w:rPr>
              <w:t>④</w:t>
            </w:r>
            <w:r>
              <w:rPr>
                <w:rFonts w:hint="default"/>
                <w:color w:val="auto"/>
                <w:sz w:val="24"/>
                <w:highlight w:val="none"/>
                <w:lang w:bidi="ar"/>
              </w:rPr>
              <w:t>光伏组件设备拆除完毕后，应做好植被恢复措施。种植乡土物种，并注重乔、灌、草、层间植物有机搭配，科学制定绿化方案，适度补植补种乡土树种、草种。禁止引入外来物种，产生生态入侵。</w:t>
            </w:r>
          </w:p>
        </w:tc>
      </w:tr>
      <w:tr w14:paraId="7D193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475" w:type="pct"/>
            <w:vAlign w:val="center"/>
          </w:tcPr>
          <w:p w14:paraId="1D4F68AE">
            <w:pPr>
              <w:keepNext w:val="0"/>
              <w:keepLines w:val="0"/>
              <w:suppressLineNumbers w:val="0"/>
              <w:shd w:val="clear"/>
              <w:adjustRightInd w:val="0"/>
              <w:snapToGrid w:val="0"/>
              <w:spacing w:before="0" w:beforeAutospacing="0" w:after="0" w:afterAutospacing="0" w:line="360" w:lineRule="auto"/>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其他</w:t>
            </w:r>
          </w:p>
        </w:tc>
        <w:tc>
          <w:tcPr>
            <w:tcW w:w="4524" w:type="pct"/>
            <w:vAlign w:val="center"/>
          </w:tcPr>
          <w:p w14:paraId="4D00CE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1、环境管理</w:t>
            </w:r>
          </w:p>
          <w:p w14:paraId="7961D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为加强项目施工期及运营期对项目的环境监管，建设单位应设</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名专职的环保工作人员，负责做好环境管理工作，加强环保法规和技术培训，提高各参建单位和参建</w:t>
            </w:r>
            <w:r>
              <w:rPr>
                <w:rFonts w:hint="eastAsia" w:cs="Times New Roman"/>
                <w:color w:val="auto"/>
                <w:sz w:val="24"/>
                <w:szCs w:val="24"/>
                <w:highlight w:val="none"/>
                <w:lang w:val="en-US" w:eastAsia="zh-CN"/>
              </w:rPr>
              <w:t>人员的</w:t>
            </w:r>
            <w:r>
              <w:rPr>
                <w:rFonts w:hint="default" w:ascii="Times New Roman" w:hAnsi="Times New Roman" w:eastAsia="宋体" w:cs="Times New Roman"/>
                <w:color w:val="auto"/>
                <w:sz w:val="24"/>
                <w:szCs w:val="24"/>
                <w:highlight w:val="none"/>
                <w:lang w:val="en-US" w:eastAsia="zh-CN"/>
              </w:rPr>
              <w:t>环保意识，组织落实各项环境保护措施，规范各项环境管理制度。项目环境管理计划见下表。</w:t>
            </w:r>
          </w:p>
          <w:p w14:paraId="76DE4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表5-1</w:t>
            </w: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环境管理计划</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4128"/>
              <w:gridCol w:w="1070"/>
              <w:gridCol w:w="1062"/>
            </w:tblGrid>
            <w:tr w14:paraId="3C76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07B8890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环境要素</w:t>
                  </w:r>
                </w:p>
              </w:tc>
              <w:tc>
                <w:tcPr>
                  <w:tcW w:w="2782" w:type="pct"/>
                  <w:vAlign w:val="center"/>
                </w:tcPr>
                <w:p w14:paraId="30C2087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环境保护措施与对策</w:t>
                  </w:r>
                </w:p>
              </w:tc>
              <w:tc>
                <w:tcPr>
                  <w:tcW w:w="721" w:type="pct"/>
                  <w:vAlign w:val="center"/>
                </w:tcPr>
                <w:p w14:paraId="3D1A31E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执行单位</w:t>
                  </w:r>
                </w:p>
              </w:tc>
              <w:tc>
                <w:tcPr>
                  <w:tcW w:w="715" w:type="pct"/>
                  <w:vAlign w:val="center"/>
                </w:tcPr>
                <w:p w14:paraId="709E933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监督部门</w:t>
                  </w:r>
                </w:p>
              </w:tc>
            </w:tr>
            <w:tr w14:paraId="268B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7A62A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施工管理</w:t>
                  </w:r>
                </w:p>
              </w:tc>
              <w:tc>
                <w:tcPr>
                  <w:tcW w:w="2782" w:type="pct"/>
                  <w:vAlign w:val="center"/>
                </w:tcPr>
                <w:p w14:paraId="35DA2087">
                  <w:pPr>
                    <w:keepNext w:val="0"/>
                    <w:keepLines w:val="0"/>
                    <w:suppressLineNumbers w:val="0"/>
                    <w:spacing w:before="0" w:beforeAutospacing="0" w:after="0" w:afterAutospacing="0" w:line="300" w:lineRule="exact"/>
                    <w:ind w:left="0" w:right="0"/>
                    <w:rPr>
                      <w:rFonts w:hint="default"/>
                      <w:color w:val="auto"/>
                      <w:sz w:val="21"/>
                      <w:szCs w:val="21"/>
                      <w:highlight w:val="none"/>
                    </w:rPr>
                  </w:pPr>
                  <w:r>
                    <w:rPr>
                      <w:rFonts w:hint="eastAsia"/>
                      <w:color w:val="auto"/>
                      <w:sz w:val="21"/>
                      <w:szCs w:val="21"/>
                      <w:highlight w:val="none"/>
                      <w:lang w:val="en-US" w:eastAsia="zh-CN"/>
                    </w:rPr>
                    <w:t>①</w:t>
                  </w:r>
                  <w:r>
                    <w:rPr>
                      <w:rFonts w:hint="default"/>
                      <w:color w:val="auto"/>
                      <w:sz w:val="21"/>
                      <w:szCs w:val="21"/>
                      <w:highlight w:val="none"/>
                    </w:rPr>
                    <w:t>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p w14:paraId="07004FCF">
                  <w:pPr>
                    <w:keepNext w:val="0"/>
                    <w:keepLines w:val="0"/>
                    <w:suppressLineNumbers w:val="0"/>
                    <w:spacing w:before="0" w:beforeAutospacing="0" w:after="0" w:afterAutospacing="0" w:line="300" w:lineRule="exact"/>
                    <w:ind w:left="0" w:right="0"/>
                    <w:rPr>
                      <w:rFonts w:hint="default"/>
                      <w:color w:val="auto"/>
                      <w:sz w:val="21"/>
                      <w:szCs w:val="21"/>
                      <w:highlight w:val="none"/>
                    </w:rPr>
                  </w:pPr>
                  <w:r>
                    <w:rPr>
                      <w:rFonts w:hint="eastAsia"/>
                      <w:color w:val="auto"/>
                      <w:sz w:val="21"/>
                      <w:szCs w:val="21"/>
                      <w:highlight w:val="none"/>
                      <w:lang w:val="en-US" w:eastAsia="zh-CN"/>
                    </w:rPr>
                    <w:t>②</w:t>
                  </w:r>
                  <w:r>
                    <w:rPr>
                      <w:rFonts w:hint="default"/>
                      <w:color w:val="auto"/>
                      <w:sz w:val="21"/>
                      <w:szCs w:val="21"/>
                      <w:highlight w:val="none"/>
                    </w:rPr>
                    <w:t>建设单位应加强施工过程的管理，开展环境保护培训，严格控制施工影响范围，确定适宜的施工季节和施工方式，减少对环境的不利影响；</w:t>
                  </w:r>
                </w:p>
                <w:p w14:paraId="34FBEB77">
                  <w:pPr>
                    <w:keepNext w:val="0"/>
                    <w:keepLines w:val="0"/>
                    <w:suppressLineNumbers w:val="0"/>
                    <w:spacing w:before="0" w:beforeAutospacing="0" w:after="0" w:afterAutospacing="0" w:line="300" w:lineRule="exact"/>
                    <w:ind w:left="0" w:right="0"/>
                    <w:rPr>
                      <w:rFonts w:hint="default"/>
                      <w:color w:val="auto"/>
                      <w:sz w:val="21"/>
                      <w:szCs w:val="21"/>
                      <w:highlight w:val="none"/>
                    </w:rPr>
                  </w:pPr>
                  <w:r>
                    <w:rPr>
                      <w:rFonts w:hint="eastAsia"/>
                      <w:color w:val="auto"/>
                      <w:sz w:val="21"/>
                      <w:szCs w:val="21"/>
                      <w:highlight w:val="none"/>
                      <w:lang w:val="en-US" w:eastAsia="zh-CN"/>
                    </w:rPr>
                    <w:t>③</w:t>
                  </w:r>
                  <w:r>
                    <w:rPr>
                      <w:rFonts w:hint="default"/>
                      <w:color w:val="auto"/>
                      <w:sz w:val="21"/>
                      <w:szCs w:val="21"/>
                      <w:highlight w:val="none"/>
                    </w:rPr>
                    <w:t>施工期临时用地应永临结合，施工占用</w:t>
                  </w:r>
                  <w:r>
                    <w:rPr>
                      <w:rFonts w:hint="eastAsia"/>
                      <w:color w:val="auto"/>
                      <w:sz w:val="21"/>
                      <w:szCs w:val="21"/>
                      <w:highlight w:val="none"/>
                      <w:lang w:val="en-US" w:eastAsia="zh-CN"/>
                    </w:rPr>
                    <w:t>园地</w:t>
                  </w:r>
                  <w:r>
                    <w:rPr>
                      <w:rFonts w:hint="default"/>
                      <w:color w:val="auto"/>
                      <w:sz w:val="21"/>
                      <w:szCs w:val="21"/>
                      <w:highlight w:val="none"/>
                    </w:rPr>
                    <w:t>，应做好表土剥离、分类存放和回填利用；</w:t>
                  </w:r>
                </w:p>
                <w:p w14:paraId="5671FA28">
                  <w:pPr>
                    <w:keepNext w:val="0"/>
                    <w:keepLines w:val="0"/>
                    <w:suppressLineNumbers w:val="0"/>
                    <w:spacing w:before="0" w:beforeAutospacing="0" w:after="0" w:afterAutospacing="0" w:line="300" w:lineRule="exact"/>
                    <w:ind w:left="0" w:right="0"/>
                    <w:rPr>
                      <w:rFonts w:hint="default"/>
                      <w:color w:val="auto"/>
                      <w:sz w:val="21"/>
                      <w:szCs w:val="21"/>
                      <w:highlight w:val="none"/>
                    </w:rPr>
                  </w:pPr>
                  <w:r>
                    <w:rPr>
                      <w:rFonts w:hint="eastAsia"/>
                      <w:color w:val="auto"/>
                      <w:sz w:val="21"/>
                      <w:szCs w:val="21"/>
                      <w:highlight w:val="none"/>
                      <w:lang w:val="en-US" w:eastAsia="zh-CN"/>
                    </w:rPr>
                    <w:t>④</w:t>
                  </w:r>
                  <w:r>
                    <w:rPr>
                      <w:rFonts w:hint="default"/>
                      <w:color w:val="auto"/>
                      <w:sz w:val="21"/>
                      <w:szCs w:val="21"/>
                      <w:highlight w:val="none"/>
                    </w:rPr>
                    <w:t>严格在设计占地范围内施工，严禁计划外占地；</w:t>
                  </w:r>
                </w:p>
                <w:p w14:paraId="5F25199C">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⑤</w:t>
                  </w:r>
                  <w:r>
                    <w:rPr>
                      <w:rFonts w:hint="default"/>
                      <w:color w:val="auto"/>
                      <w:sz w:val="21"/>
                      <w:szCs w:val="21"/>
                      <w:highlight w:val="none"/>
                    </w:rPr>
                    <w:t>施工结束后，及时清理施工现场，因地制宜进行土地功能恢复。</w:t>
                  </w:r>
                </w:p>
              </w:tc>
              <w:tc>
                <w:tcPr>
                  <w:tcW w:w="721" w:type="pct"/>
                  <w:vMerge w:val="restart"/>
                  <w:vAlign w:val="center"/>
                </w:tcPr>
                <w:p w14:paraId="493793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建设单位、施工单位</w:t>
                  </w:r>
                </w:p>
              </w:tc>
              <w:tc>
                <w:tcPr>
                  <w:tcW w:w="715" w:type="pct"/>
                  <w:vMerge w:val="restart"/>
                  <w:vAlign w:val="center"/>
                </w:tcPr>
                <w:p w14:paraId="352325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昆明市生态环境局寻甸分局</w:t>
                  </w:r>
                </w:p>
              </w:tc>
            </w:tr>
            <w:tr w14:paraId="747F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BA3E9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2782" w:type="pct"/>
                  <w:vAlign w:val="center"/>
                </w:tcPr>
                <w:p w14:paraId="49076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施工区实施洒水抑尘、散体材料库内存放、露天存放应采用防尘网遮盖</w:t>
                  </w:r>
                  <w:r>
                    <w:rPr>
                      <w:rFonts w:hint="eastAsia" w:cs="Times New Roman"/>
                      <w:color w:val="auto"/>
                      <w:sz w:val="21"/>
                      <w:szCs w:val="21"/>
                      <w:highlight w:val="none"/>
                      <w:lang w:val="en-US" w:eastAsia="zh-CN"/>
                    </w:rPr>
                    <w:t>。</w:t>
                  </w:r>
                </w:p>
              </w:tc>
              <w:tc>
                <w:tcPr>
                  <w:tcW w:w="721" w:type="pct"/>
                  <w:vMerge w:val="continue"/>
                  <w:vAlign w:val="center"/>
                </w:tcPr>
                <w:p w14:paraId="538BF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15" w:type="pct"/>
                  <w:vMerge w:val="continue"/>
                  <w:vAlign w:val="center"/>
                </w:tcPr>
                <w:p w14:paraId="6849E78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p>
              </w:tc>
            </w:tr>
            <w:tr w14:paraId="4819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3D89FD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水环境</w:t>
                  </w:r>
                </w:p>
              </w:tc>
              <w:tc>
                <w:tcPr>
                  <w:tcW w:w="2782" w:type="pct"/>
                  <w:vAlign w:val="center"/>
                </w:tcPr>
                <w:p w14:paraId="67ABF3D9">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施工期：施工废水</w:t>
                  </w:r>
                  <w:r>
                    <w:rPr>
                      <w:rFonts w:hint="eastAsia"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沉淀池处理后，全部回用于施工</w:t>
                  </w:r>
                  <w:r>
                    <w:rPr>
                      <w:rFonts w:hint="eastAsia" w:ascii="Times New Roman" w:hAnsi="Times New Roman" w:eastAsia="宋体" w:cs="Times New Roman"/>
                      <w:color w:val="auto"/>
                      <w:sz w:val="21"/>
                      <w:szCs w:val="21"/>
                      <w:highlight w:val="none"/>
                      <w:lang w:val="en-US" w:eastAsia="zh-CN"/>
                    </w:rPr>
                    <w:t>工序</w:t>
                  </w:r>
                  <w:r>
                    <w:rPr>
                      <w:rFonts w:hint="default" w:ascii="Times New Roman" w:hAnsi="Times New Roman" w:eastAsia="宋体" w:cs="Times New Roman"/>
                      <w:color w:val="auto"/>
                      <w:sz w:val="21"/>
                      <w:szCs w:val="21"/>
                      <w:highlight w:val="none"/>
                      <w:lang w:val="en-US" w:eastAsia="zh-CN"/>
                    </w:rPr>
                    <w:t>及场地洒水降尘，不外排。</w:t>
                  </w:r>
                  <w:r>
                    <w:rPr>
                      <w:rFonts w:hint="default" w:ascii="Times New Roman" w:hAnsi="Times New Roman"/>
                      <w:snapToGrid/>
                      <w:color w:val="auto"/>
                      <w:kern w:val="2"/>
                      <w:sz w:val="21"/>
                      <w:szCs w:val="21"/>
                      <w:highlight w:val="none"/>
                    </w:rPr>
                    <w:t>应</w:t>
                  </w:r>
                  <w:r>
                    <w:rPr>
                      <w:rFonts w:hint="eastAsia" w:ascii="Times New Roman" w:hAnsi="Times New Roman"/>
                      <w:snapToGrid/>
                      <w:color w:val="auto"/>
                      <w:kern w:val="2"/>
                      <w:sz w:val="21"/>
                      <w:szCs w:val="21"/>
                      <w:highlight w:val="none"/>
                    </w:rPr>
                    <w:t>按照水保要求</w:t>
                  </w:r>
                  <w:r>
                    <w:rPr>
                      <w:rFonts w:hint="default" w:ascii="Times New Roman" w:hAnsi="Times New Roman"/>
                      <w:snapToGrid/>
                      <w:color w:val="auto"/>
                      <w:kern w:val="2"/>
                      <w:sz w:val="21"/>
                      <w:szCs w:val="21"/>
                      <w:highlight w:val="none"/>
                    </w:rPr>
                    <w:t>优先完成</w:t>
                  </w:r>
                  <w:r>
                    <w:rPr>
                      <w:rFonts w:hint="eastAsia" w:ascii="Times New Roman" w:hAnsi="Times New Roman"/>
                      <w:snapToGrid/>
                      <w:color w:val="auto"/>
                      <w:kern w:val="2"/>
                      <w:sz w:val="21"/>
                      <w:szCs w:val="21"/>
                      <w:highlight w:val="none"/>
                    </w:rPr>
                    <w:t>场区内排水沟和沉砂池，雨水径流经沉砂池沉淀处理后，接入周围</w:t>
                  </w:r>
                  <w:r>
                    <w:rPr>
                      <w:rFonts w:hint="eastAsia" w:ascii="Times New Roman" w:hAnsi="Times New Roman"/>
                      <w:snapToGrid/>
                      <w:color w:val="auto"/>
                      <w:kern w:val="2"/>
                      <w:sz w:val="21"/>
                      <w:szCs w:val="21"/>
                      <w:highlight w:val="none"/>
                      <w:lang w:val="en-US" w:eastAsia="zh-CN"/>
                    </w:rPr>
                    <w:t>地表水体</w:t>
                  </w:r>
                  <w:r>
                    <w:rPr>
                      <w:rFonts w:hint="eastAsia" w:ascii="Times New Roman" w:hAnsi="Times New Roman" w:eastAsia="宋体" w:cs="Times New Roman"/>
                      <w:color w:val="auto"/>
                      <w:sz w:val="21"/>
                      <w:szCs w:val="21"/>
                      <w:highlight w:val="none"/>
                      <w:lang w:val="en-US" w:eastAsia="zh-CN"/>
                    </w:rPr>
                    <w:t>。</w:t>
                  </w:r>
                </w:p>
                <w:p w14:paraId="0E5BE396">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运营期：光伏电池板清洗废水用于光伏组件下的绿化用水，不外排</w:t>
                  </w:r>
                  <w:r>
                    <w:rPr>
                      <w:rFonts w:hint="eastAsia" w:cs="Times New Roman"/>
                      <w:color w:val="auto"/>
                      <w:sz w:val="21"/>
                      <w:szCs w:val="21"/>
                      <w:highlight w:val="none"/>
                      <w:lang w:val="en-US" w:eastAsia="zh-CN"/>
                    </w:rPr>
                    <w:t>。</w:t>
                  </w:r>
                </w:p>
              </w:tc>
              <w:tc>
                <w:tcPr>
                  <w:tcW w:w="721" w:type="pct"/>
                  <w:vMerge w:val="continue"/>
                  <w:vAlign w:val="center"/>
                </w:tcPr>
                <w:p w14:paraId="753BC8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15" w:type="pct"/>
                  <w:vMerge w:val="continue"/>
                  <w:vAlign w:val="center"/>
                </w:tcPr>
                <w:p w14:paraId="600AB7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6626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2B4D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生态环境</w:t>
                  </w:r>
                </w:p>
              </w:tc>
              <w:tc>
                <w:tcPr>
                  <w:tcW w:w="2782" w:type="pct"/>
                  <w:vAlign w:val="center"/>
                </w:tcPr>
                <w:p w14:paraId="5713896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严格控制施工活动区域，不破坏征地范围外及对光伏方阵空地不扰动区域的植被，严禁猎杀野生动物，严格执行水土保持措施，施工结束后临建设施要及时进行拆除、清理以及生态恢复。</w:t>
                  </w:r>
                </w:p>
              </w:tc>
              <w:tc>
                <w:tcPr>
                  <w:tcW w:w="721" w:type="pct"/>
                  <w:vMerge w:val="continue"/>
                  <w:vAlign w:val="center"/>
                </w:tcPr>
                <w:p w14:paraId="0BF646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15" w:type="pct"/>
                  <w:vMerge w:val="continue"/>
                  <w:vAlign w:val="center"/>
                </w:tcPr>
                <w:p w14:paraId="59933F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7F3F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786E3C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2782" w:type="pct"/>
                  <w:vAlign w:val="center"/>
                </w:tcPr>
                <w:p w14:paraId="606700F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施工期：合理安排施工时间，严禁夜间施工</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加强施工机械设备的管理和维护。</w:t>
                  </w:r>
                </w:p>
                <w:p w14:paraId="0FED9424">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运营期：选用低噪声设备，箱式变压器、逆变器采取隔声、减震降噪。</w:t>
                  </w:r>
                </w:p>
              </w:tc>
              <w:tc>
                <w:tcPr>
                  <w:tcW w:w="721" w:type="pct"/>
                  <w:vMerge w:val="continue"/>
                  <w:vAlign w:val="center"/>
                </w:tcPr>
                <w:p w14:paraId="6AE41D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15" w:type="pct"/>
                  <w:vMerge w:val="continue"/>
                  <w:vAlign w:val="center"/>
                </w:tcPr>
                <w:p w14:paraId="051834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14:paraId="4E08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vAlign w:val="center"/>
                </w:tcPr>
                <w:p w14:paraId="194061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2782" w:type="pct"/>
                  <w:vAlign w:val="center"/>
                </w:tcPr>
                <w:p w14:paraId="295CE1EE">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施工期：项目产生的土石方全部在场地内回填，不设置弃渣场，禁止乱弃</w:t>
                  </w:r>
                  <w:r>
                    <w:rPr>
                      <w:rFonts w:hint="eastAsia" w:ascii="宋体" w:hAnsi="宋体" w:eastAsia="宋体" w:cs="宋体"/>
                      <w:color w:val="auto"/>
                      <w:sz w:val="21"/>
                      <w:szCs w:val="21"/>
                      <w:highlight w:val="none"/>
                      <w:lang w:val="en-US" w:eastAsia="zh-CN"/>
                    </w:rPr>
                    <w:t>渣；建筑垃圾应分类收集，能利用部分外售收购商进行回收利用，不可回收部分委托资质单位清运至政府部门指定的场所进行处置。禁止乱堆乱倒；生活垃圾实行“日产日清”，能回收利</w:t>
                  </w:r>
                  <w:r>
                    <w:rPr>
                      <w:rFonts w:hint="eastAsia" w:ascii="宋体" w:hAnsi="宋体" w:cs="宋体"/>
                      <w:color w:val="auto"/>
                      <w:sz w:val="21"/>
                      <w:szCs w:val="21"/>
                      <w:highlight w:val="none"/>
                      <w:lang w:val="en-US" w:eastAsia="zh-CN"/>
                    </w:rPr>
                    <w:t>用的</w:t>
                  </w:r>
                  <w:r>
                    <w:rPr>
                      <w:rFonts w:hint="eastAsia" w:ascii="宋体" w:hAnsi="宋体" w:eastAsia="宋体" w:cs="宋体"/>
                      <w:color w:val="auto"/>
                      <w:sz w:val="21"/>
                      <w:szCs w:val="21"/>
                      <w:highlight w:val="none"/>
                      <w:lang w:val="en-US" w:eastAsia="zh-CN"/>
                    </w:rPr>
                    <w:t>部分回收利用，不能回收利用的自行转运至附近村镇垃圾收集点统一处置。</w:t>
                  </w:r>
                </w:p>
                <w:p w14:paraId="19636D0B">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运营期：废电池板、</w:t>
                  </w:r>
                  <w:r>
                    <w:rPr>
                      <w:rFonts w:hint="eastAsia" w:ascii="Times New Roman" w:hAnsi="Times New Roman" w:eastAsia="宋体" w:cs="Times New Roman"/>
                      <w:color w:val="auto"/>
                      <w:sz w:val="21"/>
                      <w:szCs w:val="21"/>
                      <w:highlight w:val="none"/>
                      <w:lang w:val="en-US" w:eastAsia="zh-CN"/>
                    </w:rPr>
                    <w:t>废逆变器</w:t>
                  </w:r>
                  <w:r>
                    <w:rPr>
                      <w:rFonts w:hint="eastAsia" w:cs="Times New Roman"/>
                      <w:color w:val="auto"/>
                      <w:sz w:val="21"/>
                      <w:szCs w:val="21"/>
                      <w:highlight w:val="none"/>
                      <w:lang w:val="en-US" w:eastAsia="zh-CN"/>
                    </w:rPr>
                    <w:t>、废电气元件</w:t>
                  </w:r>
                  <w:r>
                    <w:rPr>
                      <w:rFonts w:hint="default" w:ascii="Times New Roman" w:hAnsi="Times New Roman" w:eastAsia="宋体" w:cs="Times New Roman"/>
                      <w:color w:val="auto"/>
                      <w:sz w:val="21"/>
                      <w:szCs w:val="21"/>
                      <w:highlight w:val="none"/>
                      <w:lang w:val="en-US" w:eastAsia="zh-CN"/>
                    </w:rPr>
                    <w:t>暂存于</w:t>
                  </w:r>
                  <w:r>
                    <w:rPr>
                      <w:rFonts w:hint="default" w:ascii="Times New Roman" w:hAnsi="Times New Roman" w:eastAsia="宋体" w:cs="Times New Roman"/>
                      <w:b w:val="0"/>
                      <w:bCs w:val="0"/>
                      <w:color w:val="auto"/>
                      <w:sz w:val="21"/>
                      <w:szCs w:val="21"/>
                      <w:highlight w:val="none"/>
                      <w:lang w:val="en-US" w:eastAsia="zh-CN"/>
                    </w:rPr>
                    <w:t>竹园沟光伏发电项目</w:t>
                  </w:r>
                  <w:r>
                    <w:rPr>
                      <w:rFonts w:hint="eastAsia" w:ascii="Times New Roman" w:hAnsi="Times New Roman" w:eastAsia="宋体" w:cs="Times New Roman"/>
                      <w:b w:val="0"/>
                      <w:bCs w:val="0"/>
                      <w:color w:val="auto"/>
                      <w:sz w:val="21"/>
                      <w:szCs w:val="21"/>
                      <w:highlight w:val="none"/>
                      <w:lang w:val="en-US" w:eastAsia="zh-CN"/>
                    </w:rPr>
                    <w:t>升压站</w:t>
                  </w:r>
                  <w:r>
                    <w:rPr>
                      <w:rFonts w:hint="default" w:ascii="Times New Roman" w:hAnsi="Times New Roman" w:eastAsia="宋体" w:cs="Times New Roman"/>
                      <w:color w:val="auto"/>
                      <w:sz w:val="21"/>
                      <w:szCs w:val="21"/>
                      <w:highlight w:val="none"/>
                      <w:lang w:val="en-US" w:eastAsia="zh-CN"/>
                    </w:rPr>
                    <w:t>一般固废暂存间，及时委托专业的回收厂家收购回收处理，不得随意堆放处置</w:t>
                  </w:r>
                  <w:r>
                    <w:rPr>
                      <w:rFonts w:hint="eastAsia" w:cs="Times New Roman"/>
                      <w:color w:val="auto"/>
                      <w:sz w:val="21"/>
                      <w:szCs w:val="21"/>
                      <w:highlight w:val="none"/>
                      <w:lang w:val="en-US" w:eastAsia="zh-CN"/>
                    </w:rPr>
                    <w:t>；</w:t>
                  </w:r>
                  <w:r>
                    <w:rPr>
                      <w:rFonts w:hint="default" w:hAnsi="宋体"/>
                      <w:bCs/>
                      <w:color w:val="auto"/>
                      <w:sz w:val="21"/>
                      <w:szCs w:val="21"/>
                      <w:highlight w:val="none"/>
                      <w:shd w:val="clear" w:color="auto" w:fill="auto"/>
                    </w:rPr>
                    <w:t>单次维修产生的废变压器油</w:t>
                  </w:r>
                  <w:r>
                    <w:rPr>
                      <w:rFonts w:hint="eastAsia" w:hAnsi="宋体"/>
                      <w:bCs/>
                      <w:color w:val="auto"/>
                      <w:sz w:val="21"/>
                      <w:szCs w:val="21"/>
                      <w:highlight w:val="none"/>
                      <w:shd w:val="clear" w:color="auto" w:fill="auto"/>
                      <w:lang w:val="en-US" w:eastAsia="zh-CN"/>
                    </w:rPr>
                    <w:t>和</w:t>
                  </w:r>
                  <w:r>
                    <w:rPr>
                      <w:rFonts w:hint="default" w:hAnsi="宋体"/>
                      <w:bCs/>
                      <w:color w:val="auto"/>
                      <w:sz w:val="21"/>
                      <w:szCs w:val="21"/>
                      <w:highlight w:val="none"/>
                      <w:shd w:val="clear" w:color="auto" w:fill="auto"/>
                    </w:rPr>
                    <w:t>事故废油均属危险废物，经集中收集后，暂存于</w:t>
                  </w:r>
                  <w:r>
                    <w:rPr>
                      <w:rFonts w:hint="default" w:ascii="Times New Roman" w:hAnsi="Times New Roman" w:eastAsia="宋体" w:cs="Times New Roman"/>
                      <w:b w:val="0"/>
                      <w:bCs w:val="0"/>
                      <w:color w:val="auto"/>
                      <w:sz w:val="21"/>
                      <w:szCs w:val="21"/>
                      <w:highlight w:val="none"/>
                      <w:lang w:val="en-US" w:eastAsia="zh-CN"/>
                    </w:rPr>
                    <w:t>竹园沟光伏发电项目</w:t>
                  </w:r>
                  <w:r>
                    <w:rPr>
                      <w:rFonts w:hint="eastAsia" w:ascii="Times New Roman" w:hAnsi="Times New Roman" w:eastAsia="宋体" w:cs="Times New Roman"/>
                      <w:b w:val="0"/>
                      <w:bCs w:val="0"/>
                      <w:color w:val="auto"/>
                      <w:sz w:val="21"/>
                      <w:szCs w:val="21"/>
                      <w:highlight w:val="none"/>
                      <w:lang w:val="en-US" w:eastAsia="zh-CN"/>
                    </w:rPr>
                    <w:t>升压站</w:t>
                  </w:r>
                  <w:r>
                    <w:rPr>
                      <w:rFonts w:hint="default" w:hAnsi="宋体"/>
                      <w:bCs/>
                      <w:color w:val="auto"/>
                      <w:sz w:val="21"/>
                      <w:szCs w:val="21"/>
                      <w:highlight w:val="none"/>
                      <w:shd w:val="clear" w:color="auto" w:fill="auto"/>
                    </w:rPr>
                    <w:t>危废</w:t>
                  </w:r>
                  <w:r>
                    <w:rPr>
                      <w:rFonts w:hint="eastAsia" w:hAnsi="宋体"/>
                      <w:bCs/>
                      <w:color w:val="auto"/>
                      <w:sz w:val="21"/>
                      <w:szCs w:val="21"/>
                      <w:highlight w:val="none"/>
                      <w:shd w:val="clear" w:color="auto" w:fill="auto"/>
                      <w:lang w:val="en-US" w:eastAsia="zh-CN"/>
                    </w:rPr>
                    <w:t>贮存库</w:t>
                  </w:r>
                  <w:r>
                    <w:rPr>
                      <w:rFonts w:hint="default" w:hAnsi="宋体"/>
                      <w:bCs/>
                      <w:color w:val="auto"/>
                      <w:sz w:val="21"/>
                      <w:szCs w:val="21"/>
                      <w:highlight w:val="none"/>
                      <w:shd w:val="clear" w:color="auto" w:fill="auto"/>
                    </w:rPr>
                    <w:t>，并委托有资质单位处置</w:t>
                  </w:r>
                  <w:r>
                    <w:rPr>
                      <w:rFonts w:hint="eastAsia" w:hAnsi="宋体"/>
                      <w:bCs/>
                      <w:color w:val="auto"/>
                      <w:sz w:val="21"/>
                      <w:szCs w:val="21"/>
                      <w:highlight w:val="none"/>
                      <w:shd w:val="clear" w:color="auto" w:fill="auto"/>
                      <w:lang w:eastAsia="zh-CN"/>
                    </w:rPr>
                    <w:t>；</w:t>
                  </w:r>
                  <w:r>
                    <w:rPr>
                      <w:rFonts w:hint="default" w:hAnsi="宋体"/>
                      <w:bCs/>
                      <w:color w:val="auto"/>
                      <w:sz w:val="21"/>
                      <w:szCs w:val="21"/>
                      <w:highlight w:val="none"/>
                      <w:shd w:val="clear" w:color="auto" w:fill="auto"/>
                    </w:rPr>
                    <w:t>变压器油不合格需全部更换时产生的废变压器油，委托有资质单位在更换后即时转移处置，不在厂区贮存</w:t>
                  </w:r>
                  <w:r>
                    <w:rPr>
                      <w:rFonts w:hint="default" w:ascii="Times New Roman" w:hAnsi="Times New Roman" w:eastAsia="宋体" w:cs="Times New Roman"/>
                      <w:color w:val="auto"/>
                      <w:sz w:val="21"/>
                      <w:szCs w:val="21"/>
                      <w:highlight w:val="none"/>
                      <w:lang w:val="en-US" w:eastAsia="zh-CN"/>
                    </w:rPr>
                    <w:t>。</w:t>
                  </w:r>
                </w:p>
              </w:tc>
              <w:tc>
                <w:tcPr>
                  <w:tcW w:w="721" w:type="pct"/>
                  <w:vMerge w:val="continue"/>
                  <w:vAlign w:val="center"/>
                </w:tcPr>
                <w:p w14:paraId="585CC4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15" w:type="pct"/>
                  <w:vMerge w:val="continue"/>
                  <w:vAlign w:val="center"/>
                </w:tcPr>
                <w:p w14:paraId="3D686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bl>
          <w:p w14:paraId="1E2D57B5">
            <w:pPr>
              <w:keepNext w:val="0"/>
              <w:keepLines w:val="0"/>
              <w:suppressLineNumbers w:val="0"/>
              <w:adjustRightInd w:val="0"/>
              <w:snapToGrid w:val="0"/>
              <w:spacing w:before="0" w:beforeAutospacing="0" w:after="0" w:afterAutospacing="0" w:line="360" w:lineRule="auto"/>
              <w:ind w:left="0" w:right="0" w:firstLine="522" w:firstLineChars="200"/>
              <w:rPr>
                <w:rFonts w:hint="eastAsia" w:ascii="Times New Roman" w:hAnsi="Times New Roman" w:eastAsia="宋体" w:cs="Times New Roman"/>
                <w:b/>
                <w:color w:val="auto"/>
                <w:spacing w:val="10"/>
                <w:sz w:val="24"/>
                <w:lang w:val="en-US" w:eastAsia="zh-CN"/>
              </w:rPr>
            </w:pPr>
            <w:r>
              <w:rPr>
                <w:rFonts w:hint="eastAsia" w:ascii="Times New Roman" w:hAnsi="Times New Roman" w:eastAsia="宋体" w:cs="Times New Roman"/>
                <w:b/>
                <w:color w:val="auto"/>
                <w:spacing w:val="10"/>
                <w:sz w:val="24"/>
                <w:lang w:val="en-US" w:eastAsia="zh-CN"/>
              </w:rPr>
              <w:t xml:space="preserve">2、施工期环境监理 </w:t>
            </w:r>
          </w:p>
          <w:p w14:paraId="6E0E9FA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val="en-US" w:eastAsia="zh-CN" w:bidi="ar"/>
              </w:rPr>
              <w:t>按照工程建设管理要求，项目业主必须对每个建设工程委托有资质的施工监理机构。施工监理机构必须配备相应的环境监理工程师，主要负责监理方的建筑工程活动及其他相关活动。本项目施工期间环境监理计划详见下表：</w:t>
            </w:r>
          </w:p>
          <w:p w14:paraId="3977EA15">
            <w:pPr>
              <w:keepNext w:val="0"/>
              <w:keepLines w:val="0"/>
              <w:widowControl/>
              <w:suppressLineNumbers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val="en-US" w:eastAsia="zh-CN" w:bidi="ar"/>
              </w:rPr>
              <w:t>表</w:t>
            </w:r>
            <w:r>
              <w:rPr>
                <w:rFonts w:hint="default" w:ascii="Times New Roman" w:hAnsi="Times New Roman" w:eastAsia="宋体" w:cs="Times New Roman"/>
                <w:b/>
                <w:bCs/>
                <w:color w:val="auto"/>
                <w:kern w:val="0"/>
                <w:szCs w:val="21"/>
                <w:lang w:val="en-US" w:eastAsia="zh-CN" w:bidi="ar"/>
              </w:rPr>
              <w:t>5-</w:t>
            </w:r>
            <w:r>
              <w:rPr>
                <w:rFonts w:hint="eastAsia" w:ascii="Times New Roman" w:hAnsi="Times New Roman" w:eastAsia="宋体" w:cs="Times New Roman"/>
                <w:b/>
                <w:bCs/>
                <w:color w:val="auto"/>
                <w:kern w:val="0"/>
                <w:szCs w:val="21"/>
                <w:lang w:val="en-US" w:eastAsia="zh-CN" w:bidi="ar"/>
              </w:rPr>
              <w:t xml:space="preserve">2 </w:t>
            </w:r>
            <w:r>
              <w:rPr>
                <w:rFonts w:hint="default" w:ascii="Times New Roman" w:hAnsi="Times New Roman" w:eastAsia="宋体" w:cs="Times New Roman"/>
                <w:b/>
                <w:bCs/>
                <w:color w:val="auto"/>
                <w:kern w:val="0"/>
                <w:szCs w:val="21"/>
                <w:lang w:val="en-US" w:eastAsia="zh-CN" w:bidi="ar"/>
              </w:rPr>
              <w:t xml:space="preserve"> </w:t>
            </w:r>
            <w:r>
              <w:rPr>
                <w:rFonts w:hint="eastAsia" w:ascii="Times New Roman" w:hAnsi="Times New Roman" w:eastAsia="宋体" w:cs="Times New Roman"/>
                <w:b/>
                <w:bCs/>
                <w:color w:val="auto"/>
                <w:kern w:val="0"/>
                <w:szCs w:val="21"/>
                <w:lang w:val="en-US" w:eastAsia="zh-CN" w:bidi="ar"/>
              </w:rPr>
              <w:t>施工期监理计划一览表</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6345"/>
            </w:tblGrid>
            <w:tr w14:paraId="3EFE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732A70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监理内容</w:t>
                  </w:r>
                </w:p>
              </w:tc>
              <w:tc>
                <w:tcPr>
                  <w:tcW w:w="4276" w:type="pct"/>
                  <w:noWrap w:val="0"/>
                  <w:vAlign w:val="center"/>
                </w:tcPr>
                <w:p w14:paraId="07D756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pacing w:val="0"/>
                      <w:sz w:val="21"/>
                      <w:szCs w:val="21"/>
                      <w:vertAlign w:val="baseline"/>
                      <w:lang w:val="en-US" w:eastAsia="zh-CN"/>
                    </w:rPr>
                  </w:pPr>
                  <w:r>
                    <w:rPr>
                      <w:rFonts w:hint="eastAsia" w:ascii="Times New Roman" w:hAnsi="Times New Roman" w:cs="Times New Roman"/>
                      <w:b/>
                      <w:bCs w:val="0"/>
                      <w:color w:val="auto"/>
                      <w:spacing w:val="0"/>
                      <w:sz w:val="21"/>
                      <w:szCs w:val="21"/>
                      <w:vertAlign w:val="baseline"/>
                      <w:lang w:val="en-US" w:eastAsia="zh-CN"/>
                    </w:rPr>
                    <w:t>监理要求</w:t>
                  </w:r>
                </w:p>
              </w:tc>
            </w:tr>
            <w:tr w14:paraId="35F5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4E81F4D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施工扬尘</w:t>
                  </w:r>
                </w:p>
              </w:tc>
              <w:tc>
                <w:tcPr>
                  <w:tcW w:w="4276" w:type="pct"/>
                  <w:noWrap w:val="0"/>
                  <w:vAlign w:val="center"/>
                </w:tcPr>
                <w:p w14:paraId="33C17603">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施工过程中及时喷水抑尘；表土临时堆存、砂石料临时堆放采用土工布或防尘网遮盖；对易产尘的材料，实行轻卸慢放。</w:t>
                  </w:r>
                </w:p>
              </w:tc>
            </w:tr>
            <w:tr w14:paraId="09B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63D8C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施工废水</w:t>
                  </w:r>
                </w:p>
              </w:tc>
              <w:tc>
                <w:tcPr>
                  <w:tcW w:w="4276" w:type="pct"/>
                  <w:noWrap w:val="0"/>
                  <w:vAlign w:val="center"/>
                </w:tcPr>
                <w:p w14:paraId="24FC59E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施工期生产废水由施工机械的冲洗产生，经过临时沉淀池沉淀处理后回用，不外排；</w:t>
                  </w:r>
                  <w:r>
                    <w:rPr>
                      <w:rFonts w:hint="default" w:ascii="Times New Roman" w:hAnsi="Times New Roman" w:eastAsia="宋体" w:cs="Times New Roman"/>
                      <w:b w:val="0"/>
                      <w:bCs/>
                      <w:color w:val="auto"/>
                      <w:spacing w:val="0"/>
                      <w:sz w:val="21"/>
                      <w:szCs w:val="21"/>
                      <w:vertAlign w:val="baseline"/>
                      <w:lang w:val="en-US" w:eastAsia="zh-CN"/>
                    </w:rPr>
                    <w:t>施工期间应按照水保要求优先完成区内排水沟和沉砂池，为排出场内汇水，光伏方阵区上游应修建排水沟；临时施工场地四周布置临时排水沟，末端设置临时沉砂池；雨水径流经沉砂池沉淀处理后，接入周围地表水体</w:t>
                  </w:r>
                  <w:r>
                    <w:rPr>
                      <w:rFonts w:hint="eastAsia" w:ascii="Times New Roman" w:hAnsi="Times New Roman" w:eastAsia="宋体" w:cs="Times New Roman"/>
                      <w:b w:val="0"/>
                      <w:bCs/>
                      <w:color w:val="auto"/>
                      <w:spacing w:val="0"/>
                      <w:sz w:val="21"/>
                      <w:szCs w:val="21"/>
                      <w:vertAlign w:val="baseline"/>
                      <w:lang w:val="en-US" w:eastAsia="zh-CN"/>
                    </w:rPr>
                    <w:t>。</w:t>
                  </w:r>
                </w:p>
              </w:tc>
            </w:tr>
            <w:tr w14:paraId="57CF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20DEF6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施工噪声</w:t>
                  </w:r>
                </w:p>
              </w:tc>
              <w:tc>
                <w:tcPr>
                  <w:tcW w:w="4276" w:type="pct"/>
                  <w:noWrap w:val="0"/>
                  <w:vAlign w:val="center"/>
                </w:tcPr>
                <w:p w14:paraId="04A0379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使用的主要机械设备为低噪声机械设备，同时施工场地布设远离敏感点，在施工过程中施工单位应设专人对设备进行定期保养和维护，并负责对现场工作人员进行培训，严格按操作规范使用各类机械，合理安排施工时间，禁止夜间施工。</w:t>
                  </w:r>
                </w:p>
              </w:tc>
            </w:tr>
            <w:tr w14:paraId="6D2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0BF240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施工期固废</w:t>
                  </w:r>
                </w:p>
              </w:tc>
              <w:tc>
                <w:tcPr>
                  <w:tcW w:w="4276" w:type="pct"/>
                  <w:noWrap w:val="0"/>
                  <w:vAlign w:val="center"/>
                </w:tcPr>
                <w:p w14:paraId="7E8E853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施工期间产生的废钢筋、废铁丝和各种废钢配件等收集后回收利用，废混凝土、废砖块等不可回收利用的建筑垃圾等均为无机物，</w:t>
                  </w:r>
                  <w:r>
                    <w:rPr>
                      <w:rFonts w:hint="default" w:ascii="Times New Roman" w:hAnsi="Times New Roman" w:cs="Times New Roman"/>
                      <w:bCs/>
                      <w:color w:val="auto"/>
                      <w:spacing w:val="0"/>
                      <w:sz w:val="21"/>
                      <w:szCs w:val="21"/>
                    </w:rPr>
                    <w:t>应由建设单位运送到当地政府指定的建筑垃圾处理点进行处理</w:t>
                  </w:r>
                  <w:r>
                    <w:rPr>
                      <w:rFonts w:hint="eastAsia" w:ascii="Times New Roman" w:hAnsi="Times New Roman" w:cs="Times New Roman"/>
                      <w:b w:val="0"/>
                      <w:bCs/>
                      <w:color w:val="auto"/>
                      <w:spacing w:val="0"/>
                      <w:sz w:val="21"/>
                      <w:szCs w:val="21"/>
                      <w:vertAlign w:val="baseline"/>
                      <w:lang w:val="en-US" w:eastAsia="zh-CN"/>
                    </w:rPr>
                    <w:t>。</w:t>
                  </w:r>
                </w:p>
              </w:tc>
            </w:tr>
            <w:tr w14:paraId="09EB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pct"/>
                  <w:noWrap w:val="0"/>
                  <w:vAlign w:val="center"/>
                </w:tcPr>
                <w:p w14:paraId="624F166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施工期生态保护</w:t>
                  </w:r>
                </w:p>
              </w:tc>
              <w:tc>
                <w:tcPr>
                  <w:tcW w:w="4276" w:type="pct"/>
                  <w:noWrap w:val="0"/>
                  <w:vAlign w:val="center"/>
                </w:tcPr>
                <w:p w14:paraId="75C6C6E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施工期的表土防护、植被恢复、多余土方的处置、水土保持等保护措施均得到落实，未对陆生生态、水源涵养产生明显影响。</w:t>
                  </w:r>
                </w:p>
              </w:tc>
            </w:tr>
          </w:tbl>
          <w:p w14:paraId="6D156C37">
            <w:pPr>
              <w:keepNext w:val="0"/>
              <w:keepLines w:val="0"/>
              <w:suppressLineNumbers w:val="0"/>
              <w:spacing w:before="0" w:beforeAutospacing="0" w:after="0" w:afterAutospacing="0" w:line="360" w:lineRule="auto"/>
              <w:ind w:left="0" w:right="0" w:firstLine="482" w:firstLineChars="200"/>
              <w:rPr>
                <w:rStyle w:val="105"/>
                <w:rFonts w:hint="eastAsia"/>
                <w:b/>
                <w:color w:val="auto"/>
                <w:sz w:val="24"/>
                <w:highlight w:val="none"/>
                <w:lang w:val="en-US" w:eastAsia="zh-CN"/>
              </w:rPr>
            </w:pPr>
          </w:p>
          <w:p w14:paraId="277FB9D5">
            <w:pPr>
              <w:keepNext w:val="0"/>
              <w:keepLines w:val="0"/>
              <w:suppressLineNumbers w:val="0"/>
              <w:spacing w:before="0" w:beforeAutospacing="0" w:after="0" w:afterAutospacing="0" w:line="360" w:lineRule="auto"/>
              <w:ind w:left="0" w:right="0" w:firstLine="482" w:firstLineChars="200"/>
              <w:rPr>
                <w:rStyle w:val="105"/>
                <w:rFonts w:hint="default"/>
                <w:color w:val="auto"/>
                <w:sz w:val="24"/>
                <w:highlight w:val="none"/>
              </w:rPr>
            </w:pPr>
            <w:r>
              <w:rPr>
                <w:rStyle w:val="105"/>
                <w:rFonts w:hint="eastAsia"/>
                <w:b/>
                <w:color w:val="auto"/>
                <w:sz w:val="24"/>
                <w:highlight w:val="none"/>
                <w:lang w:val="en-US" w:eastAsia="zh-CN"/>
              </w:rPr>
              <w:t>3</w:t>
            </w:r>
            <w:r>
              <w:rPr>
                <w:rStyle w:val="105"/>
                <w:rFonts w:hint="eastAsia"/>
                <w:b/>
                <w:color w:val="auto"/>
                <w:sz w:val="24"/>
                <w:highlight w:val="none"/>
              </w:rPr>
              <w:t>、环境监测</w:t>
            </w:r>
          </w:p>
          <w:p w14:paraId="14DCD84B">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结合项目区环境现状、项目污染特点，本项目运行期环境监测重点是噪声，</w:t>
            </w:r>
            <w:r>
              <w:rPr>
                <w:rFonts w:hint="default" w:ascii="Times New Roman" w:hAnsi="Times New Roman" w:cs="Times New Roman"/>
                <w:color w:val="auto"/>
                <w:sz w:val="24"/>
                <w:highlight w:val="none"/>
              </w:rPr>
              <w:t>因本项目所属行业暂未发布污染防治可行技术指南和排污许可申请与核发技术规范，项目的环境监测计划拟参照《排污单位自行监测技术指南 总则》（HJ819-2017）、《环境影响评价技术导则 生态影响》（HJ19-2022）及其他环境要素导则</w:t>
            </w:r>
            <w:r>
              <w:rPr>
                <w:rFonts w:hint="default" w:ascii="Times New Roman" w:hAnsi="Times New Roman" w:cs="Times New Roman"/>
                <w:color w:val="auto"/>
                <w:kern w:val="0"/>
                <w:sz w:val="24"/>
                <w:highlight w:val="none"/>
                <w:lang w:bidi="ar"/>
              </w:rPr>
              <w:t>制定监测计划，其监测时段见表5-</w:t>
            </w:r>
            <w:r>
              <w:rPr>
                <w:rFonts w:hint="default" w:ascii="Times New Roman" w:hAnsi="Times New Roman" w:cs="Times New Roman"/>
                <w:color w:val="auto"/>
                <w:kern w:val="0"/>
                <w:sz w:val="24"/>
                <w:highlight w:val="none"/>
                <w:lang w:val="en-US" w:eastAsia="zh-CN" w:bidi="ar"/>
              </w:rPr>
              <w:t>2</w:t>
            </w:r>
            <w:r>
              <w:rPr>
                <w:rFonts w:hint="default" w:ascii="Times New Roman" w:hAnsi="Times New Roman" w:cs="Times New Roman"/>
                <w:color w:val="auto"/>
                <w:kern w:val="0"/>
                <w:sz w:val="24"/>
                <w:highlight w:val="none"/>
                <w:lang w:bidi="ar"/>
              </w:rPr>
              <w:t>：</w:t>
            </w:r>
          </w:p>
          <w:p w14:paraId="1876358C">
            <w:pPr>
              <w:keepNext w:val="0"/>
              <w:keepLines w:val="0"/>
              <w:suppressLineNumbers w:val="0"/>
              <w:spacing w:before="0" w:beforeAutospacing="0" w:after="0" w:afterAutospacing="0"/>
              <w:ind w:left="0" w:right="0" w:firstLine="600"/>
              <w:jc w:val="center"/>
              <w:rPr>
                <w:rFonts w:hint="default"/>
                <w:b/>
                <w:bCs/>
                <w:color w:val="auto"/>
                <w:szCs w:val="21"/>
                <w:highlight w:val="none"/>
              </w:rPr>
            </w:pPr>
            <w:r>
              <w:rPr>
                <w:rFonts w:hint="default"/>
                <w:b/>
                <w:bCs/>
                <w:color w:val="auto"/>
                <w:szCs w:val="21"/>
                <w:highlight w:val="none"/>
              </w:rPr>
              <w:t>表5-</w:t>
            </w:r>
            <w:r>
              <w:rPr>
                <w:rFonts w:hint="eastAsia"/>
                <w:b/>
                <w:bCs/>
                <w:color w:val="auto"/>
                <w:szCs w:val="21"/>
                <w:highlight w:val="none"/>
                <w:lang w:val="en-US" w:eastAsia="zh-CN"/>
              </w:rPr>
              <w:t>2</w:t>
            </w:r>
            <w:r>
              <w:rPr>
                <w:rFonts w:hint="default"/>
                <w:b/>
                <w:bCs/>
                <w:color w:val="auto"/>
                <w:szCs w:val="21"/>
                <w:highlight w:val="none"/>
              </w:rPr>
              <w:t xml:space="preserve"> </w:t>
            </w:r>
            <w:r>
              <w:rPr>
                <w:rFonts w:hint="eastAsia"/>
                <w:b/>
                <w:bCs/>
                <w:color w:val="auto"/>
                <w:szCs w:val="21"/>
                <w:highlight w:val="none"/>
              </w:rPr>
              <w:t xml:space="preserve"> </w:t>
            </w:r>
            <w:r>
              <w:rPr>
                <w:rFonts w:hint="eastAsia"/>
                <w:b/>
                <w:bCs/>
                <w:color w:val="auto"/>
                <w:szCs w:val="21"/>
                <w:highlight w:val="none"/>
                <w:lang w:val="en-US" w:eastAsia="zh-CN"/>
              </w:rPr>
              <w:t>项目运营期</w:t>
            </w:r>
            <w:r>
              <w:rPr>
                <w:rFonts w:hint="default"/>
                <w:b/>
                <w:bCs/>
                <w:color w:val="auto"/>
                <w:szCs w:val="21"/>
                <w:highlight w:val="none"/>
              </w:rPr>
              <w:t>环境监测计划表</w:t>
            </w:r>
          </w:p>
          <w:tbl>
            <w:tblPr>
              <w:tblStyle w:val="41"/>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530"/>
              <w:gridCol w:w="2657"/>
              <w:gridCol w:w="1268"/>
              <w:gridCol w:w="2086"/>
              <w:gridCol w:w="879"/>
            </w:tblGrid>
            <w:tr w14:paraId="660EE3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047D431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项目</w:t>
                  </w:r>
                </w:p>
              </w:tc>
              <w:tc>
                <w:tcPr>
                  <w:tcW w:w="1790" w:type="pct"/>
                  <w:vAlign w:val="center"/>
                </w:tcPr>
                <w:p w14:paraId="33388D0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854" w:type="pct"/>
                  <w:vAlign w:val="center"/>
                </w:tcPr>
                <w:p w14:paraId="47B0B5C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监测因子</w:t>
                  </w:r>
                </w:p>
              </w:tc>
              <w:tc>
                <w:tcPr>
                  <w:tcW w:w="1405" w:type="pct"/>
                  <w:vAlign w:val="center"/>
                </w:tcPr>
                <w:p w14:paraId="4C7890F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监测频率</w:t>
                  </w:r>
                </w:p>
              </w:tc>
              <w:tc>
                <w:tcPr>
                  <w:tcW w:w="592" w:type="pct"/>
                  <w:vAlign w:val="center"/>
                </w:tcPr>
                <w:p w14:paraId="0115C8B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监测方法</w:t>
                  </w:r>
                </w:p>
              </w:tc>
            </w:tr>
            <w:tr w14:paraId="5E6C6A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357" w:type="pct"/>
                  <w:vAlign w:val="center"/>
                </w:tcPr>
                <w:p w14:paraId="64AAC9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噪声</w:t>
                  </w:r>
                </w:p>
              </w:tc>
              <w:tc>
                <w:tcPr>
                  <w:tcW w:w="1790" w:type="pct"/>
                  <w:vAlign w:val="center"/>
                </w:tcPr>
                <w:p w14:paraId="44C0051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北片区</w:t>
                  </w:r>
                  <w:r>
                    <w:rPr>
                      <w:rFonts w:hint="default"/>
                      <w:color w:val="auto"/>
                      <w:szCs w:val="21"/>
                      <w:highlight w:val="none"/>
                    </w:rPr>
                    <w:t>东、南、西、北厂界</w:t>
                  </w:r>
                  <w:r>
                    <w:rPr>
                      <w:rFonts w:hint="eastAsia" w:ascii="宋体" w:hAnsi="宋体" w:cs="宋体"/>
                      <w:color w:val="auto"/>
                      <w:kern w:val="0"/>
                      <w:szCs w:val="21"/>
                      <w:highlight w:val="none"/>
                      <w:lang w:bidi="ar"/>
                    </w:rPr>
                    <w:t>外</w:t>
                  </w:r>
                  <w:r>
                    <w:rPr>
                      <w:rFonts w:hint="default"/>
                      <w:color w:val="auto"/>
                      <w:kern w:val="0"/>
                      <w:szCs w:val="21"/>
                      <w:highlight w:val="none"/>
                      <w:lang w:bidi="ar"/>
                    </w:rPr>
                    <w:t>1m</w:t>
                  </w:r>
                  <w:r>
                    <w:rPr>
                      <w:rFonts w:hint="eastAsia" w:ascii="宋体" w:hAnsi="宋体" w:cs="宋体"/>
                      <w:color w:val="auto"/>
                      <w:kern w:val="0"/>
                      <w:szCs w:val="21"/>
                      <w:highlight w:val="none"/>
                      <w:lang w:bidi="ar"/>
                    </w:rPr>
                    <w:t>各设</w:t>
                  </w:r>
                  <w:r>
                    <w:rPr>
                      <w:rFonts w:hint="default"/>
                      <w:color w:val="auto"/>
                      <w:kern w:val="0"/>
                      <w:szCs w:val="21"/>
                      <w:highlight w:val="none"/>
                      <w:lang w:bidi="ar"/>
                    </w:rPr>
                    <w:t>1</w:t>
                  </w:r>
                  <w:r>
                    <w:rPr>
                      <w:rFonts w:hint="eastAsia" w:ascii="宋体" w:hAnsi="宋体" w:cs="宋体"/>
                      <w:color w:val="auto"/>
                      <w:kern w:val="0"/>
                      <w:szCs w:val="21"/>
                      <w:highlight w:val="none"/>
                      <w:lang w:bidi="ar"/>
                    </w:rPr>
                    <w:t>个监测点位</w:t>
                  </w:r>
                  <w:r>
                    <w:rPr>
                      <w:rFonts w:hint="eastAsia" w:ascii="宋体" w:hAnsi="宋体" w:cs="宋体"/>
                      <w:color w:val="auto"/>
                      <w:kern w:val="0"/>
                      <w:szCs w:val="21"/>
                      <w:highlight w:val="none"/>
                      <w:lang w:eastAsia="zh-CN" w:bidi="ar"/>
                    </w:rPr>
                    <w:t>；</w:t>
                  </w:r>
                  <w:r>
                    <w:rPr>
                      <w:rFonts w:hint="eastAsia"/>
                      <w:color w:val="auto"/>
                      <w:szCs w:val="21"/>
                      <w:highlight w:val="none"/>
                      <w:lang w:val="en-US" w:eastAsia="zh-CN"/>
                    </w:rPr>
                    <w:t>西南片区</w:t>
                  </w:r>
                  <w:r>
                    <w:rPr>
                      <w:rFonts w:hint="default"/>
                      <w:color w:val="auto"/>
                      <w:szCs w:val="21"/>
                      <w:highlight w:val="none"/>
                    </w:rPr>
                    <w:t>东、南、西、北厂界</w:t>
                  </w:r>
                  <w:r>
                    <w:rPr>
                      <w:rFonts w:hint="eastAsia" w:ascii="宋体" w:hAnsi="宋体" w:cs="宋体"/>
                      <w:color w:val="auto"/>
                      <w:kern w:val="0"/>
                      <w:szCs w:val="21"/>
                      <w:highlight w:val="none"/>
                      <w:lang w:bidi="ar"/>
                    </w:rPr>
                    <w:t>外</w:t>
                  </w:r>
                  <w:r>
                    <w:rPr>
                      <w:rFonts w:hint="default"/>
                      <w:color w:val="auto"/>
                      <w:kern w:val="0"/>
                      <w:szCs w:val="21"/>
                      <w:highlight w:val="none"/>
                      <w:lang w:bidi="ar"/>
                    </w:rPr>
                    <w:t>1m</w:t>
                  </w:r>
                  <w:r>
                    <w:rPr>
                      <w:rFonts w:hint="eastAsia" w:ascii="宋体" w:hAnsi="宋体" w:cs="宋体"/>
                      <w:color w:val="auto"/>
                      <w:kern w:val="0"/>
                      <w:szCs w:val="21"/>
                      <w:highlight w:val="none"/>
                      <w:lang w:bidi="ar"/>
                    </w:rPr>
                    <w:t>各设</w:t>
                  </w:r>
                  <w:r>
                    <w:rPr>
                      <w:rFonts w:hint="default"/>
                      <w:color w:val="auto"/>
                      <w:kern w:val="0"/>
                      <w:szCs w:val="21"/>
                      <w:highlight w:val="none"/>
                      <w:lang w:bidi="ar"/>
                    </w:rPr>
                    <w:t>1</w:t>
                  </w:r>
                  <w:r>
                    <w:rPr>
                      <w:rFonts w:hint="eastAsia" w:ascii="宋体" w:hAnsi="宋体" w:cs="宋体"/>
                      <w:color w:val="auto"/>
                      <w:kern w:val="0"/>
                      <w:szCs w:val="21"/>
                      <w:highlight w:val="none"/>
                      <w:lang w:bidi="ar"/>
                    </w:rPr>
                    <w:t>个监测点位</w:t>
                  </w:r>
                  <w:r>
                    <w:rPr>
                      <w:rFonts w:hint="eastAsia" w:ascii="宋体" w:hAnsi="宋体" w:cs="宋体"/>
                      <w:color w:val="auto"/>
                      <w:kern w:val="0"/>
                      <w:szCs w:val="21"/>
                      <w:highlight w:val="none"/>
                      <w:lang w:eastAsia="zh-CN" w:bidi="ar"/>
                    </w:rPr>
                    <w:t>；东</w:t>
                  </w:r>
                  <w:r>
                    <w:rPr>
                      <w:rFonts w:hint="eastAsia"/>
                      <w:color w:val="auto"/>
                      <w:szCs w:val="21"/>
                      <w:highlight w:val="none"/>
                      <w:lang w:val="en-US" w:eastAsia="zh-CN"/>
                    </w:rPr>
                    <w:t>南片区</w:t>
                  </w:r>
                  <w:r>
                    <w:rPr>
                      <w:rFonts w:hint="default"/>
                      <w:color w:val="auto"/>
                      <w:szCs w:val="21"/>
                      <w:highlight w:val="none"/>
                    </w:rPr>
                    <w:t>东、南、西、北厂界</w:t>
                  </w:r>
                  <w:r>
                    <w:rPr>
                      <w:rFonts w:hint="eastAsia" w:ascii="宋体" w:hAnsi="宋体" w:cs="宋体"/>
                      <w:color w:val="auto"/>
                      <w:kern w:val="0"/>
                      <w:szCs w:val="21"/>
                      <w:highlight w:val="none"/>
                      <w:lang w:bidi="ar"/>
                    </w:rPr>
                    <w:t>外</w:t>
                  </w:r>
                  <w:r>
                    <w:rPr>
                      <w:rFonts w:hint="default"/>
                      <w:color w:val="auto"/>
                      <w:kern w:val="0"/>
                      <w:szCs w:val="21"/>
                      <w:highlight w:val="none"/>
                      <w:lang w:bidi="ar"/>
                    </w:rPr>
                    <w:t>1m</w:t>
                  </w:r>
                  <w:r>
                    <w:rPr>
                      <w:rFonts w:hint="eastAsia" w:ascii="宋体" w:hAnsi="宋体" w:cs="宋体"/>
                      <w:color w:val="auto"/>
                      <w:kern w:val="0"/>
                      <w:szCs w:val="21"/>
                      <w:highlight w:val="none"/>
                      <w:lang w:bidi="ar"/>
                    </w:rPr>
                    <w:t>各设</w:t>
                  </w:r>
                  <w:r>
                    <w:rPr>
                      <w:rFonts w:hint="default"/>
                      <w:color w:val="auto"/>
                      <w:kern w:val="0"/>
                      <w:szCs w:val="21"/>
                      <w:highlight w:val="none"/>
                      <w:lang w:bidi="ar"/>
                    </w:rPr>
                    <w:t>1</w:t>
                  </w:r>
                  <w:r>
                    <w:rPr>
                      <w:rFonts w:hint="eastAsia" w:ascii="宋体" w:hAnsi="宋体" w:cs="宋体"/>
                      <w:color w:val="auto"/>
                      <w:kern w:val="0"/>
                      <w:szCs w:val="21"/>
                      <w:highlight w:val="none"/>
                      <w:lang w:bidi="ar"/>
                    </w:rPr>
                    <w:t>个监测点位</w:t>
                  </w:r>
                </w:p>
              </w:tc>
              <w:tc>
                <w:tcPr>
                  <w:tcW w:w="854" w:type="pct"/>
                  <w:vAlign w:val="center"/>
                </w:tcPr>
                <w:p w14:paraId="485CFD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Leq</w:t>
                  </w:r>
                </w:p>
              </w:tc>
              <w:tc>
                <w:tcPr>
                  <w:tcW w:w="1405" w:type="pct"/>
                  <w:vAlign w:val="center"/>
                </w:tcPr>
                <w:p w14:paraId="39A4A0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Cs w:val="21"/>
                      <w:highlight w:val="none"/>
                      <w:lang w:bidi="ar"/>
                    </w:rPr>
                    <w:t>环保竣工验收时监测一次</w:t>
                  </w:r>
                  <w:r>
                    <w:rPr>
                      <w:rFonts w:hint="default" w:ascii="Times New Roman" w:hAnsi="Times New Roman" w:cs="Times New Roman"/>
                      <w:color w:val="auto"/>
                      <w:kern w:val="0"/>
                      <w:szCs w:val="21"/>
                      <w:highlight w:val="none"/>
                      <w:lang w:eastAsia="zh-CN" w:bidi="ar"/>
                    </w:rPr>
                    <w:t>；</w:t>
                  </w:r>
                  <w:r>
                    <w:rPr>
                      <w:rFonts w:hint="default" w:ascii="Times New Roman" w:hAnsi="Times New Roman" w:cs="Times New Roman"/>
                      <w:color w:val="auto"/>
                      <w:kern w:val="0"/>
                      <w:szCs w:val="21"/>
                      <w:highlight w:val="none"/>
                      <w:lang w:bidi="ar"/>
                    </w:rPr>
                    <w:t>运营期1次/</w:t>
                  </w:r>
                  <w:r>
                    <w:rPr>
                      <w:rFonts w:hint="default" w:ascii="Times New Roman" w:hAnsi="Times New Roman" w:cs="Times New Roman"/>
                      <w:color w:val="auto"/>
                      <w:kern w:val="0"/>
                      <w:szCs w:val="21"/>
                      <w:highlight w:val="none"/>
                      <w:lang w:val="en-US" w:eastAsia="zh-CN" w:bidi="ar"/>
                    </w:rPr>
                    <w:t>季度</w:t>
                  </w:r>
                </w:p>
              </w:tc>
              <w:tc>
                <w:tcPr>
                  <w:tcW w:w="592" w:type="pct"/>
                  <w:vAlign w:val="center"/>
                </w:tcPr>
                <w:p w14:paraId="71E851B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val="en-US" w:eastAsia="zh-CN"/>
                    </w:rPr>
                    <w:t>按国家标准进行监测</w:t>
                  </w:r>
                </w:p>
              </w:tc>
            </w:tr>
            <w:tr w14:paraId="3E8669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jc w:val="center"/>
              </w:trPr>
              <w:tc>
                <w:tcPr>
                  <w:tcW w:w="530" w:type="dxa"/>
                  <w:vAlign w:val="center"/>
                </w:tcPr>
                <w:p w14:paraId="05A562C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eastAsia" w:cs="Times New Roman"/>
                      <w:color w:val="auto"/>
                      <w:szCs w:val="21"/>
                      <w:lang w:val="en-US" w:eastAsia="zh-CN"/>
                    </w:rPr>
                    <w:t>生态</w:t>
                  </w:r>
                </w:p>
              </w:tc>
              <w:tc>
                <w:tcPr>
                  <w:tcW w:w="2657" w:type="dxa"/>
                  <w:vAlign w:val="center"/>
                </w:tcPr>
                <w:p w14:paraId="4AFA06D4">
                  <w:pPr>
                    <w:keepNext w:val="0"/>
                    <w:keepLines w:val="0"/>
                    <w:widowControl/>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ascii="宋体" w:hAnsi="宋体" w:eastAsia="宋体" w:cs="宋体"/>
                      <w:color w:val="auto"/>
                      <w:kern w:val="0"/>
                      <w:sz w:val="20"/>
                      <w:szCs w:val="20"/>
                      <w:lang w:val="en-US" w:eastAsia="zh-CN" w:bidi="ar"/>
                    </w:rPr>
                    <w:t>植物恢复区域</w:t>
                  </w:r>
                </w:p>
              </w:tc>
              <w:tc>
                <w:tcPr>
                  <w:tcW w:w="1268" w:type="dxa"/>
                  <w:vAlign w:val="center"/>
                </w:tcPr>
                <w:p w14:paraId="55063B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eastAsia"/>
                      <w:color w:val="auto"/>
                      <w:kern w:val="2"/>
                      <w:sz w:val="21"/>
                      <w:szCs w:val="21"/>
                      <w:lang w:val="en-US" w:eastAsia="zh-CN"/>
                    </w:rPr>
                    <w:t>生物群落、植被覆盖度等</w:t>
                  </w:r>
                </w:p>
              </w:tc>
              <w:tc>
                <w:tcPr>
                  <w:tcW w:w="2086" w:type="dxa"/>
                  <w:vAlign w:val="center"/>
                </w:tcPr>
                <w:p w14:paraId="2DEE0A61">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lang w:bidi="ar"/>
                    </w:rPr>
                    <w:t>环保竣工验收时监测一次</w:t>
                  </w:r>
                </w:p>
              </w:tc>
              <w:tc>
                <w:tcPr>
                  <w:tcW w:w="879" w:type="dxa"/>
                  <w:vAlign w:val="center"/>
                </w:tcPr>
                <w:p w14:paraId="66B42C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lang w:val="en-US" w:eastAsia="zh-CN"/>
                    </w:rPr>
                    <w:t>—</w:t>
                  </w:r>
                </w:p>
              </w:tc>
            </w:tr>
          </w:tbl>
          <w:p w14:paraId="29E515B5">
            <w:pPr>
              <w:keepNext w:val="0"/>
              <w:keepLines w:val="0"/>
              <w:widowControl/>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3、</w:t>
            </w:r>
            <w:r>
              <w:rPr>
                <w:rFonts w:hint="default"/>
                <w:b/>
                <w:bCs/>
                <w:color w:val="auto"/>
                <w:sz w:val="24"/>
                <w:highlight w:val="none"/>
              </w:rPr>
              <w:t>建设项目竣</w:t>
            </w:r>
            <w:r>
              <w:rPr>
                <w:rFonts w:hint="eastAsia"/>
                <w:b/>
                <w:bCs/>
                <w:color w:val="auto"/>
                <w:sz w:val="24"/>
                <w:highlight w:val="none"/>
              </w:rPr>
              <w:t>工“环境保护验收</w:t>
            </w:r>
            <w:r>
              <w:rPr>
                <w:rFonts w:hint="eastAsia"/>
                <w:b/>
                <w:bCs/>
                <w:color w:val="auto"/>
                <w:sz w:val="24"/>
                <w:highlight w:val="none"/>
                <w:lang w:eastAsia="zh-CN"/>
              </w:rPr>
              <w:t>一览表</w:t>
            </w:r>
            <w:r>
              <w:rPr>
                <w:rFonts w:hint="eastAsia"/>
                <w:b/>
                <w:bCs/>
                <w:color w:val="auto"/>
                <w:sz w:val="24"/>
                <w:highlight w:val="none"/>
              </w:rPr>
              <w:t>”</w:t>
            </w:r>
          </w:p>
          <w:p w14:paraId="55468912">
            <w:pPr>
              <w:keepNext w:val="0"/>
              <w:keepLines w:val="0"/>
              <w:widowControl/>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项目建成后，建设单位应按照《建设项目竣工环境保护验收暂行办法》（国环规环评〔</w:t>
            </w:r>
            <w:r>
              <w:rPr>
                <w:rFonts w:hint="default"/>
                <w:color w:val="auto"/>
                <w:sz w:val="24"/>
                <w:highlight w:val="none"/>
              </w:rPr>
              <w:t>2017</w:t>
            </w:r>
            <w:r>
              <w:rPr>
                <w:rFonts w:hint="eastAsia"/>
                <w:color w:val="auto"/>
                <w:sz w:val="24"/>
                <w:highlight w:val="none"/>
              </w:rPr>
              <w:t>〕</w:t>
            </w:r>
            <w:r>
              <w:rPr>
                <w:rFonts w:hint="default"/>
                <w:color w:val="auto"/>
                <w:sz w:val="24"/>
                <w:highlight w:val="none"/>
              </w:rPr>
              <w:t>4</w:t>
            </w:r>
            <w:r>
              <w:rPr>
                <w:rFonts w:hint="eastAsia"/>
                <w:color w:val="auto"/>
                <w:sz w:val="24"/>
                <w:highlight w:val="none"/>
              </w:rPr>
              <w:t>号）、《建设项目环境保护管理条例》（</w:t>
            </w:r>
            <w:r>
              <w:rPr>
                <w:rFonts w:hint="default"/>
                <w:color w:val="auto"/>
                <w:sz w:val="24"/>
                <w:highlight w:val="none"/>
              </w:rPr>
              <w:t>2017</w:t>
            </w:r>
            <w:r>
              <w:rPr>
                <w:rFonts w:hint="eastAsia"/>
                <w:color w:val="auto"/>
                <w:sz w:val="24"/>
                <w:highlight w:val="none"/>
              </w:rPr>
              <w:t>年</w:t>
            </w:r>
            <w:r>
              <w:rPr>
                <w:rFonts w:hint="default"/>
                <w:color w:val="auto"/>
                <w:sz w:val="24"/>
                <w:highlight w:val="none"/>
              </w:rPr>
              <w:t>10</w:t>
            </w:r>
            <w:r>
              <w:rPr>
                <w:rFonts w:hint="eastAsia"/>
                <w:color w:val="auto"/>
                <w:sz w:val="24"/>
                <w:highlight w:val="none"/>
              </w:rPr>
              <w:t>月</w:t>
            </w:r>
            <w:r>
              <w:rPr>
                <w:rFonts w:hint="default"/>
                <w:color w:val="auto"/>
                <w:sz w:val="24"/>
                <w:highlight w:val="none"/>
              </w:rPr>
              <w:t>1</w:t>
            </w:r>
            <w:r>
              <w:rPr>
                <w:rFonts w:hint="eastAsia"/>
                <w:color w:val="auto"/>
                <w:sz w:val="24"/>
                <w:highlight w:val="none"/>
              </w:rPr>
              <w:t>日）等相关要求，及时组织开展本项目竣工环境保护自主验收工作。本项目竣工环保验收主要内容见表</w:t>
            </w:r>
            <w:r>
              <w:rPr>
                <w:rFonts w:hint="eastAsia"/>
                <w:color w:val="auto"/>
                <w:sz w:val="24"/>
                <w:highlight w:val="none"/>
                <w:lang w:val="en-US" w:eastAsia="zh-CN"/>
              </w:rPr>
              <w:t>5</w:t>
            </w:r>
            <w:r>
              <w:rPr>
                <w:rFonts w:hint="default"/>
                <w:color w:val="auto"/>
                <w:sz w:val="24"/>
                <w:highlight w:val="none"/>
              </w:rPr>
              <w:t>-</w:t>
            </w:r>
            <w:r>
              <w:rPr>
                <w:rFonts w:hint="eastAsia"/>
                <w:color w:val="auto"/>
                <w:sz w:val="24"/>
                <w:highlight w:val="none"/>
                <w:lang w:val="en-US" w:eastAsia="zh-CN"/>
              </w:rPr>
              <w:t>3</w:t>
            </w:r>
            <w:r>
              <w:rPr>
                <w:rFonts w:hint="eastAsia"/>
                <w:color w:val="auto"/>
                <w:sz w:val="24"/>
                <w:highlight w:val="none"/>
              </w:rPr>
              <w:t xml:space="preserve">。 </w:t>
            </w:r>
          </w:p>
          <w:p w14:paraId="1C704B8F">
            <w:pPr>
              <w:keepNext w:val="0"/>
              <w:keepLines w:val="0"/>
              <w:widowControl/>
              <w:suppressLineNumbers w:val="0"/>
              <w:spacing w:before="0" w:beforeAutospacing="0" w:after="0" w:afterAutospacing="0"/>
              <w:ind w:left="0" w:right="0"/>
              <w:jc w:val="center"/>
              <w:rPr>
                <w:rFonts w:hint="default"/>
                <w:color w:val="auto"/>
                <w:szCs w:val="21"/>
                <w:highlight w:val="none"/>
              </w:rPr>
            </w:pPr>
            <w:r>
              <w:rPr>
                <w:rFonts w:hint="eastAsia" w:ascii="宋体" w:hAnsi="宋体" w:cs="宋体"/>
                <w:b/>
                <w:bCs/>
                <w:color w:val="auto"/>
                <w:kern w:val="0"/>
                <w:szCs w:val="21"/>
                <w:highlight w:val="none"/>
                <w:lang w:bidi="ar"/>
              </w:rPr>
              <w:t>表</w:t>
            </w:r>
            <w:r>
              <w:rPr>
                <w:rFonts w:hint="eastAsia"/>
                <w:b/>
                <w:bCs/>
                <w:color w:val="auto"/>
                <w:kern w:val="0"/>
                <w:szCs w:val="21"/>
                <w:highlight w:val="none"/>
                <w:lang w:val="en-US" w:eastAsia="zh-CN" w:bidi="ar"/>
              </w:rPr>
              <w:t>5</w:t>
            </w:r>
            <w:r>
              <w:rPr>
                <w:rFonts w:hint="default"/>
                <w:b/>
                <w:bCs/>
                <w:color w:val="auto"/>
                <w:kern w:val="0"/>
                <w:szCs w:val="21"/>
                <w:highlight w:val="none"/>
                <w:lang w:bidi="ar"/>
              </w:rPr>
              <w:t>-</w:t>
            </w:r>
            <w:r>
              <w:rPr>
                <w:rFonts w:hint="eastAsia"/>
                <w:b/>
                <w:bCs/>
                <w:color w:val="auto"/>
                <w:kern w:val="0"/>
                <w:szCs w:val="21"/>
                <w:highlight w:val="none"/>
                <w:lang w:val="en-US" w:eastAsia="zh-CN" w:bidi="ar"/>
              </w:rPr>
              <w:t>3</w:t>
            </w:r>
            <w:r>
              <w:rPr>
                <w:rFonts w:hint="default"/>
                <w:b/>
                <w:bCs/>
                <w:color w:val="auto"/>
                <w:kern w:val="0"/>
                <w:szCs w:val="21"/>
                <w:highlight w:val="none"/>
                <w:lang w:bidi="ar"/>
              </w:rPr>
              <w:t xml:space="preserve"> </w:t>
            </w:r>
            <w:r>
              <w:rPr>
                <w:rFonts w:hint="eastAsia"/>
                <w:b/>
                <w:bCs/>
                <w:color w:val="auto"/>
                <w:kern w:val="0"/>
                <w:szCs w:val="21"/>
                <w:highlight w:val="none"/>
                <w:lang w:bidi="ar"/>
              </w:rPr>
              <w:t xml:space="preserve"> </w:t>
            </w:r>
            <w:r>
              <w:rPr>
                <w:rFonts w:hint="eastAsia" w:ascii="宋体" w:hAnsi="宋体" w:cs="宋体"/>
                <w:b/>
                <w:bCs/>
                <w:color w:val="auto"/>
                <w:kern w:val="0"/>
                <w:szCs w:val="21"/>
                <w:highlight w:val="none"/>
                <w:lang w:bidi="ar"/>
              </w:rPr>
              <w:t>项目工程竣工环保验收主要内容</w:t>
            </w:r>
          </w:p>
          <w:tbl>
            <w:tblPr>
              <w:tblStyle w:val="4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6"/>
              <w:gridCol w:w="1523"/>
              <w:gridCol w:w="3219"/>
              <w:gridCol w:w="1981"/>
            </w:tblGrid>
            <w:tr w14:paraId="1E5C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51DF02B6">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序号</w:t>
                  </w:r>
                </w:p>
              </w:tc>
              <w:tc>
                <w:tcPr>
                  <w:tcW w:w="1523" w:type="dxa"/>
                  <w:noWrap w:val="0"/>
                  <w:vAlign w:val="center"/>
                </w:tcPr>
                <w:p w14:paraId="18CBCB79">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验收类别</w:t>
                  </w:r>
                </w:p>
              </w:tc>
              <w:tc>
                <w:tcPr>
                  <w:tcW w:w="3219" w:type="dxa"/>
                  <w:noWrap w:val="0"/>
                  <w:vAlign w:val="center"/>
                </w:tcPr>
                <w:p w14:paraId="2CB04145">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验收要求</w:t>
                  </w:r>
                </w:p>
              </w:tc>
              <w:tc>
                <w:tcPr>
                  <w:tcW w:w="1981" w:type="dxa"/>
                  <w:noWrap w:val="0"/>
                  <w:vAlign w:val="center"/>
                </w:tcPr>
                <w:p w14:paraId="765B82EC">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备注</w:t>
                  </w:r>
                </w:p>
              </w:tc>
            </w:tr>
            <w:tr w14:paraId="138B1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696" w:type="dxa"/>
                  <w:noWrap w:val="0"/>
                  <w:vAlign w:val="center"/>
                </w:tcPr>
                <w:p w14:paraId="382D55B0">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1</w:t>
                  </w:r>
                </w:p>
              </w:tc>
              <w:tc>
                <w:tcPr>
                  <w:tcW w:w="1523" w:type="dxa"/>
                  <w:noWrap w:val="0"/>
                  <w:vAlign w:val="center"/>
                </w:tcPr>
                <w:p w14:paraId="0E56165B">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管理</w:t>
                  </w:r>
                </w:p>
              </w:tc>
              <w:tc>
                <w:tcPr>
                  <w:tcW w:w="3219" w:type="dxa"/>
                  <w:noWrap w:val="0"/>
                  <w:vAlign w:val="center"/>
                </w:tcPr>
                <w:p w14:paraId="6F14B61B">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环保手续、环保资料档案、环保制度等的完善。</w:t>
                  </w:r>
                </w:p>
              </w:tc>
              <w:tc>
                <w:tcPr>
                  <w:tcW w:w="1981" w:type="dxa"/>
                  <w:noWrap w:val="0"/>
                  <w:vAlign w:val="center"/>
                </w:tcPr>
                <w:p w14:paraId="57DF5D18">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齐全</w:t>
                  </w:r>
                </w:p>
              </w:tc>
            </w:tr>
            <w:tr w14:paraId="5D520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96" w:type="dxa"/>
                  <w:tcBorders>
                    <w:bottom w:val="single" w:color="auto" w:sz="4" w:space="0"/>
                  </w:tcBorders>
                  <w:noWrap w:val="0"/>
                  <w:vAlign w:val="center"/>
                </w:tcPr>
                <w:p w14:paraId="58EC7A3A">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2</w:t>
                  </w:r>
                </w:p>
              </w:tc>
              <w:tc>
                <w:tcPr>
                  <w:tcW w:w="1523" w:type="dxa"/>
                  <w:tcBorders>
                    <w:bottom w:val="single" w:color="auto" w:sz="4" w:space="0"/>
                  </w:tcBorders>
                  <w:noWrap w:val="0"/>
                  <w:vAlign w:val="center"/>
                </w:tcPr>
                <w:p w14:paraId="5860699B">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生态环境水土流失影响</w:t>
                  </w:r>
                </w:p>
              </w:tc>
              <w:tc>
                <w:tcPr>
                  <w:tcW w:w="3219" w:type="dxa"/>
                  <w:tcBorders>
                    <w:bottom w:val="single" w:color="auto" w:sz="4" w:space="0"/>
                  </w:tcBorders>
                  <w:noWrap w:val="0"/>
                  <w:vAlign w:val="center"/>
                </w:tcPr>
                <w:p w14:paraId="323224F7">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施工场地及光伏</w:t>
                  </w:r>
                  <w:r>
                    <w:rPr>
                      <w:rFonts w:hint="eastAsia"/>
                      <w:color w:val="auto"/>
                      <w:sz w:val="21"/>
                      <w:szCs w:val="21"/>
                      <w:highlight w:val="none"/>
                      <w:lang w:eastAsia="zh-CN"/>
                    </w:rPr>
                    <w:t>片区</w:t>
                  </w:r>
                  <w:r>
                    <w:rPr>
                      <w:rFonts w:hint="default"/>
                      <w:color w:val="auto"/>
                      <w:sz w:val="21"/>
                      <w:szCs w:val="21"/>
                      <w:highlight w:val="none"/>
                    </w:rPr>
                    <w:t>的生态恢复和效果。</w:t>
                  </w:r>
                </w:p>
              </w:tc>
              <w:tc>
                <w:tcPr>
                  <w:tcW w:w="1981" w:type="dxa"/>
                  <w:tcBorders>
                    <w:bottom w:val="single" w:color="auto" w:sz="4" w:space="0"/>
                  </w:tcBorders>
                  <w:noWrap w:val="0"/>
                  <w:vAlign w:val="center"/>
                </w:tcPr>
                <w:p w14:paraId="1CBFCF41">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符合环境要求</w:t>
                  </w:r>
                </w:p>
              </w:tc>
            </w:tr>
            <w:tr w14:paraId="5B53B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dxa"/>
                  <w:tcBorders>
                    <w:top w:val="single" w:color="auto" w:sz="4" w:space="0"/>
                    <w:bottom w:val="single" w:color="auto" w:sz="4" w:space="0"/>
                  </w:tcBorders>
                  <w:noWrap w:val="0"/>
                  <w:vAlign w:val="center"/>
                </w:tcPr>
                <w:p w14:paraId="7343D76C">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3</w:t>
                  </w:r>
                </w:p>
              </w:tc>
              <w:tc>
                <w:tcPr>
                  <w:tcW w:w="1523" w:type="dxa"/>
                  <w:tcBorders>
                    <w:top w:val="single" w:color="auto" w:sz="4" w:space="0"/>
                    <w:bottom w:val="single" w:color="auto" w:sz="4" w:space="0"/>
                  </w:tcBorders>
                  <w:noWrap w:val="0"/>
                  <w:vAlign w:val="center"/>
                </w:tcPr>
                <w:p w14:paraId="71694E03">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各类环保设施是否落实</w:t>
                  </w:r>
                </w:p>
              </w:tc>
              <w:tc>
                <w:tcPr>
                  <w:tcW w:w="3219" w:type="dxa"/>
                  <w:tcBorders>
                    <w:top w:val="single" w:color="auto" w:sz="4" w:space="0"/>
                    <w:bottom w:val="single" w:color="auto" w:sz="4" w:space="0"/>
                  </w:tcBorders>
                  <w:noWrap w:val="0"/>
                  <w:vAlign w:val="center"/>
                </w:tcPr>
                <w:p w14:paraId="6E28E859">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工程设计提出的措施，施工期及运行期的声环境、水环境等落实情况，实施效果。</w:t>
                  </w:r>
                </w:p>
              </w:tc>
              <w:tc>
                <w:tcPr>
                  <w:tcW w:w="1981" w:type="dxa"/>
                  <w:tcBorders>
                    <w:top w:val="single" w:color="auto" w:sz="4" w:space="0"/>
                    <w:bottom w:val="single" w:color="auto" w:sz="4" w:space="0"/>
                  </w:tcBorders>
                  <w:noWrap w:val="0"/>
                  <w:vAlign w:val="center"/>
                </w:tcPr>
                <w:p w14:paraId="022C6988">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按要求完成</w:t>
                  </w:r>
                </w:p>
              </w:tc>
            </w:tr>
            <w:tr w14:paraId="1E3EB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696" w:type="dxa"/>
                  <w:tcBorders>
                    <w:top w:val="single" w:color="auto" w:sz="4" w:space="0"/>
                    <w:bottom w:val="single" w:color="auto" w:sz="4" w:space="0"/>
                  </w:tcBorders>
                  <w:noWrap w:val="0"/>
                  <w:vAlign w:val="center"/>
                </w:tcPr>
                <w:p w14:paraId="0DB6D884">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4</w:t>
                  </w:r>
                </w:p>
              </w:tc>
              <w:tc>
                <w:tcPr>
                  <w:tcW w:w="1523" w:type="dxa"/>
                  <w:tcBorders>
                    <w:top w:val="single" w:color="auto" w:sz="4" w:space="0"/>
                    <w:bottom w:val="single" w:color="auto" w:sz="4" w:space="0"/>
                  </w:tcBorders>
                  <w:noWrap w:val="0"/>
                  <w:vAlign w:val="center"/>
                </w:tcPr>
                <w:p w14:paraId="687116C2">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环境保护措施正常运作条件</w:t>
                  </w:r>
                </w:p>
              </w:tc>
              <w:tc>
                <w:tcPr>
                  <w:tcW w:w="3219" w:type="dxa"/>
                  <w:tcBorders>
                    <w:top w:val="single" w:color="auto" w:sz="4" w:space="0"/>
                    <w:bottom w:val="single" w:color="auto" w:sz="4" w:space="0"/>
                  </w:tcBorders>
                  <w:noWrap w:val="0"/>
                  <w:vAlign w:val="center"/>
                </w:tcPr>
                <w:p w14:paraId="593209D9">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各项环保措施是否有合格的操作人员，操作制度。</w:t>
                  </w:r>
                </w:p>
              </w:tc>
              <w:tc>
                <w:tcPr>
                  <w:tcW w:w="1981" w:type="dxa"/>
                  <w:tcBorders>
                    <w:top w:val="single" w:color="auto" w:sz="4" w:space="0"/>
                    <w:bottom w:val="single" w:color="auto" w:sz="4" w:space="0"/>
                  </w:tcBorders>
                  <w:noWrap w:val="0"/>
                  <w:vAlign w:val="center"/>
                </w:tcPr>
                <w:p w14:paraId="7865AA7E">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按要求完成</w:t>
                  </w:r>
                </w:p>
              </w:tc>
            </w:tr>
            <w:tr w14:paraId="34CC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6CC087CF">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5</w:t>
                  </w:r>
                </w:p>
              </w:tc>
              <w:tc>
                <w:tcPr>
                  <w:tcW w:w="1523" w:type="dxa"/>
                  <w:noWrap w:val="0"/>
                  <w:vAlign w:val="center"/>
                </w:tcPr>
                <w:p w14:paraId="4997BC6E">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敏感点</w:t>
                  </w:r>
                </w:p>
              </w:tc>
              <w:tc>
                <w:tcPr>
                  <w:tcW w:w="3219" w:type="dxa"/>
                  <w:noWrap w:val="0"/>
                  <w:vAlign w:val="center"/>
                </w:tcPr>
                <w:p w14:paraId="48FBC0E6">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敏感点声环境达《声环境质量标准》（GB3096-2008）中</w:t>
                  </w:r>
                  <w:r>
                    <w:rPr>
                      <w:rFonts w:hint="eastAsia"/>
                      <w:color w:val="auto"/>
                      <w:sz w:val="21"/>
                      <w:szCs w:val="21"/>
                      <w:highlight w:val="none"/>
                      <w:lang w:val="en-US" w:eastAsia="zh-CN"/>
                    </w:rPr>
                    <w:t>1</w:t>
                  </w:r>
                  <w:r>
                    <w:rPr>
                      <w:rFonts w:hint="default"/>
                      <w:color w:val="auto"/>
                      <w:sz w:val="21"/>
                      <w:szCs w:val="21"/>
                      <w:highlight w:val="none"/>
                    </w:rPr>
                    <w:t>类标准</w:t>
                  </w:r>
                </w:p>
              </w:tc>
              <w:tc>
                <w:tcPr>
                  <w:tcW w:w="1981" w:type="dxa"/>
                  <w:noWrap w:val="0"/>
                  <w:vAlign w:val="center"/>
                </w:tcPr>
                <w:p w14:paraId="000F41AD">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《声环境质量标准》（GB3096-2008）</w:t>
                  </w:r>
                </w:p>
              </w:tc>
            </w:tr>
            <w:tr w14:paraId="5DF7F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2A5E6F9D">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6</w:t>
                  </w:r>
                </w:p>
              </w:tc>
              <w:tc>
                <w:tcPr>
                  <w:tcW w:w="1523" w:type="dxa"/>
                  <w:noWrap w:val="0"/>
                  <w:vAlign w:val="center"/>
                </w:tcPr>
                <w:p w14:paraId="595B5392">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厂界噪声</w:t>
                  </w:r>
                </w:p>
              </w:tc>
              <w:tc>
                <w:tcPr>
                  <w:tcW w:w="3219" w:type="dxa"/>
                  <w:noWrap w:val="0"/>
                  <w:vAlign w:val="center"/>
                </w:tcPr>
                <w:p w14:paraId="71BA527A">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w:t>
                  </w:r>
                  <w:r>
                    <w:rPr>
                      <w:rFonts w:hint="default"/>
                      <w:color w:val="auto"/>
                      <w:sz w:val="21"/>
                      <w:szCs w:val="21"/>
                      <w:highlight w:val="none"/>
                    </w:rPr>
                    <w:t>噪声达《工业企业厂界环境噪声排放标准》（GB12348-2008）</w:t>
                  </w:r>
                  <w:r>
                    <w:rPr>
                      <w:rFonts w:hint="eastAsia"/>
                      <w:color w:val="auto"/>
                      <w:sz w:val="21"/>
                      <w:szCs w:val="21"/>
                      <w:highlight w:val="none"/>
                      <w:lang w:val="en-US" w:eastAsia="zh-CN"/>
                    </w:rPr>
                    <w:t>1类标准</w:t>
                  </w:r>
                </w:p>
              </w:tc>
              <w:tc>
                <w:tcPr>
                  <w:tcW w:w="1981" w:type="dxa"/>
                  <w:noWrap w:val="0"/>
                  <w:vAlign w:val="center"/>
                </w:tcPr>
                <w:p w14:paraId="5DEC1088">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《工业企业厂界环境噪声排放标准》（GB12348-2008）</w:t>
                  </w:r>
                </w:p>
              </w:tc>
            </w:tr>
            <w:tr w14:paraId="19567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96" w:type="dxa"/>
                  <w:noWrap w:val="0"/>
                  <w:vAlign w:val="center"/>
                </w:tcPr>
                <w:p w14:paraId="6799F4D0">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8</w:t>
                  </w:r>
                </w:p>
              </w:tc>
              <w:tc>
                <w:tcPr>
                  <w:tcW w:w="1523" w:type="dxa"/>
                  <w:noWrap w:val="0"/>
                  <w:vAlign w:val="center"/>
                </w:tcPr>
                <w:p w14:paraId="45981694">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事故油池</w:t>
                  </w:r>
                </w:p>
              </w:tc>
              <w:tc>
                <w:tcPr>
                  <w:tcW w:w="3219" w:type="dxa"/>
                  <w:noWrap w:val="0"/>
                  <w:vAlign w:val="center"/>
                </w:tcPr>
                <w:p w14:paraId="189B8C01">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在</w:t>
                  </w:r>
                  <w:r>
                    <w:rPr>
                      <w:rFonts w:hint="eastAsia"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个箱式变压器</w:t>
                  </w:r>
                  <w:r>
                    <w:rPr>
                      <w:rFonts w:hint="eastAsia" w:cs="Times New Roman"/>
                      <w:color w:val="auto"/>
                      <w:sz w:val="21"/>
                      <w:szCs w:val="21"/>
                      <w:highlight w:val="none"/>
                      <w:lang w:val="en-US" w:eastAsia="zh-CN"/>
                    </w:rPr>
                    <w:t>附近</w:t>
                  </w:r>
                  <w:r>
                    <w:rPr>
                      <w:rFonts w:hint="default" w:ascii="Times New Roman" w:hAnsi="Times New Roman" w:eastAsia="宋体" w:cs="Times New Roman"/>
                      <w:color w:val="auto"/>
                      <w:sz w:val="21"/>
                      <w:szCs w:val="21"/>
                      <w:highlight w:val="none"/>
                    </w:rPr>
                    <w:t>分别设置1个</w:t>
                  </w:r>
                  <w:r>
                    <w:rPr>
                      <w:rFonts w:hint="default" w:ascii="Times New Roman" w:hAnsi="Times New Roman" w:eastAsia="宋体" w:cs="Times New Roman"/>
                      <w:color w:val="auto"/>
                      <w:sz w:val="21"/>
                      <w:szCs w:val="21"/>
                      <w:highlight w:val="none"/>
                      <w:lang w:val="en-US" w:eastAsia="zh-CN"/>
                    </w:rPr>
                    <w:t>事故油池</w:t>
                  </w:r>
                  <w:r>
                    <w:rPr>
                      <w:rFonts w:hint="default" w:ascii="Times New Roman" w:hAnsi="Times New Roman" w:eastAsia="宋体" w:cs="Times New Roman"/>
                      <w:color w:val="auto"/>
                      <w:sz w:val="21"/>
                      <w:szCs w:val="21"/>
                      <w:highlight w:val="none"/>
                    </w:rPr>
                    <w:t>（其中</w:t>
                  </w:r>
                  <w:r>
                    <w:rPr>
                      <w:rFonts w:hint="default" w:ascii="Times New Roman" w:hAnsi="Times New Roman" w:eastAsia="宋体" w:cs="Times New Roman"/>
                      <w:color w:val="auto"/>
                      <w:sz w:val="21"/>
                      <w:szCs w:val="21"/>
                      <w:highlight w:val="none"/>
                      <w:lang w:val="en-US" w:eastAsia="zh-CN"/>
                    </w:rPr>
                    <w:t>3个</w:t>
                  </w:r>
                  <w:r>
                    <w:rPr>
                      <w:rFonts w:hint="default" w:ascii="Times New Roman" w:hAnsi="Times New Roman" w:eastAsia="宋体" w:cs="Times New Roman"/>
                      <w:color w:val="auto"/>
                      <w:sz w:val="21"/>
                      <w:szCs w:val="21"/>
                      <w:highlight w:val="none"/>
                    </w:rPr>
                    <w:t>不低于</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7个</w:t>
                  </w:r>
                  <w:r>
                    <w:rPr>
                      <w:rFonts w:hint="default" w:ascii="Times New Roman" w:hAnsi="Times New Roman" w:eastAsia="宋体" w:cs="Times New Roman"/>
                      <w:color w:val="auto"/>
                      <w:sz w:val="21"/>
                      <w:szCs w:val="21"/>
                      <w:highlight w:val="none"/>
                    </w:rPr>
                    <w:t>不低于</w:t>
                  </w:r>
                  <w:r>
                    <w:rPr>
                      <w:rFonts w:hint="default" w:ascii="Times New Roman" w:hAnsi="Times New Roman" w:eastAsia="宋体" w:cs="Times New Roman"/>
                      <w:color w:val="auto"/>
                      <w:sz w:val="21"/>
                      <w:szCs w:val="21"/>
                      <w:highlight w:val="none"/>
                      <w:lang w:val="en-US" w:eastAsia="zh-CN"/>
                    </w:rPr>
                    <w:t>2.85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；6个</w:t>
                  </w:r>
                  <w:r>
                    <w:rPr>
                      <w:rFonts w:hint="default" w:ascii="Times New Roman" w:hAnsi="Times New Roman" w:eastAsia="宋体" w:cs="Times New Roman"/>
                      <w:color w:val="auto"/>
                      <w:sz w:val="21"/>
                      <w:szCs w:val="21"/>
                      <w:highlight w:val="none"/>
                    </w:rPr>
                    <w:t>不低于</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color w:val="auto"/>
                      <w:sz w:val="21"/>
                      <w:szCs w:val="21"/>
                      <w:highlight w:val="none"/>
                    </w:rPr>
                    <w:t>，钢筋混凝土结构并进行防渗处理。</w:t>
                  </w:r>
                </w:p>
                <w:p w14:paraId="2F18EB35">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事故油池施工时，必须</w:t>
                  </w:r>
                  <w:r>
                    <w:rPr>
                      <w:rFonts w:hint="eastAsia"/>
                      <w:color w:val="auto"/>
                      <w:sz w:val="21"/>
                      <w:szCs w:val="21"/>
                      <w:highlight w:val="none"/>
                    </w:rPr>
                    <w:t>完成一项</w:t>
                  </w:r>
                  <w:r>
                    <w:rPr>
                      <w:rFonts w:hint="default"/>
                      <w:color w:val="auto"/>
                      <w:sz w:val="21"/>
                      <w:szCs w:val="21"/>
                      <w:highlight w:val="none"/>
                    </w:rPr>
                    <w:t>，验收</w:t>
                  </w:r>
                  <w:r>
                    <w:rPr>
                      <w:rFonts w:hint="eastAsia"/>
                      <w:color w:val="auto"/>
                      <w:sz w:val="21"/>
                      <w:szCs w:val="21"/>
                      <w:highlight w:val="none"/>
                    </w:rPr>
                    <w:t>一项</w:t>
                  </w:r>
                  <w:r>
                    <w:rPr>
                      <w:rFonts w:hint="default"/>
                      <w:color w:val="auto"/>
                      <w:sz w:val="21"/>
                      <w:szCs w:val="21"/>
                      <w:highlight w:val="none"/>
                    </w:rPr>
                    <w:t>，并且严格检查防渗系统施工材料质量，必须保证用合格达标材料</w:t>
                  </w:r>
                  <w:r>
                    <w:rPr>
                      <w:rFonts w:hint="eastAsia"/>
                      <w:color w:val="auto"/>
                      <w:sz w:val="21"/>
                      <w:szCs w:val="21"/>
                      <w:highlight w:val="none"/>
                      <w:lang w:eastAsia="zh-CN"/>
                    </w:rPr>
                    <w:t>，</w:t>
                  </w:r>
                  <w:r>
                    <w:rPr>
                      <w:rFonts w:hint="eastAsia"/>
                      <w:color w:val="auto"/>
                      <w:sz w:val="21"/>
                      <w:szCs w:val="21"/>
                      <w:highlight w:val="none"/>
                      <w:lang w:val="en-US" w:eastAsia="zh-CN"/>
                    </w:rPr>
                    <w:t>并留存相关影像资料。</w:t>
                  </w:r>
                </w:p>
              </w:tc>
              <w:tc>
                <w:tcPr>
                  <w:tcW w:w="1981" w:type="dxa"/>
                  <w:noWrap w:val="0"/>
                  <w:vAlign w:val="center"/>
                </w:tcPr>
                <w:p w14:paraId="5A146215">
                  <w:pPr>
                    <w:pStyle w:val="2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0" w:lineRule="exact"/>
                    <w:ind w:left="0" w:right="0"/>
                    <w:jc w:val="center"/>
                    <w:textAlignment w:val="auto"/>
                    <w:rPr>
                      <w:rFonts w:hint="default"/>
                      <w:color w:val="auto"/>
                      <w:sz w:val="21"/>
                      <w:szCs w:val="21"/>
                      <w:highlight w:val="none"/>
                    </w:rPr>
                  </w:pPr>
                  <w:r>
                    <w:rPr>
                      <w:rFonts w:hint="default"/>
                      <w:color w:val="auto"/>
                      <w:sz w:val="21"/>
                      <w:szCs w:val="21"/>
                      <w:highlight w:val="none"/>
                    </w:rPr>
                    <w:t>事故油池进行防渗处理，设置标</w:t>
                  </w:r>
                  <w:r>
                    <w:rPr>
                      <w:rFonts w:hint="eastAsia"/>
                      <w:color w:val="auto"/>
                      <w:sz w:val="21"/>
                      <w:szCs w:val="21"/>
                      <w:highlight w:val="none"/>
                      <w:lang w:val="en-US" w:eastAsia="zh-CN"/>
                    </w:rPr>
                    <w:t>识</w:t>
                  </w:r>
                  <w:r>
                    <w:rPr>
                      <w:rFonts w:hint="default"/>
                      <w:color w:val="auto"/>
                      <w:sz w:val="21"/>
                      <w:szCs w:val="21"/>
                      <w:highlight w:val="none"/>
                    </w:rPr>
                    <w:t>牌。加强对</w:t>
                  </w:r>
                  <w:r>
                    <w:rPr>
                      <w:rFonts w:hint="eastAsia"/>
                      <w:color w:val="auto"/>
                      <w:sz w:val="21"/>
                      <w:szCs w:val="21"/>
                      <w:highlight w:val="none"/>
                      <w:lang w:val="en-US" w:eastAsia="zh-CN"/>
                    </w:rPr>
                    <w:t>废</w:t>
                  </w:r>
                  <w:r>
                    <w:rPr>
                      <w:rFonts w:hint="default"/>
                      <w:color w:val="auto"/>
                      <w:sz w:val="21"/>
                      <w:szCs w:val="21"/>
                      <w:highlight w:val="none"/>
                    </w:rPr>
                    <w:t>变压器油的管理，</w:t>
                  </w:r>
                  <w:r>
                    <w:rPr>
                      <w:rFonts w:hint="eastAsia"/>
                      <w:color w:val="auto"/>
                      <w:sz w:val="21"/>
                      <w:szCs w:val="21"/>
                      <w:highlight w:val="none"/>
                      <w:lang w:val="en-US" w:eastAsia="zh-CN"/>
                    </w:rPr>
                    <w:t>事故情况下，废油不外泄</w:t>
                  </w:r>
                  <w:r>
                    <w:rPr>
                      <w:rFonts w:hint="default"/>
                      <w:color w:val="auto"/>
                      <w:sz w:val="21"/>
                      <w:szCs w:val="21"/>
                      <w:highlight w:val="none"/>
                    </w:rPr>
                    <w:t>。</w:t>
                  </w:r>
                </w:p>
              </w:tc>
            </w:tr>
          </w:tbl>
          <w:p w14:paraId="16406D49">
            <w:pPr>
              <w:keepNext w:val="0"/>
              <w:keepLines w:val="0"/>
              <w:suppressLineNumbers w:val="0"/>
              <w:shd w:val="clear"/>
              <w:spacing w:before="0" w:beforeAutospacing="0" w:after="0" w:afterAutospacing="0" w:line="360" w:lineRule="auto"/>
              <w:ind w:left="0" w:right="0"/>
              <w:jc w:val="center"/>
              <w:rPr>
                <w:rFonts w:hint="default"/>
                <w:bCs/>
                <w:color w:val="auto"/>
                <w:spacing w:val="10"/>
                <w:sz w:val="24"/>
                <w:highlight w:val="none"/>
                <w:shd w:val="clear" w:color="auto" w:fill="auto"/>
              </w:rPr>
            </w:pPr>
          </w:p>
        </w:tc>
      </w:tr>
      <w:tr w14:paraId="5FD49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1" w:hRule="atLeast"/>
          <w:jc w:val="center"/>
        </w:trPr>
        <w:tc>
          <w:tcPr>
            <w:tcW w:w="475" w:type="pct"/>
            <w:vAlign w:val="center"/>
          </w:tcPr>
          <w:p w14:paraId="4AC68BCF">
            <w:pPr>
              <w:keepNext w:val="0"/>
              <w:keepLines w:val="0"/>
              <w:suppressLineNumbers w:val="0"/>
              <w:shd w:val="clear"/>
              <w:adjustRightInd w:val="0"/>
              <w:snapToGrid w:val="0"/>
              <w:spacing w:before="0" w:beforeAutospacing="0" w:after="0" w:afterAutospacing="0"/>
              <w:ind w:left="0" w:right="0"/>
              <w:jc w:val="center"/>
              <w:rPr>
                <w:rFonts w:hint="default"/>
                <w:bCs/>
                <w:color w:val="auto"/>
                <w:spacing w:val="10"/>
                <w:sz w:val="24"/>
                <w:highlight w:val="none"/>
                <w:shd w:val="clear" w:color="auto" w:fill="auto"/>
              </w:rPr>
            </w:pPr>
            <w:r>
              <w:rPr>
                <w:rFonts w:hint="default"/>
                <w:bCs/>
                <w:color w:val="auto"/>
                <w:sz w:val="24"/>
                <w:highlight w:val="none"/>
                <w:shd w:val="clear" w:color="auto" w:fill="auto"/>
              </w:rPr>
              <w:t>环保投资</w:t>
            </w:r>
          </w:p>
        </w:tc>
        <w:tc>
          <w:tcPr>
            <w:tcW w:w="4524" w:type="pct"/>
          </w:tcPr>
          <w:p w14:paraId="03FFAA9F">
            <w:pPr>
              <w:keepNext w:val="0"/>
              <w:keepLines w:val="0"/>
              <w:suppressLineNumbers w:val="0"/>
              <w:shd w:val="clear"/>
              <w:spacing w:before="0" w:beforeAutospacing="0" w:after="0" w:afterAutospacing="0" w:line="360" w:lineRule="auto"/>
              <w:ind w:left="0" w:right="0" w:firstLine="480" w:firstLineChars="200"/>
              <w:jc w:val="left"/>
              <w:rPr>
                <w:rFonts w:hint="default"/>
                <w:color w:val="auto"/>
                <w:sz w:val="24"/>
                <w:szCs w:val="22"/>
                <w:highlight w:val="none"/>
                <w:shd w:val="clear" w:color="auto" w:fill="auto"/>
              </w:rPr>
            </w:pPr>
            <w:r>
              <w:rPr>
                <w:rFonts w:hint="default"/>
                <w:color w:val="auto"/>
                <w:sz w:val="24"/>
                <w:szCs w:val="22"/>
                <w:highlight w:val="none"/>
                <w:shd w:val="clear" w:color="auto" w:fill="auto"/>
              </w:rPr>
              <w:t>项目总投资为</w:t>
            </w:r>
            <w:r>
              <w:rPr>
                <w:rFonts w:hint="eastAsia"/>
                <w:color w:val="auto"/>
                <w:sz w:val="24"/>
                <w:highlight w:val="none"/>
                <w:shd w:val="clear" w:color="auto" w:fill="auto"/>
                <w:lang w:val="en-US" w:eastAsia="zh-CN"/>
              </w:rPr>
              <w:t>21400万元</w:t>
            </w:r>
            <w:r>
              <w:rPr>
                <w:rFonts w:hint="default"/>
                <w:color w:val="auto"/>
                <w:sz w:val="24"/>
                <w:szCs w:val="22"/>
                <w:highlight w:val="none"/>
                <w:shd w:val="clear" w:color="auto" w:fill="auto"/>
              </w:rPr>
              <w:t>，其中环保投资为</w:t>
            </w:r>
            <w:r>
              <w:rPr>
                <w:rFonts w:hint="eastAsia"/>
                <w:color w:val="auto"/>
                <w:sz w:val="24"/>
                <w:szCs w:val="22"/>
                <w:highlight w:val="none"/>
                <w:shd w:val="clear" w:color="auto" w:fill="auto"/>
                <w:lang w:val="en-US" w:eastAsia="zh-CN"/>
              </w:rPr>
              <w:t>95</w:t>
            </w:r>
            <w:r>
              <w:rPr>
                <w:rFonts w:hint="default"/>
                <w:color w:val="auto"/>
                <w:sz w:val="24"/>
                <w:szCs w:val="22"/>
                <w:highlight w:val="none"/>
                <w:shd w:val="clear" w:color="auto" w:fill="auto"/>
              </w:rPr>
              <w:t>万元，占总投资的</w:t>
            </w:r>
            <w:r>
              <w:rPr>
                <w:rFonts w:hint="eastAsia"/>
                <w:color w:val="auto"/>
                <w:sz w:val="24"/>
                <w:szCs w:val="22"/>
                <w:highlight w:val="none"/>
                <w:shd w:val="clear" w:color="auto" w:fill="auto"/>
                <w:lang w:val="en-US" w:eastAsia="zh-CN"/>
              </w:rPr>
              <w:t>0.44</w:t>
            </w:r>
            <w:r>
              <w:rPr>
                <w:rFonts w:hint="default"/>
                <w:color w:val="auto"/>
                <w:sz w:val="24"/>
                <w:szCs w:val="22"/>
                <w:highlight w:val="none"/>
                <w:shd w:val="clear" w:color="auto" w:fill="auto"/>
              </w:rPr>
              <w:t>%。</w:t>
            </w:r>
            <w:r>
              <w:rPr>
                <w:rFonts w:hint="eastAsia"/>
                <w:color w:val="auto"/>
                <w:sz w:val="24"/>
                <w:szCs w:val="22"/>
                <w:highlight w:val="none"/>
                <w:shd w:val="clear" w:color="auto" w:fill="auto"/>
              </w:rPr>
              <w:t>项目环保投资</w:t>
            </w:r>
            <w:r>
              <w:rPr>
                <w:rFonts w:hint="default"/>
                <w:color w:val="auto"/>
                <w:sz w:val="24"/>
                <w:szCs w:val="22"/>
                <w:highlight w:val="none"/>
                <w:shd w:val="clear" w:color="auto" w:fill="auto"/>
              </w:rPr>
              <w:t>详见下表。</w:t>
            </w:r>
          </w:p>
          <w:p w14:paraId="4594A6F4">
            <w:pPr>
              <w:keepNext w:val="0"/>
              <w:keepLines w:val="0"/>
              <w:suppressLineNumbers w:val="0"/>
              <w:shd w:val="clear"/>
              <w:spacing w:before="0" w:beforeAutospacing="0" w:after="0" w:afterAutospacing="0"/>
              <w:ind w:left="0" w:right="0"/>
              <w:jc w:val="center"/>
              <w:rPr>
                <w:rFonts w:hint="default"/>
                <w:b/>
                <w:color w:val="auto"/>
                <w:szCs w:val="21"/>
                <w:highlight w:val="none"/>
                <w:shd w:val="clear" w:color="auto" w:fill="auto"/>
              </w:rPr>
            </w:pPr>
            <w:r>
              <w:rPr>
                <w:rFonts w:hint="eastAsia"/>
                <w:b/>
                <w:color w:val="auto"/>
                <w:szCs w:val="21"/>
                <w:highlight w:val="none"/>
                <w:shd w:val="clear" w:color="auto" w:fill="auto"/>
              </w:rPr>
              <w:t>表5</w:t>
            </w:r>
            <w:r>
              <w:rPr>
                <w:rFonts w:hint="default"/>
                <w:b/>
                <w:color w:val="auto"/>
                <w:szCs w:val="21"/>
                <w:highlight w:val="none"/>
                <w:shd w:val="clear" w:color="auto" w:fill="auto"/>
              </w:rPr>
              <w:t xml:space="preserve">-2 </w:t>
            </w:r>
            <w:r>
              <w:rPr>
                <w:rFonts w:hint="eastAsia"/>
                <w:b/>
                <w:color w:val="auto"/>
                <w:szCs w:val="21"/>
                <w:highlight w:val="none"/>
                <w:shd w:val="clear" w:color="auto" w:fill="auto"/>
                <w:lang w:val="en-US" w:eastAsia="zh-CN"/>
              </w:rPr>
              <w:t xml:space="preserve"> </w:t>
            </w:r>
            <w:r>
              <w:rPr>
                <w:rFonts w:hint="eastAsia"/>
                <w:b/>
                <w:color w:val="auto"/>
                <w:szCs w:val="21"/>
                <w:highlight w:val="none"/>
                <w:shd w:val="clear" w:color="auto" w:fill="auto"/>
              </w:rPr>
              <w:t>项目</w:t>
            </w:r>
            <w:r>
              <w:rPr>
                <w:rFonts w:hint="default"/>
                <w:b/>
                <w:color w:val="auto"/>
                <w:szCs w:val="21"/>
                <w:highlight w:val="none"/>
                <w:shd w:val="clear" w:color="auto" w:fill="auto"/>
              </w:rPr>
              <w:t>环保投资一览表</w:t>
            </w:r>
            <w:r>
              <w:rPr>
                <w:rFonts w:hint="eastAsia"/>
                <w:b/>
                <w:color w:val="auto"/>
                <w:szCs w:val="21"/>
                <w:highlight w:val="none"/>
                <w:shd w:val="clear" w:color="auto" w:fill="auto"/>
              </w:rPr>
              <w:t xml:space="preserve">  单位：万元</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912"/>
              <w:gridCol w:w="2453"/>
              <w:gridCol w:w="721"/>
              <w:gridCol w:w="1513"/>
              <w:gridCol w:w="908"/>
            </w:tblGrid>
            <w:tr w14:paraId="04A1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noWrap w:val="0"/>
                  <w:vAlign w:val="center"/>
                </w:tcPr>
                <w:p w14:paraId="12AFB9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阶段</w:t>
                  </w:r>
                </w:p>
              </w:tc>
              <w:tc>
                <w:tcPr>
                  <w:tcW w:w="614" w:type="pct"/>
                  <w:noWrap w:val="0"/>
                  <w:vAlign w:val="center"/>
                </w:tcPr>
                <w:p w14:paraId="20564A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类别</w:t>
                  </w:r>
                </w:p>
              </w:tc>
              <w:tc>
                <w:tcPr>
                  <w:tcW w:w="1654" w:type="pct"/>
                  <w:noWrap w:val="0"/>
                  <w:vAlign w:val="center"/>
                </w:tcPr>
                <w:p w14:paraId="05BCAA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环境治理措施</w:t>
                  </w:r>
                </w:p>
              </w:tc>
              <w:tc>
                <w:tcPr>
                  <w:tcW w:w="486" w:type="pct"/>
                  <w:noWrap w:val="0"/>
                  <w:vAlign w:val="center"/>
                </w:tcPr>
                <w:p w14:paraId="20FA35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数量</w:t>
                  </w:r>
                </w:p>
              </w:tc>
              <w:tc>
                <w:tcPr>
                  <w:tcW w:w="1020" w:type="pct"/>
                  <w:noWrap w:val="0"/>
                  <w:vAlign w:val="center"/>
                </w:tcPr>
                <w:p w14:paraId="59F78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规模</w:t>
                  </w:r>
                </w:p>
              </w:tc>
              <w:tc>
                <w:tcPr>
                  <w:tcW w:w="612" w:type="pct"/>
                  <w:noWrap w:val="0"/>
                  <w:vAlign w:val="center"/>
                </w:tcPr>
                <w:p w14:paraId="0EE0AC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投资</w:t>
                  </w:r>
                  <w:r>
                    <w:rPr>
                      <w:rStyle w:val="147"/>
                      <w:rFonts w:hint="default" w:ascii="Times New Roman" w:hAnsi="Times New Roman" w:eastAsia="宋体" w:cs="Times New Roman"/>
                      <w:color w:val="auto"/>
                      <w:highlight w:val="none"/>
                      <w:lang w:bidi="ar"/>
                    </w:rPr>
                    <w:t>/</w:t>
                  </w:r>
                  <w:r>
                    <w:rPr>
                      <w:rFonts w:hint="default" w:ascii="Times New Roman" w:hAnsi="Times New Roman" w:eastAsia="宋体" w:cs="Times New Roman"/>
                      <w:b/>
                      <w:bCs/>
                      <w:color w:val="auto"/>
                      <w:kern w:val="0"/>
                      <w:szCs w:val="21"/>
                      <w:highlight w:val="none"/>
                      <w:lang w:bidi="ar"/>
                    </w:rPr>
                    <w:t>万元</w:t>
                  </w:r>
                </w:p>
              </w:tc>
            </w:tr>
            <w:tr w14:paraId="00B4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restart"/>
                  <w:noWrap w:val="0"/>
                  <w:vAlign w:val="center"/>
                </w:tcPr>
                <w:p w14:paraId="1C5216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施工期</w:t>
                  </w:r>
                </w:p>
              </w:tc>
              <w:tc>
                <w:tcPr>
                  <w:tcW w:w="614" w:type="pct"/>
                  <w:noWrap w:val="0"/>
                  <w:vAlign w:val="center"/>
                </w:tcPr>
                <w:p w14:paraId="5B5C21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废气</w:t>
                  </w:r>
                </w:p>
              </w:tc>
              <w:tc>
                <w:tcPr>
                  <w:tcW w:w="3160" w:type="pct"/>
                  <w:gridSpan w:val="3"/>
                  <w:noWrap w:val="0"/>
                  <w:vAlign w:val="center"/>
                </w:tcPr>
                <w:p w14:paraId="0B9E0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val="en-US" w:eastAsia="zh-CN" w:bidi="ar"/>
                    </w:rPr>
                    <w:t>租用1辆洒水车、洒水降尘、防尘网</w:t>
                  </w:r>
                  <w:r>
                    <w:rPr>
                      <w:rFonts w:hint="default" w:ascii="Times New Roman" w:hAnsi="Times New Roman" w:eastAsia="宋体" w:cs="Times New Roman"/>
                      <w:color w:val="auto"/>
                      <w:kern w:val="0"/>
                      <w:sz w:val="21"/>
                      <w:szCs w:val="21"/>
                      <w:highlight w:val="none"/>
                      <w:lang w:bidi="ar"/>
                    </w:rPr>
                    <w:t>、料场遮盖、拦挡</w:t>
                  </w:r>
                </w:p>
              </w:tc>
              <w:tc>
                <w:tcPr>
                  <w:tcW w:w="612" w:type="pct"/>
                  <w:noWrap w:val="0"/>
                  <w:vAlign w:val="center"/>
                </w:tcPr>
                <w:p w14:paraId="16582E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10</w:t>
                  </w:r>
                </w:p>
              </w:tc>
            </w:tr>
            <w:tr w14:paraId="2CFE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12" w:type="pct"/>
                  <w:vMerge w:val="continue"/>
                  <w:noWrap w:val="0"/>
                  <w:vAlign w:val="center"/>
                </w:tcPr>
                <w:p w14:paraId="3A3132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vMerge w:val="restart"/>
                  <w:noWrap w:val="0"/>
                  <w:vAlign w:val="center"/>
                </w:tcPr>
                <w:p w14:paraId="3A0F9E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废水</w:t>
                  </w:r>
                </w:p>
              </w:tc>
              <w:tc>
                <w:tcPr>
                  <w:tcW w:w="3160" w:type="pct"/>
                  <w:gridSpan w:val="3"/>
                  <w:noWrap w:val="0"/>
                  <w:vAlign w:val="center"/>
                </w:tcPr>
                <w:p w14:paraId="3E9C38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沉淀池1个，容积不低于5m</w:t>
                  </w:r>
                  <w:r>
                    <w:rPr>
                      <w:rFonts w:hint="default" w:ascii="Times New Roman" w:hAnsi="Times New Roman" w:eastAsia="宋体" w:cs="Times New Roman"/>
                      <w:color w:val="auto"/>
                      <w:szCs w:val="21"/>
                      <w:highlight w:val="none"/>
                      <w:vertAlign w:val="superscript"/>
                      <w:lang w:val="en-US" w:eastAsia="zh-CN"/>
                    </w:rPr>
                    <w:t>3</w:t>
                  </w:r>
                </w:p>
              </w:tc>
              <w:tc>
                <w:tcPr>
                  <w:tcW w:w="612" w:type="pct"/>
                  <w:noWrap w:val="0"/>
                  <w:vAlign w:val="center"/>
                </w:tcPr>
                <w:p w14:paraId="3712ED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r>
            <w:tr w14:paraId="6AE9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pct"/>
                  <w:vMerge w:val="continue"/>
                  <w:noWrap w:val="0"/>
                  <w:vAlign w:val="center"/>
                </w:tcPr>
                <w:p w14:paraId="16F692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vMerge w:val="continue"/>
                  <w:noWrap w:val="0"/>
                  <w:vAlign w:val="center"/>
                </w:tcPr>
                <w:p w14:paraId="2A29A2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687" w:type="dxa"/>
                  <w:gridSpan w:val="3"/>
                  <w:noWrap w:val="0"/>
                  <w:vAlign w:val="center"/>
                </w:tcPr>
                <w:p w14:paraId="242F9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vertAlign w:val="baseline"/>
                      <w:lang w:val="en-US" w:eastAsia="zh-CN"/>
                    </w:rPr>
                    <w:t>沉砂池9个，每个容积不低于2m</w:t>
                  </w:r>
                  <w:r>
                    <w:rPr>
                      <w:rFonts w:hint="default" w:ascii="Times New Roman" w:hAnsi="Times New Roman" w:eastAsia="宋体" w:cs="Times New Roman"/>
                      <w:color w:val="auto"/>
                      <w:kern w:val="0"/>
                      <w:sz w:val="21"/>
                      <w:szCs w:val="21"/>
                      <w:highlight w:val="none"/>
                      <w:vertAlign w:val="superscript"/>
                      <w:lang w:val="en-US" w:eastAsia="zh-CN"/>
                    </w:rPr>
                    <w:t>3</w:t>
                  </w:r>
                </w:p>
              </w:tc>
              <w:tc>
                <w:tcPr>
                  <w:tcW w:w="908" w:type="dxa"/>
                  <w:noWrap w:val="0"/>
                  <w:vAlign w:val="center"/>
                </w:tcPr>
                <w:p w14:paraId="04CEB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计入水保投资</w:t>
                  </w:r>
                </w:p>
              </w:tc>
            </w:tr>
            <w:tr w14:paraId="22CB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continue"/>
                  <w:noWrap w:val="0"/>
                  <w:vAlign w:val="center"/>
                </w:tcPr>
                <w:p w14:paraId="04FB3A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vMerge w:val="continue"/>
                  <w:noWrap w:val="0"/>
                  <w:vAlign w:val="center"/>
                </w:tcPr>
                <w:p w14:paraId="5B1B92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4687" w:type="dxa"/>
                  <w:gridSpan w:val="3"/>
                  <w:noWrap w:val="0"/>
                  <w:vAlign w:val="center"/>
                </w:tcPr>
                <w:p w14:paraId="3D31A2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排水沟、</w:t>
                  </w:r>
                  <w:r>
                    <w:rPr>
                      <w:rFonts w:hint="default" w:ascii="Times New Roman" w:hAnsi="Times New Roman" w:eastAsia="宋体" w:cs="Times New Roman"/>
                      <w:color w:val="auto"/>
                      <w:sz w:val="21"/>
                      <w:szCs w:val="21"/>
                      <w:highlight w:val="none"/>
                      <w:lang w:val="zh-CN" w:eastAsia="zh-CN"/>
                    </w:rPr>
                    <w:t>编织袋拦挡</w:t>
                  </w:r>
                  <w:r>
                    <w:rPr>
                      <w:rFonts w:hint="default" w:ascii="Times New Roman" w:hAnsi="Times New Roman" w:eastAsia="宋体" w:cs="Times New Roman"/>
                      <w:color w:val="auto"/>
                      <w:sz w:val="21"/>
                      <w:szCs w:val="21"/>
                      <w:highlight w:val="none"/>
                      <w:lang w:val="en-US" w:eastAsia="zh-CN"/>
                    </w:rPr>
                    <w:t>等措施</w:t>
                  </w:r>
                </w:p>
              </w:tc>
              <w:tc>
                <w:tcPr>
                  <w:tcW w:w="908" w:type="dxa"/>
                  <w:noWrap w:val="0"/>
                  <w:vAlign w:val="center"/>
                </w:tcPr>
                <w:p w14:paraId="1BB4A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计入水保投资</w:t>
                  </w:r>
                </w:p>
              </w:tc>
            </w:tr>
            <w:tr w14:paraId="2DA2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continue"/>
                  <w:noWrap w:val="0"/>
                  <w:vAlign w:val="center"/>
                </w:tcPr>
                <w:p w14:paraId="51FDA9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noWrap w:val="0"/>
                  <w:vAlign w:val="center"/>
                </w:tcPr>
                <w:p w14:paraId="12E71C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噪声</w:t>
                  </w:r>
                </w:p>
              </w:tc>
              <w:tc>
                <w:tcPr>
                  <w:tcW w:w="3160" w:type="pct"/>
                  <w:gridSpan w:val="3"/>
                  <w:noWrap w:val="0"/>
                  <w:vAlign w:val="center"/>
                </w:tcPr>
                <w:p w14:paraId="0E0CDD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产噪设备进行隔声、减震处理</w:t>
                  </w:r>
                </w:p>
              </w:tc>
              <w:tc>
                <w:tcPr>
                  <w:tcW w:w="612" w:type="pct"/>
                  <w:noWrap w:val="0"/>
                  <w:vAlign w:val="center"/>
                </w:tcPr>
                <w:p w14:paraId="3C165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val="en-US" w:eastAsia="zh-CN" w:bidi="ar"/>
                    </w:rPr>
                    <w:t>4</w:t>
                  </w:r>
                </w:p>
              </w:tc>
            </w:tr>
            <w:tr w14:paraId="7EAD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612" w:type="pct"/>
                  <w:vMerge w:val="continue"/>
                  <w:noWrap w:val="0"/>
                  <w:vAlign w:val="center"/>
                </w:tcPr>
                <w:p w14:paraId="760616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noWrap w:val="0"/>
                  <w:vAlign w:val="center"/>
                </w:tcPr>
                <w:p w14:paraId="4437B1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固废</w:t>
                  </w:r>
                </w:p>
              </w:tc>
              <w:tc>
                <w:tcPr>
                  <w:tcW w:w="3160" w:type="pct"/>
                  <w:gridSpan w:val="3"/>
                  <w:noWrap w:val="0"/>
                  <w:vAlign w:val="center"/>
                </w:tcPr>
                <w:p w14:paraId="66AF6E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bidi="ar"/>
                    </w:rPr>
                    <w:t>建筑垃圾</w:t>
                  </w:r>
                  <w:r>
                    <w:rPr>
                      <w:rFonts w:hint="default" w:ascii="Times New Roman" w:hAnsi="Times New Roman"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val="en-US" w:eastAsia="zh-CN" w:bidi="ar"/>
                    </w:rPr>
                    <w:t>生活垃圾</w:t>
                  </w:r>
                  <w:r>
                    <w:rPr>
                      <w:rFonts w:hint="default" w:ascii="Times New Roman" w:hAnsi="Times New Roman" w:eastAsia="宋体" w:cs="Times New Roman"/>
                      <w:color w:val="auto"/>
                      <w:kern w:val="0"/>
                      <w:sz w:val="21"/>
                      <w:szCs w:val="21"/>
                      <w:highlight w:val="none"/>
                      <w:lang w:bidi="ar"/>
                    </w:rPr>
                    <w:t>及时清运</w:t>
                  </w:r>
                </w:p>
              </w:tc>
              <w:tc>
                <w:tcPr>
                  <w:tcW w:w="612" w:type="pct"/>
                  <w:noWrap w:val="0"/>
                  <w:vAlign w:val="center"/>
                </w:tcPr>
                <w:p w14:paraId="340FBF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5</w:t>
                  </w:r>
                </w:p>
              </w:tc>
            </w:tr>
            <w:tr w14:paraId="7F3B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vMerge w:val="restart"/>
                  <w:noWrap w:val="0"/>
                  <w:vAlign w:val="center"/>
                </w:tcPr>
                <w:p w14:paraId="4A1BDB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运营期</w:t>
                  </w:r>
                </w:p>
              </w:tc>
              <w:tc>
                <w:tcPr>
                  <w:tcW w:w="614" w:type="pct"/>
                  <w:noWrap w:val="0"/>
                  <w:vAlign w:val="center"/>
                </w:tcPr>
                <w:p w14:paraId="5F6D10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噪声</w:t>
                  </w:r>
                </w:p>
              </w:tc>
              <w:tc>
                <w:tcPr>
                  <w:tcW w:w="3160" w:type="pct"/>
                  <w:gridSpan w:val="3"/>
                  <w:noWrap w:val="0"/>
                  <w:vAlign w:val="center"/>
                </w:tcPr>
                <w:p w14:paraId="2AC29E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设备隔声，</w:t>
                  </w:r>
                  <w:r>
                    <w:rPr>
                      <w:rFonts w:hint="default" w:ascii="Times New Roman" w:hAnsi="Times New Roman" w:eastAsia="宋体" w:cs="Times New Roman"/>
                      <w:color w:val="auto"/>
                      <w:szCs w:val="21"/>
                      <w:highlight w:val="none"/>
                      <w:lang w:val="en-US" w:eastAsia="zh-CN"/>
                    </w:rPr>
                    <w:t>箱式</w:t>
                  </w:r>
                  <w:r>
                    <w:rPr>
                      <w:rFonts w:hint="default" w:ascii="Times New Roman" w:hAnsi="Times New Roman" w:eastAsia="宋体" w:cs="Times New Roman"/>
                      <w:color w:val="auto"/>
                      <w:szCs w:val="21"/>
                      <w:highlight w:val="none"/>
                    </w:rPr>
                    <w:t>变压器减振装置等</w:t>
                  </w:r>
                </w:p>
              </w:tc>
              <w:tc>
                <w:tcPr>
                  <w:tcW w:w="612" w:type="pct"/>
                  <w:noWrap w:val="0"/>
                  <w:vAlign w:val="center"/>
                </w:tcPr>
                <w:p w14:paraId="581099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val="en-US" w:eastAsia="zh-CN" w:bidi="ar"/>
                    </w:rPr>
                    <w:t>3</w:t>
                  </w:r>
                </w:p>
              </w:tc>
            </w:tr>
            <w:tr w14:paraId="0CBC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12" w:type="pct"/>
                  <w:vMerge w:val="continue"/>
                  <w:noWrap w:val="0"/>
                  <w:vAlign w:val="center"/>
                </w:tcPr>
                <w:p w14:paraId="5BB0C5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noWrap w:val="0"/>
                  <w:vAlign w:val="center"/>
                </w:tcPr>
                <w:p w14:paraId="4F4F25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固废</w:t>
                  </w:r>
                </w:p>
              </w:tc>
              <w:tc>
                <w:tcPr>
                  <w:tcW w:w="3160" w:type="pct"/>
                  <w:gridSpan w:val="3"/>
                  <w:noWrap w:val="0"/>
                  <w:vAlign w:val="center"/>
                </w:tcPr>
                <w:p w14:paraId="4D8EA0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bidi="ar"/>
                    </w:rPr>
                    <w:t>项目废光伏板、</w:t>
                  </w:r>
                  <w:r>
                    <w:rPr>
                      <w:rFonts w:hint="default" w:ascii="Times New Roman" w:hAnsi="Times New Roman" w:eastAsia="宋体" w:cs="Times New Roman"/>
                      <w:bCs/>
                      <w:color w:val="auto"/>
                      <w:sz w:val="21"/>
                      <w:szCs w:val="21"/>
                      <w:highlight w:val="none"/>
                      <w:lang w:val="en-US" w:eastAsia="zh-CN"/>
                    </w:rPr>
                    <w:t>废元器件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shd w:val="clear" w:color="auto" w:fill="auto"/>
                    </w:rPr>
                    <w:t>废变压器油</w:t>
                  </w:r>
                  <w:r>
                    <w:rPr>
                      <w:rFonts w:hint="default" w:ascii="Times New Roman" w:hAnsi="Times New Roman" w:eastAsia="宋体" w:cs="Times New Roman"/>
                      <w:color w:val="auto"/>
                      <w:kern w:val="0"/>
                      <w:sz w:val="21"/>
                      <w:szCs w:val="21"/>
                      <w:highlight w:val="none"/>
                      <w:lang w:val="en-US" w:eastAsia="zh-CN" w:bidi="ar"/>
                    </w:rPr>
                    <w:t>清运</w:t>
                  </w:r>
                </w:p>
              </w:tc>
              <w:tc>
                <w:tcPr>
                  <w:tcW w:w="612" w:type="pct"/>
                  <w:noWrap w:val="0"/>
                  <w:vAlign w:val="center"/>
                </w:tcPr>
                <w:p w14:paraId="018FFC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5</w:t>
                  </w:r>
                </w:p>
              </w:tc>
            </w:tr>
            <w:tr w14:paraId="19D2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612" w:type="pct"/>
                  <w:vMerge w:val="continue"/>
                  <w:noWrap w:val="0"/>
                  <w:vAlign w:val="center"/>
                </w:tcPr>
                <w:p w14:paraId="5AD84C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614" w:type="pct"/>
                  <w:noWrap w:val="0"/>
                  <w:vAlign w:val="center"/>
                </w:tcPr>
                <w:p w14:paraId="4A4993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环境风险</w:t>
                  </w:r>
                </w:p>
              </w:tc>
              <w:tc>
                <w:tcPr>
                  <w:tcW w:w="3160" w:type="pct"/>
                  <w:gridSpan w:val="3"/>
                  <w:noWrap w:val="0"/>
                  <w:vAlign w:val="center"/>
                </w:tcPr>
                <w:p w14:paraId="42CDA9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bidi="ar"/>
                    </w:rPr>
                    <w:t>箱变</w:t>
                  </w:r>
                  <w:r>
                    <w:rPr>
                      <w:rFonts w:hint="default" w:ascii="Times New Roman" w:hAnsi="Times New Roman" w:eastAsia="宋体" w:cs="Times New Roman"/>
                      <w:color w:val="auto"/>
                      <w:kern w:val="0"/>
                      <w:sz w:val="21"/>
                      <w:szCs w:val="21"/>
                      <w:highlight w:val="none"/>
                      <w:lang w:val="en-US" w:eastAsia="zh-CN" w:bidi="ar"/>
                    </w:rPr>
                    <w:t>事故油池16个，</w:t>
                  </w:r>
                  <w:r>
                    <w:rPr>
                      <w:rFonts w:hint="default" w:ascii="Times New Roman" w:hAnsi="Times New Roman" w:eastAsia="宋体" w:cs="Times New Roman"/>
                      <w:color w:val="auto"/>
                      <w:kern w:val="0"/>
                      <w:sz w:val="21"/>
                      <w:szCs w:val="21"/>
                      <w:highlight w:val="none"/>
                    </w:rPr>
                    <w:t>其中</w:t>
                  </w:r>
                  <w:r>
                    <w:rPr>
                      <w:rFonts w:hint="default" w:ascii="Times New Roman" w:hAnsi="Times New Roman" w:eastAsia="宋体" w:cs="Times New Roman"/>
                      <w:color w:val="auto"/>
                      <w:kern w:val="0"/>
                      <w:sz w:val="21"/>
                      <w:szCs w:val="21"/>
                      <w:highlight w:val="none"/>
                      <w:lang w:val="en-US" w:eastAsia="zh-CN"/>
                    </w:rPr>
                    <w:t>3个容积不低于2.4m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、7个容积不低于2.81m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、6个容积不低于3m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bidi="ar"/>
                    </w:rPr>
                    <w:t>，池</w:t>
                  </w:r>
                  <w:r>
                    <w:rPr>
                      <w:rFonts w:hint="default" w:ascii="Times New Roman" w:hAnsi="Times New Roman" w:eastAsia="宋体" w:cs="Times New Roman"/>
                      <w:color w:val="auto"/>
                      <w:kern w:val="0"/>
                      <w:sz w:val="21"/>
                      <w:szCs w:val="21"/>
                      <w:highlight w:val="none"/>
                      <w:lang w:bidi="ar"/>
                    </w:rPr>
                    <w:t>体进行防渗处理</w:t>
                  </w:r>
                </w:p>
              </w:tc>
              <w:tc>
                <w:tcPr>
                  <w:tcW w:w="612" w:type="pct"/>
                  <w:noWrap w:val="0"/>
                  <w:vAlign w:val="center"/>
                </w:tcPr>
                <w:p w14:paraId="3F2F3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15</w:t>
                  </w:r>
                </w:p>
              </w:tc>
            </w:tr>
            <w:tr w14:paraId="509C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27" w:type="pct"/>
                  <w:gridSpan w:val="2"/>
                  <w:noWrap w:val="0"/>
                  <w:vAlign w:val="center"/>
                </w:tcPr>
                <w:p w14:paraId="3F054B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其他</w:t>
                  </w:r>
                </w:p>
              </w:tc>
              <w:tc>
                <w:tcPr>
                  <w:tcW w:w="3160" w:type="pct"/>
                  <w:gridSpan w:val="3"/>
                  <w:noWrap w:val="0"/>
                  <w:vAlign w:val="center"/>
                </w:tcPr>
                <w:p w14:paraId="7B28C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eastAsia="zh-CN" w:bidi="ar"/>
                    </w:rPr>
                  </w:pPr>
                  <w:r>
                    <w:rPr>
                      <w:rFonts w:hint="default" w:ascii="Times New Roman" w:hAnsi="Times New Roman" w:eastAsia="宋体" w:cs="Times New Roman"/>
                      <w:color w:val="auto"/>
                      <w:kern w:val="0"/>
                      <w:szCs w:val="21"/>
                      <w:highlight w:val="none"/>
                      <w:lang w:bidi="ar"/>
                    </w:rPr>
                    <w:t>环境影响评价</w:t>
                  </w:r>
                  <w:r>
                    <w:rPr>
                      <w:rFonts w:hint="default" w:ascii="Times New Roman" w:hAnsi="Times New Roman" w:eastAsia="宋体"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施工期环境监理</w:t>
                  </w:r>
                  <w:r>
                    <w:rPr>
                      <w:rFonts w:hint="default" w:ascii="Times New Roman" w:hAnsi="Times New Roman" w:eastAsia="宋体"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竣工环保验收</w:t>
                  </w:r>
                  <w:r>
                    <w:rPr>
                      <w:rFonts w:hint="default" w:ascii="Times New Roman" w:hAnsi="Times New Roman" w:eastAsia="宋体" w:cs="Times New Roman"/>
                      <w:color w:val="auto"/>
                      <w:kern w:val="0"/>
                      <w:szCs w:val="21"/>
                      <w:highlight w:val="none"/>
                      <w:lang w:eastAsia="zh-CN" w:bidi="ar"/>
                    </w:rPr>
                    <w:t>、</w:t>
                  </w:r>
                </w:p>
                <w:p w14:paraId="0D5AFE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环境监测</w:t>
                  </w:r>
                  <w:r>
                    <w:rPr>
                      <w:rFonts w:hint="default" w:ascii="Times New Roman" w:hAnsi="Times New Roman" w:eastAsia="宋体"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环境风险应急预案</w:t>
                  </w:r>
                  <w:r>
                    <w:rPr>
                      <w:rFonts w:hint="default" w:ascii="Times New Roman" w:hAnsi="Times New Roman" w:eastAsia="宋体" w:cs="Times New Roman"/>
                      <w:color w:val="auto"/>
                      <w:kern w:val="0"/>
                      <w:szCs w:val="21"/>
                      <w:highlight w:val="none"/>
                      <w:lang w:eastAsia="zh-CN" w:bidi="ar"/>
                    </w:rPr>
                    <w:t>、</w:t>
                  </w:r>
                  <w:r>
                    <w:rPr>
                      <w:rFonts w:hint="default" w:ascii="Times New Roman" w:hAnsi="Times New Roman" w:eastAsia="宋体" w:cs="Times New Roman"/>
                      <w:color w:val="auto"/>
                      <w:kern w:val="0"/>
                      <w:szCs w:val="21"/>
                      <w:highlight w:val="none"/>
                      <w:lang w:bidi="ar"/>
                    </w:rPr>
                    <w:t>标识、标牌制作</w:t>
                  </w:r>
                </w:p>
              </w:tc>
              <w:tc>
                <w:tcPr>
                  <w:tcW w:w="612" w:type="pct"/>
                  <w:noWrap w:val="0"/>
                  <w:vAlign w:val="center"/>
                </w:tcPr>
                <w:p w14:paraId="6832B1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20</w:t>
                  </w:r>
                </w:p>
              </w:tc>
            </w:tr>
            <w:tr w14:paraId="0C26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12" w:type="pct"/>
                  <w:noWrap w:val="0"/>
                  <w:vAlign w:val="center"/>
                </w:tcPr>
                <w:p w14:paraId="1E86C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运营期满</w:t>
                  </w:r>
                </w:p>
              </w:tc>
              <w:tc>
                <w:tcPr>
                  <w:tcW w:w="614" w:type="pct"/>
                  <w:noWrap w:val="0"/>
                  <w:vAlign w:val="center"/>
                </w:tcPr>
                <w:p w14:paraId="7DA6B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生态</w:t>
                  </w:r>
                </w:p>
              </w:tc>
              <w:tc>
                <w:tcPr>
                  <w:tcW w:w="3160" w:type="pct"/>
                  <w:gridSpan w:val="3"/>
                  <w:noWrap w:val="0"/>
                  <w:vAlign w:val="center"/>
                </w:tcPr>
                <w:p w14:paraId="310E3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
                      <w:sz w:val="21"/>
                      <w:szCs w:val="21"/>
                      <w:highlight w:val="none"/>
                    </w:rPr>
                    <w:t>临时占用的场内道路边坡及施工场地区进行施工迹地恢复</w:t>
                  </w:r>
                </w:p>
              </w:tc>
              <w:tc>
                <w:tcPr>
                  <w:tcW w:w="612" w:type="pct"/>
                  <w:noWrap w:val="0"/>
                  <w:vAlign w:val="center"/>
                </w:tcPr>
                <w:p w14:paraId="3C6C72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Cs w:val="21"/>
                      <w:highlight w:val="none"/>
                      <w:lang w:val="en-US" w:eastAsia="zh-CN" w:bidi="ar"/>
                    </w:rPr>
                    <w:t>30</w:t>
                  </w:r>
                </w:p>
              </w:tc>
            </w:tr>
            <w:tr w14:paraId="117F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81" w:type="pct"/>
                  <w:gridSpan w:val="3"/>
                  <w:noWrap w:val="0"/>
                  <w:vAlign w:val="center"/>
                </w:tcPr>
                <w:p w14:paraId="7D0B3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总计</w:t>
                  </w:r>
                </w:p>
              </w:tc>
              <w:tc>
                <w:tcPr>
                  <w:tcW w:w="486" w:type="pct"/>
                  <w:noWrap w:val="0"/>
                  <w:vAlign w:val="center"/>
                </w:tcPr>
                <w:p w14:paraId="5F07D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w:t>
                  </w:r>
                </w:p>
              </w:tc>
              <w:tc>
                <w:tcPr>
                  <w:tcW w:w="1020" w:type="pct"/>
                  <w:noWrap w:val="0"/>
                  <w:vAlign w:val="center"/>
                </w:tcPr>
                <w:p w14:paraId="72A6C9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w:t>
                  </w:r>
                </w:p>
              </w:tc>
              <w:tc>
                <w:tcPr>
                  <w:tcW w:w="612" w:type="pct"/>
                  <w:noWrap w:val="0"/>
                  <w:vAlign w:val="center"/>
                </w:tcPr>
                <w:p w14:paraId="7DAFC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95</w:t>
                  </w:r>
                </w:p>
              </w:tc>
            </w:tr>
          </w:tbl>
          <w:p w14:paraId="2027DAE8">
            <w:pPr>
              <w:keepNext w:val="0"/>
              <w:keepLines w:val="0"/>
              <w:suppressLineNumbers w:val="0"/>
              <w:shd w:val="clear"/>
              <w:adjustRightInd w:val="0"/>
              <w:snapToGrid w:val="0"/>
              <w:spacing w:before="0" w:beforeAutospacing="0" w:after="0" w:afterAutospacing="0"/>
              <w:ind w:left="0" w:right="0"/>
              <w:rPr>
                <w:rFonts w:hint="default"/>
                <w:bCs/>
                <w:color w:val="auto"/>
                <w:spacing w:val="10"/>
                <w:szCs w:val="21"/>
                <w:highlight w:val="none"/>
                <w:shd w:val="clear" w:color="auto" w:fill="auto"/>
              </w:rPr>
            </w:pPr>
          </w:p>
        </w:tc>
      </w:tr>
    </w:tbl>
    <w:p w14:paraId="6ADEC5EF">
      <w:pPr>
        <w:shd w:val="clear"/>
        <w:rPr>
          <w:color w:val="auto"/>
          <w:highlight w:val="none"/>
          <w:shd w:val="clear" w:color="auto" w:fill="auto"/>
        </w:rPr>
        <w:sectPr>
          <w:pgSz w:w="11907" w:h="16840"/>
          <w:pgMar w:top="1440" w:right="1797" w:bottom="1440" w:left="1797" w:header="851" w:footer="1077" w:gutter="0"/>
          <w:pgNumType w:fmt="decimal"/>
          <w:cols w:space="425" w:num="1"/>
          <w:docGrid w:linePitch="312" w:charSpace="0"/>
        </w:sectPr>
      </w:pPr>
    </w:p>
    <w:p w14:paraId="2C3CE3C1">
      <w:pPr>
        <w:pStyle w:val="38"/>
        <w:shd w:val="clear"/>
        <w:spacing w:before="0" w:beforeAutospacing="0" w:after="0" w:afterAutospacing="0" w:line="360" w:lineRule="auto"/>
        <w:outlineLvl w:val="0"/>
        <w:rPr>
          <w:b/>
          <w:bCs/>
          <w:snapToGrid w:val="0"/>
          <w:color w:val="auto"/>
          <w:sz w:val="30"/>
          <w:szCs w:val="30"/>
          <w:highlight w:val="none"/>
          <w:shd w:val="clear" w:color="auto" w:fill="auto"/>
        </w:rPr>
      </w:pPr>
      <w:bookmarkStart w:id="84" w:name="_Toc12173"/>
      <w:r>
        <w:rPr>
          <w:b/>
          <w:bCs/>
          <w:snapToGrid w:val="0"/>
          <w:color w:val="auto"/>
          <w:sz w:val="30"/>
          <w:szCs w:val="30"/>
          <w:highlight w:val="none"/>
          <w:shd w:val="clear" w:color="auto" w:fill="auto"/>
        </w:rPr>
        <w:t>六、生态环境保护措施监督检查清单</w:t>
      </w:r>
      <w:bookmarkEnd w:id="84"/>
    </w:p>
    <w:tbl>
      <w:tblPr>
        <w:tblStyle w:val="41"/>
        <w:tblW w:w="141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1"/>
        <w:gridCol w:w="4874"/>
        <w:gridCol w:w="1802"/>
        <w:gridCol w:w="3813"/>
        <w:gridCol w:w="2124"/>
      </w:tblGrid>
      <w:tr w14:paraId="0603DF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tblHeader/>
          <w:jc w:val="center"/>
        </w:trPr>
        <w:tc>
          <w:tcPr>
            <w:tcW w:w="1561" w:type="dxa"/>
            <w:vMerge w:val="restart"/>
            <w:tcBorders>
              <w:top w:val="single" w:color="auto" w:sz="2" w:space="0"/>
              <w:left w:val="single" w:color="auto" w:sz="2" w:space="0"/>
              <w:bottom w:val="single" w:color="auto" w:sz="2" w:space="0"/>
              <w:right w:val="single" w:color="auto" w:sz="2" w:space="0"/>
              <w:tl2br w:val="single" w:color="auto" w:sz="4" w:space="0"/>
            </w:tcBorders>
          </w:tcPr>
          <w:p w14:paraId="5950E4F4">
            <w:pPr>
              <w:pStyle w:val="38"/>
              <w:keepNext w:val="0"/>
              <w:keepLines w:val="0"/>
              <w:suppressLineNumbers w:val="0"/>
              <w:shd w:val="clear"/>
              <w:adjustRightInd w:val="0"/>
              <w:snapToGrid w:val="0"/>
              <w:spacing w:before="0" w:beforeAutospacing="0" w:after="0" w:afterAutospacing="0"/>
              <w:ind w:left="422" w:right="0" w:hanging="422" w:hangingChars="200"/>
              <w:outlineLvl w:val="0"/>
              <w:rPr>
                <w:rFonts w:hint="default" w:ascii="Times New Roman" w:hAnsi="Times New Roman"/>
                <w:b/>
                <w:bCs/>
                <w:color w:val="auto"/>
                <w:kern w:val="2"/>
                <w:sz w:val="21"/>
                <w:szCs w:val="21"/>
                <w:highlight w:val="none"/>
                <w:shd w:val="clear" w:color="auto" w:fill="auto"/>
              </w:rPr>
            </w:pPr>
            <w:bookmarkStart w:id="85" w:name="_Toc69118011"/>
            <w:r>
              <w:rPr>
                <w:rFonts w:hint="default" w:ascii="Times New Roman" w:hAnsi="Times New Roman"/>
                <w:b/>
                <w:bCs/>
                <w:color w:val="auto"/>
                <w:kern w:val="2"/>
                <w:sz w:val="21"/>
                <w:szCs w:val="21"/>
                <w:highlight w:val="none"/>
                <w:shd w:val="clear" w:color="auto" w:fill="auto"/>
              </w:rPr>
              <w:t xml:space="preserve">    </w:t>
            </w:r>
            <w:bookmarkStart w:id="86" w:name="_Toc28053"/>
            <w:bookmarkStart w:id="87" w:name="_Toc15523"/>
            <w:bookmarkStart w:id="88" w:name="_Toc16287"/>
            <w:bookmarkStart w:id="89" w:name="_Toc24620"/>
            <w:r>
              <w:rPr>
                <w:rFonts w:hint="eastAsia" w:ascii="Times New Roman" w:hAnsi="Times New Roman"/>
                <w:b/>
                <w:bCs/>
                <w:color w:val="auto"/>
                <w:kern w:val="2"/>
                <w:sz w:val="21"/>
                <w:szCs w:val="21"/>
                <w:highlight w:val="none"/>
                <w:shd w:val="clear" w:color="auto" w:fill="auto"/>
                <w:lang w:val="en-US" w:eastAsia="zh-CN"/>
              </w:rPr>
              <w:t xml:space="preserve">    </w:t>
            </w:r>
            <w:bookmarkStart w:id="90" w:name="_Toc348"/>
            <w:bookmarkStart w:id="91" w:name="_Toc32061"/>
            <w:bookmarkStart w:id="92" w:name="_Toc29344"/>
            <w:bookmarkStart w:id="93" w:name="_Toc22097"/>
            <w:bookmarkStart w:id="94" w:name="_Toc7288"/>
            <w:r>
              <w:rPr>
                <w:rFonts w:hint="default" w:ascii="Times New Roman" w:hAnsi="Times New Roman"/>
                <w:b/>
                <w:bCs/>
                <w:color w:val="auto"/>
                <w:kern w:val="2"/>
                <w:sz w:val="21"/>
                <w:szCs w:val="21"/>
                <w:highlight w:val="none"/>
                <w:shd w:val="clear" w:color="auto" w:fill="auto"/>
              </w:rPr>
              <w:t>内容</w:t>
            </w:r>
            <w:bookmarkEnd w:id="85"/>
            <w:bookmarkEnd w:id="86"/>
            <w:bookmarkEnd w:id="87"/>
            <w:bookmarkEnd w:id="88"/>
            <w:bookmarkEnd w:id="89"/>
            <w:bookmarkEnd w:id="90"/>
            <w:bookmarkEnd w:id="91"/>
            <w:bookmarkEnd w:id="92"/>
            <w:bookmarkEnd w:id="93"/>
            <w:bookmarkEnd w:id="94"/>
            <w:bookmarkStart w:id="95" w:name="_Toc69118012"/>
          </w:p>
          <w:p w14:paraId="48FB63D6">
            <w:pPr>
              <w:pStyle w:val="38"/>
              <w:keepNext w:val="0"/>
              <w:keepLines w:val="0"/>
              <w:suppressLineNumbers w:val="0"/>
              <w:shd w:val="clear"/>
              <w:adjustRightInd w:val="0"/>
              <w:snapToGrid w:val="0"/>
              <w:spacing w:before="0" w:beforeAutospacing="0" w:after="0" w:afterAutospacing="0"/>
              <w:ind w:left="0" w:right="0"/>
              <w:outlineLvl w:val="0"/>
              <w:rPr>
                <w:rFonts w:hint="default" w:ascii="Times New Roman" w:hAnsi="Times New Roman"/>
                <w:b/>
                <w:bCs/>
                <w:color w:val="auto"/>
                <w:kern w:val="2"/>
                <w:sz w:val="21"/>
                <w:szCs w:val="21"/>
                <w:highlight w:val="none"/>
                <w:shd w:val="clear" w:color="auto" w:fill="auto"/>
              </w:rPr>
            </w:pPr>
            <w:bookmarkStart w:id="96" w:name="_Toc21118"/>
            <w:bookmarkStart w:id="97" w:name="_Toc21802"/>
            <w:bookmarkStart w:id="98" w:name="_Toc9029"/>
            <w:bookmarkStart w:id="99" w:name="_Toc2472"/>
            <w:bookmarkStart w:id="100" w:name="_Toc12821"/>
            <w:bookmarkStart w:id="101" w:name="_Toc29629"/>
            <w:bookmarkStart w:id="102" w:name="_Toc7618"/>
            <w:bookmarkStart w:id="103" w:name="_Toc9591"/>
            <w:bookmarkStart w:id="104" w:name="_Toc25010"/>
            <w:r>
              <w:rPr>
                <w:rFonts w:hint="default" w:ascii="Times New Roman" w:hAnsi="Times New Roman"/>
                <w:b/>
                <w:bCs/>
                <w:color w:val="auto"/>
                <w:kern w:val="2"/>
                <w:sz w:val="21"/>
                <w:szCs w:val="21"/>
                <w:highlight w:val="none"/>
                <w:shd w:val="clear" w:color="auto" w:fill="auto"/>
              </w:rPr>
              <w:t>要素</w:t>
            </w:r>
            <w:bookmarkEnd w:id="95"/>
            <w:bookmarkEnd w:id="96"/>
            <w:bookmarkEnd w:id="97"/>
            <w:bookmarkEnd w:id="98"/>
            <w:bookmarkEnd w:id="99"/>
            <w:bookmarkEnd w:id="100"/>
            <w:bookmarkEnd w:id="101"/>
            <w:bookmarkEnd w:id="102"/>
            <w:bookmarkEnd w:id="103"/>
            <w:bookmarkEnd w:id="104"/>
          </w:p>
        </w:tc>
        <w:tc>
          <w:tcPr>
            <w:tcW w:w="6676" w:type="dxa"/>
            <w:gridSpan w:val="2"/>
            <w:tcBorders>
              <w:top w:val="single" w:color="auto" w:sz="2" w:space="0"/>
              <w:left w:val="single" w:color="auto" w:sz="2" w:space="0"/>
              <w:bottom w:val="single" w:color="auto" w:sz="2" w:space="0"/>
              <w:right w:val="single" w:color="auto" w:sz="2" w:space="0"/>
            </w:tcBorders>
            <w:vAlign w:val="center"/>
          </w:tcPr>
          <w:p w14:paraId="14320E6E">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05" w:name="_Toc18281"/>
            <w:bookmarkStart w:id="106" w:name="_Toc25855"/>
            <w:bookmarkStart w:id="107" w:name="_Toc11294"/>
            <w:bookmarkStart w:id="108" w:name="_Toc5732"/>
            <w:bookmarkStart w:id="109" w:name="_Toc13225"/>
            <w:bookmarkStart w:id="110" w:name="_Toc17660"/>
            <w:bookmarkStart w:id="111" w:name="_Toc17278"/>
            <w:bookmarkStart w:id="112" w:name="_Toc25816"/>
            <w:bookmarkStart w:id="113" w:name="_Toc69118013"/>
            <w:bookmarkStart w:id="114" w:name="_Toc32185"/>
            <w:r>
              <w:rPr>
                <w:rFonts w:hint="default" w:ascii="Times New Roman" w:hAnsi="Times New Roman"/>
                <w:b/>
                <w:bCs/>
                <w:color w:val="auto"/>
                <w:kern w:val="2"/>
                <w:sz w:val="21"/>
                <w:szCs w:val="21"/>
                <w:highlight w:val="none"/>
                <w:shd w:val="clear" w:color="auto" w:fill="auto"/>
              </w:rPr>
              <w:t>施工期</w:t>
            </w:r>
            <w:bookmarkEnd w:id="105"/>
            <w:bookmarkEnd w:id="106"/>
            <w:bookmarkEnd w:id="107"/>
            <w:bookmarkEnd w:id="108"/>
            <w:bookmarkEnd w:id="109"/>
            <w:bookmarkEnd w:id="110"/>
            <w:bookmarkEnd w:id="111"/>
            <w:bookmarkEnd w:id="112"/>
            <w:bookmarkEnd w:id="113"/>
            <w:bookmarkEnd w:id="114"/>
          </w:p>
        </w:tc>
        <w:tc>
          <w:tcPr>
            <w:tcW w:w="5937" w:type="dxa"/>
            <w:gridSpan w:val="2"/>
            <w:tcBorders>
              <w:top w:val="single" w:color="auto" w:sz="2" w:space="0"/>
              <w:left w:val="single" w:color="auto" w:sz="2" w:space="0"/>
              <w:bottom w:val="single" w:color="auto" w:sz="2" w:space="0"/>
              <w:right w:val="single" w:color="auto" w:sz="2" w:space="0"/>
            </w:tcBorders>
            <w:vAlign w:val="center"/>
          </w:tcPr>
          <w:p w14:paraId="4C4CB4E7">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15" w:name="_Toc29004"/>
            <w:bookmarkStart w:id="116" w:name="_Toc26174"/>
            <w:bookmarkStart w:id="117" w:name="_Toc30629"/>
            <w:bookmarkStart w:id="118" w:name="_Toc31660"/>
            <w:bookmarkStart w:id="119" w:name="_Toc6980"/>
            <w:bookmarkStart w:id="120" w:name="_Toc23138"/>
            <w:bookmarkStart w:id="121" w:name="_Toc10383"/>
            <w:bookmarkStart w:id="122" w:name="_Toc7319"/>
            <w:bookmarkStart w:id="123" w:name="_Toc69118014"/>
            <w:bookmarkStart w:id="124" w:name="_Toc28723"/>
            <w:r>
              <w:rPr>
                <w:rFonts w:hint="default" w:ascii="Times New Roman" w:hAnsi="Times New Roman"/>
                <w:b/>
                <w:bCs/>
                <w:color w:val="auto"/>
                <w:kern w:val="2"/>
                <w:sz w:val="21"/>
                <w:szCs w:val="21"/>
                <w:highlight w:val="none"/>
                <w:shd w:val="clear" w:color="auto" w:fill="auto"/>
              </w:rPr>
              <w:t>运营期</w:t>
            </w:r>
            <w:bookmarkEnd w:id="115"/>
            <w:bookmarkEnd w:id="116"/>
            <w:bookmarkEnd w:id="117"/>
            <w:bookmarkEnd w:id="118"/>
            <w:bookmarkEnd w:id="119"/>
            <w:bookmarkEnd w:id="120"/>
            <w:bookmarkEnd w:id="121"/>
            <w:bookmarkEnd w:id="122"/>
            <w:bookmarkEnd w:id="123"/>
            <w:bookmarkEnd w:id="124"/>
          </w:p>
        </w:tc>
      </w:tr>
      <w:tr w14:paraId="6E9CE7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3" w:hRule="atLeast"/>
          <w:tblHeader/>
          <w:jc w:val="center"/>
        </w:trPr>
        <w:tc>
          <w:tcPr>
            <w:tcW w:w="1561" w:type="dxa"/>
            <w:vMerge w:val="continue"/>
            <w:tcBorders>
              <w:top w:val="single" w:color="auto" w:sz="2" w:space="0"/>
              <w:left w:val="single" w:color="auto" w:sz="2" w:space="0"/>
              <w:bottom w:val="single" w:color="auto" w:sz="2" w:space="0"/>
              <w:right w:val="single" w:color="auto" w:sz="2" w:space="0"/>
            </w:tcBorders>
          </w:tcPr>
          <w:p w14:paraId="242EFB56">
            <w:pPr>
              <w:pStyle w:val="38"/>
              <w:keepNext w:val="0"/>
              <w:keepLines w:val="0"/>
              <w:suppressLineNumbers w:val="0"/>
              <w:shd w:val="clear"/>
              <w:adjustRightInd w:val="0"/>
              <w:snapToGrid w:val="0"/>
              <w:spacing w:before="0" w:beforeAutospacing="0" w:after="0" w:afterAutospacing="0"/>
              <w:ind w:left="0" w:right="0" w:firstLine="840"/>
              <w:jc w:val="center"/>
              <w:outlineLvl w:val="0"/>
              <w:rPr>
                <w:rFonts w:hint="default" w:ascii="Times New Roman" w:hAnsi="Times New Roman"/>
                <w:b/>
                <w:bCs/>
                <w:color w:val="auto"/>
                <w:kern w:val="2"/>
                <w:sz w:val="21"/>
                <w:szCs w:val="21"/>
                <w:highlight w:val="none"/>
                <w:shd w:val="clear" w:color="auto" w:fill="auto"/>
              </w:rPr>
            </w:pPr>
          </w:p>
        </w:tc>
        <w:tc>
          <w:tcPr>
            <w:tcW w:w="4874" w:type="dxa"/>
            <w:tcBorders>
              <w:top w:val="single" w:color="auto" w:sz="2" w:space="0"/>
              <w:left w:val="single" w:color="auto" w:sz="2" w:space="0"/>
              <w:bottom w:val="single" w:color="auto" w:sz="2" w:space="0"/>
              <w:right w:val="single" w:color="auto" w:sz="2" w:space="0"/>
            </w:tcBorders>
            <w:vAlign w:val="center"/>
          </w:tcPr>
          <w:p w14:paraId="1B2FC546">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25" w:name="_Toc69118015"/>
            <w:bookmarkStart w:id="126" w:name="_Toc10773"/>
            <w:bookmarkStart w:id="127" w:name="_Toc23045"/>
            <w:bookmarkStart w:id="128" w:name="_Toc13433"/>
            <w:bookmarkStart w:id="129" w:name="_Toc26924"/>
            <w:bookmarkStart w:id="130" w:name="_Toc26226"/>
            <w:bookmarkStart w:id="131" w:name="_Toc24906"/>
            <w:bookmarkStart w:id="132" w:name="_Toc17177"/>
            <w:bookmarkStart w:id="133" w:name="_Toc25989"/>
            <w:bookmarkStart w:id="134" w:name="_Toc25779"/>
            <w:r>
              <w:rPr>
                <w:rFonts w:hint="default" w:ascii="Times New Roman" w:hAnsi="Times New Roman"/>
                <w:b/>
                <w:bCs/>
                <w:color w:val="auto"/>
                <w:kern w:val="2"/>
                <w:sz w:val="21"/>
                <w:szCs w:val="21"/>
                <w:highlight w:val="none"/>
                <w:shd w:val="clear" w:color="auto" w:fill="auto"/>
              </w:rPr>
              <w:t>环境保护措施</w:t>
            </w:r>
            <w:bookmarkEnd w:id="125"/>
            <w:bookmarkEnd w:id="126"/>
            <w:bookmarkEnd w:id="127"/>
            <w:bookmarkEnd w:id="128"/>
            <w:bookmarkEnd w:id="129"/>
            <w:bookmarkEnd w:id="130"/>
            <w:bookmarkEnd w:id="131"/>
            <w:bookmarkEnd w:id="132"/>
            <w:bookmarkEnd w:id="133"/>
            <w:bookmarkEnd w:id="134"/>
          </w:p>
        </w:tc>
        <w:tc>
          <w:tcPr>
            <w:tcW w:w="1802" w:type="dxa"/>
            <w:tcBorders>
              <w:top w:val="single" w:color="auto" w:sz="2" w:space="0"/>
              <w:left w:val="single" w:color="auto" w:sz="2" w:space="0"/>
              <w:bottom w:val="single" w:color="auto" w:sz="2" w:space="0"/>
              <w:right w:val="single" w:color="auto" w:sz="2" w:space="0"/>
            </w:tcBorders>
            <w:vAlign w:val="center"/>
          </w:tcPr>
          <w:p w14:paraId="7383A9EA">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35" w:name="_Toc20504"/>
            <w:bookmarkStart w:id="136" w:name="_Toc23739"/>
            <w:bookmarkStart w:id="137" w:name="_Toc17698"/>
            <w:bookmarkStart w:id="138" w:name="_Toc5826"/>
            <w:bookmarkStart w:id="139" w:name="_Toc4138"/>
            <w:bookmarkStart w:id="140" w:name="_Toc69118016"/>
            <w:bookmarkStart w:id="141" w:name="_Toc16271"/>
            <w:bookmarkStart w:id="142" w:name="_Toc6601"/>
            <w:bookmarkStart w:id="143" w:name="_Toc13479"/>
            <w:bookmarkStart w:id="144" w:name="_Toc26437"/>
            <w:r>
              <w:rPr>
                <w:rFonts w:hint="default" w:ascii="Times New Roman" w:hAnsi="Times New Roman"/>
                <w:b/>
                <w:bCs/>
                <w:color w:val="auto"/>
                <w:kern w:val="2"/>
                <w:sz w:val="21"/>
                <w:szCs w:val="21"/>
                <w:highlight w:val="none"/>
                <w:shd w:val="clear" w:color="auto" w:fill="auto"/>
              </w:rPr>
              <w:t>验收要求</w:t>
            </w:r>
            <w:bookmarkEnd w:id="135"/>
            <w:bookmarkEnd w:id="136"/>
            <w:bookmarkEnd w:id="137"/>
            <w:bookmarkEnd w:id="138"/>
            <w:bookmarkEnd w:id="139"/>
            <w:bookmarkEnd w:id="140"/>
            <w:bookmarkEnd w:id="141"/>
            <w:bookmarkEnd w:id="142"/>
            <w:bookmarkEnd w:id="143"/>
            <w:bookmarkEnd w:id="144"/>
          </w:p>
        </w:tc>
        <w:tc>
          <w:tcPr>
            <w:tcW w:w="3813" w:type="dxa"/>
            <w:tcBorders>
              <w:top w:val="single" w:color="auto" w:sz="2" w:space="0"/>
              <w:left w:val="single" w:color="auto" w:sz="2" w:space="0"/>
              <w:bottom w:val="single" w:color="auto" w:sz="2" w:space="0"/>
              <w:right w:val="single" w:color="auto" w:sz="2" w:space="0"/>
            </w:tcBorders>
            <w:vAlign w:val="center"/>
          </w:tcPr>
          <w:p w14:paraId="7A1BF5CA">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45" w:name="_Toc13853"/>
            <w:bookmarkStart w:id="146" w:name="_Toc2519"/>
            <w:bookmarkStart w:id="147" w:name="_Toc1480"/>
            <w:bookmarkStart w:id="148" w:name="_Toc12968"/>
            <w:bookmarkStart w:id="149" w:name="_Toc5727"/>
            <w:bookmarkStart w:id="150" w:name="_Toc29593"/>
            <w:bookmarkStart w:id="151" w:name="_Toc69118017"/>
            <w:bookmarkStart w:id="152" w:name="_Toc22881"/>
            <w:bookmarkStart w:id="153" w:name="_Toc11068"/>
            <w:bookmarkStart w:id="154" w:name="_Toc23793"/>
            <w:r>
              <w:rPr>
                <w:rFonts w:hint="default" w:ascii="Times New Roman" w:hAnsi="Times New Roman"/>
                <w:b/>
                <w:bCs/>
                <w:color w:val="auto"/>
                <w:kern w:val="2"/>
                <w:sz w:val="21"/>
                <w:szCs w:val="21"/>
                <w:highlight w:val="none"/>
                <w:shd w:val="clear" w:color="auto" w:fill="auto"/>
              </w:rPr>
              <w:t>环境保护措施</w:t>
            </w:r>
            <w:bookmarkEnd w:id="145"/>
            <w:bookmarkEnd w:id="146"/>
            <w:bookmarkEnd w:id="147"/>
            <w:bookmarkEnd w:id="148"/>
            <w:bookmarkEnd w:id="149"/>
            <w:bookmarkEnd w:id="150"/>
            <w:bookmarkEnd w:id="151"/>
            <w:bookmarkEnd w:id="152"/>
            <w:bookmarkEnd w:id="153"/>
            <w:bookmarkEnd w:id="154"/>
          </w:p>
        </w:tc>
        <w:tc>
          <w:tcPr>
            <w:tcW w:w="2124" w:type="dxa"/>
            <w:tcBorders>
              <w:top w:val="single" w:color="auto" w:sz="2" w:space="0"/>
              <w:left w:val="single" w:color="auto" w:sz="2" w:space="0"/>
              <w:bottom w:val="single" w:color="auto" w:sz="2" w:space="0"/>
              <w:right w:val="single" w:color="auto" w:sz="2" w:space="0"/>
            </w:tcBorders>
            <w:vAlign w:val="center"/>
          </w:tcPr>
          <w:p w14:paraId="53E3F4C2">
            <w:pPr>
              <w:pStyle w:val="38"/>
              <w:keepNext w:val="0"/>
              <w:keepLines w:val="0"/>
              <w:suppressLineNumbers w:val="0"/>
              <w:shd w:val="clear"/>
              <w:adjustRightInd w:val="0"/>
              <w:snapToGrid w:val="0"/>
              <w:spacing w:before="0" w:beforeAutospacing="0" w:after="0" w:afterAutospacing="0"/>
              <w:ind w:left="0" w:right="0"/>
              <w:jc w:val="center"/>
              <w:outlineLvl w:val="0"/>
              <w:rPr>
                <w:rFonts w:hint="default" w:ascii="Times New Roman" w:hAnsi="Times New Roman"/>
                <w:b/>
                <w:bCs/>
                <w:color w:val="auto"/>
                <w:kern w:val="2"/>
                <w:sz w:val="21"/>
                <w:szCs w:val="21"/>
                <w:highlight w:val="none"/>
                <w:shd w:val="clear" w:color="auto" w:fill="auto"/>
              </w:rPr>
            </w:pPr>
            <w:bookmarkStart w:id="155" w:name="_Toc10470"/>
            <w:bookmarkStart w:id="156" w:name="_Toc26960"/>
            <w:bookmarkStart w:id="157" w:name="_Toc20724"/>
            <w:bookmarkStart w:id="158" w:name="_Toc9916"/>
            <w:bookmarkStart w:id="159" w:name="_Toc3308"/>
            <w:bookmarkStart w:id="160" w:name="_Toc26228"/>
            <w:bookmarkStart w:id="161" w:name="_Toc13103"/>
            <w:bookmarkStart w:id="162" w:name="_Toc27226"/>
            <w:bookmarkStart w:id="163" w:name="_Toc69118018"/>
            <w:bookmarkStart w:id="164" w:name="_Toc29980"/>
            <w:r>
              <w:rPr>
                <w:rFonts w:hint="default" w:ascii="Times New Roman" w:hAnsi="Times New Roman"/>
                <w:b/>
                <w:bCs/>
                <w:color w:val="auto"/>
                <w:kern w:val="2"/>
                <w:sz w:val="21"/>
                <w:szCs w:val="21"/>
                <w:highlight w:val="none"/>
                <w:shd w:val="clear" w:color="auto" w:fill="auto"/>
              </w:rPr>
              <w:t>验收要求</w:t>
            </w:r>
            <w:bookmarkEnd w:id="155"/>
            <w:bookmarkEnd w:id="156"/>
            <w:bookmarkEnd w:id="157"/>
            <w:bookmarkEnd w:id="158"/>
            <w:bookmarkEnd w:id="159"/>
            <w:bookmarkEnd w:id="160"/>
            <w:bookmarkEnd w:id="161"/>
            <w:bookmarkEnd w:id="162"/>
            <w:bookmarkEnd w:id="163"/>
            <w:bookmarkEnd w:id="164"/>
          </w:p>
        </w:tc>
      </w:tr>
      <w:tr w14:paraId="50D6F6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0A7862D">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陆生生态</w:t>
            </w:r>
          </w:p>
        </w:tc>
        <w:tc>
          <w:tcPr>
            <w:tcW w:w="4874" w:type="dxa"/>
            <w:tcBorders>
              <w:top w:val="single" w:color="auto" w:sz="2" w:space="0"/>
              <w:left w:val="single" w:color="auto" w:sz="2" w:space="0"/>
              <w:bottom w:val="single" w:color="auto" w:sz="2" w:space="0"/>
              <w:right w:val="single" w:color="auto" w:sz="2" w:space="0"/>
            </w:tcBorders>
            <w:vAlign w:val="center"/>
          </w:tcPr>
          <w:p w14:paraId="44B304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rPr>
              <w:t>施工设计阶段必须进行施工组织设计，合理规划临时施工场地，严格选择施工附属设施的布置位置，光伏列阵应避让植被长势较好的植被区，如应避让天然灌木林地，植被尽可能保留，不改变林草地性质，</w:t>
            </w:r>
            <w:r>
              <w:rPr>
                <w:rFonts w:hint="eastAsia" w:cs="Times New Roman"/>
                <w:color w:val="auto"/>
                <w:sz w:val="21"/>
                <w:szCs w:val="21"/>
                <w:highlight w:val="none"/>
                <w:lang w:val="en-US" w:eastAsia="zh-CN"/>
              </w:rPr>
              <w:t>并远离</w:t>
            </w:r>
            <w:r>
              <w:rPr>
                <w:rFonts w:hint="default" w:ascii="Times New Roman" w:hAnsi="Times New Roman" w:eastAsia="宋体" w:cs="Times New Roman"/>
                <w:color w:val="auto"/>
                <w:sz w:val="21"/>
                <w:szCs w:val="21"/>
                <w:highlight w:val="none"/>
                <w:lang w:val="en-US" w:eastAsia="zh-CN"/>
              </w:rPr>
              <w:t>线路附近的村庄，优化布置，减少占地。</w:t>
            </w:r>
          </w:p>
          <w:p w14:paraId="3DBF83EB">
            <w:pPr>
              <w:pStyle w:val="91"/>
              <w:keepNext w:val="0"/>
              <w:keepLines w:val="0"/>
              <w:suppressLineNumbers w:val="0"/>
              <w:overflowPunct w:val="0"/>
              <w:spacing w:before="0" w:beforeAutospacing="0" w:after="0" w:afterAutospacing="0" w:line="240" w:lineRule="auto"/>
              <w:ind w:left="0" w:right="0" w:firstLine="420" w:firstLineChars="200"/>
              <w:jc w:val="left"/>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kern w:val="2"/>
                <w:sz w:val="21"/>
                <w:szCs w:val="21"/>
                <w:highlight w:val="none"/>
                <w:lang w:val="en-US" w:eastAsia="zh-CN" w:bidi="ar-SA"/>
              </w:rPr>
              <w:t>2）施工期临时用地应永临结合，优先利用荒地、劣地；临时占地采取隔离保护措施（如铺设草垫或棕垫），施工结束后将多余砂石料、混凝土残渣等及时清除，做到“工完、料尽、场地清”。</w:t>
            </w:r>
          </w:p>
          <w:p w14:paraId="1AD86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严格施工管理，禁止超范围占地；光伏区除桩基用地外，严禁硬化地面、破坏林草植被，严禁抛荒、撂荒；施工结束后，对裸露的土地进行植被恢复、对临时占地进行修复。</w:t>
            </w:r>
          </w:p>
          <w:p w14:paraId="310E2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占用林草地区域时，光伏板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人工种草等措施改良植被及土壤条件，防止水土流失和土壤侵蚀；尽量选用当地物种，不引入外来物种。</w:t>
            </w:r>
          </w:p>
          <w:p w14:paraId="48F9E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（5）植被恢复及绿化过程中，宜采用当地植物进行“恢复性”种植，然后采取“封育”手段，促进自然恢复。在植被恢复及绿化过程中，应选择乡土树种及适合当地环境的植物，并注意乔、灌、草搭配的原则。</w:t>
            </w:r>
          </w:p>
          <w:p w14:paraId="3E0BE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光伏阵列区支架基础、箱变施工时，对周边施工场地区域造成碾压、踩踏等，在施工结束后对施工场地占用的区域进行场地清理、生态恢复。</w:t>
            </w:r>
          </w:p>
          <w:p w14:paraId="2266C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（7）施工结束及时完成临时设施拆除、场地清理及植被恢复；及时完成林光互补工程。</w:t>
            </w:r>
          </w:p>
          <w:p w14:paraId="7C20B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植被恢复期应注意加强管理巡查，做好浇水、施肥保障措施，若发现种植的植物死亡，应查明死亡原因，并进行补种和加强管理。</w:t>
            </w:r>
          </w:p>
          <w:p w14:paraId="1BE08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）项目施工过程中、施工结束后应按照《</w:t>
            </w:r>
            <w:r>
              <w:rPr>
                <w:rFonts w:hint="eastAsia" w:ascii="Times New Roman" w:hAnsi="Times New Roman" w:cs="Times New Roman"/>
                <w:color w:val="auto"/>
                <w:sz w:val="21"/>
                <w:szCs w:val="21"/>
                <w:highlight w:val="none"/>
                <w:lang w:val="en-US" w:eastAsia="zh-CN"/>
              </w:rPr>
              <w:t>梳山</w:t>
            </w:r>
            <w:r>
              <w:rPr>
                <w:rFonts w:hint="eastAsia" w:ascii="Times New Roman" w:hAnsi="Times New Roman" w:eastAsia="宋体" w:cs="Times New Roman"/>
                <w:color w:val="auto"/>
                <w:sz w:val="21"/>
                <w:szCs w:val="21"/>
                <w:highlight w:val="none"/>
                <w:lang w:val="en-US" w:eastAsia="zh-CN"/>
              </w:rPr>
              <w:t>光伏发电项目水土保持方案报告书》中的要求采取相应水保措施</w:t>
            </w:r>
            <w:r>
              <w:rPr>
                <w:rFonts w:hint="default" w:ascii="Times New Roman" w:hAnsi="Times New Roman" w:eastAsia="宋体" w:cs="Times New Roman"/>
                <w:color w:val="auto"/>
                <w:sz w:val="21"/>
                <w:szCs w:val="21"/>
                <w:highlight w:val="none"/>
                <w:lang w:val="en-US" w:eastAsia="zh-CN"/>
              </w:rPr>
              <w:t>。</w:t>
            </w:r>
          </w:p>
          <w:p w14:paraId="76608C23">
            <w:pPr>
              <w:keepNext w:val="0"/>
              <w:keepLines w:val="0"/>
              <w:widowControl/>
              <w:suppressLineNumbers w:val="0"/>
              <w:shd w:val="clear"/>
              <w:spacing w:before="0" w:beforeAutospacing="0" w:after="0" w:afterAutospacing="0"/>
              <w:ind w:left="0" w:right="0" w:firstLine="420" w:firstLineChars="200"/>
              <w:jc w:val="left"/>
              <w:rPr>
                <w:rFonts w:hint="default"/>
                <w:color w:val="auto"/>
                <w:szCs w:val="21"/>
                <w:highlight w:val="none"/>
                <w:shd w:val="clear" w:color="auto" w:fill="auto"/>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lang w:val="en-US" w:eastAsia="zh-CN"/>
              </w:rPr>
              <w:t>）建设单位应成立监督管理机构，制定相应的管理、奖惩制度，配备专职人员对工程施工的全过程进行监督管理。杜绝乱砍滥伐、捕猎行为的发生；加强林业管理，严禁捕猎鸟类、兽类、砍伐非施工区域的植物，违者应依法处理。同时注意森林防火，避免森林火灾的发生。工程建设区应设置警示牌提醒施工人员，保护生态环境。</w:t>
            </w:r>
          </w:p>
        </w:tc>
        <w:tc>
          <w:tcPr>
            <w:tcW w:w="1802" w:type="dxa"/>
            <w:tcBorders>
              <w:top w:val="single" w:color="auto" w:sz="2" w:space="0"/>
              <w:left w:val="single" w:color="auto" w:sz="2" w:space="0"/>
              <w:bottom w:val="single" w:color="auto" w:sz="2" w:space="0"/>
              <w:right w:val="single" w:color="auto" w:sz="2" w:space="0"/>
            </w:tcBorders>
            <w:vAlign w:val="center"/>
          </w:tcPr>
          <w:p w14:paraId="50971672">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eastAsia" w:ascii="Times New Roman" w:hAnsi="Times New Roman" w:eastAsia="宋体" w:cs="Times New Roman"/>
                <w:color w:val="auto"/>
                <w:kern w:val="0"/>
                <w:sz w:val="21"/>
                <w:szCs w:val="21"/>
                <w:highlight w:val="none"/>
                <w:lang w:eastAsia="zh-CN" w:bidi="ar"/>
              </w:rPr>
              <w:t>项目</w:t>
            </w:r>
            <w:r>
              <w:rPr>
                <w:rFonts w:hint="default" w:ascii="Times New Roman" w:hAnsi="Times New Roman" w:eastAsia="宋体" w:cs="Times New Roman"/>
                <w:color w:val="auto"/>
                <w:kern w:val="0"/>
                <w:sz w:val="21"/>
                <w:szCs w:val="21"/>
                <w:highlight w:val="none"/>
                <w:lang w:bidi="ar"/>
              </w:rPr>
              <w:t>不占生态环境敏感区；不破坏施工用地范围之外植被；无</w:t>
            </w:r>
            <w:r>
              <w:rPr>
                <w:rFonts w:hint="default" w:ascii="Times New Roman" w:hAnsi="Times New Roman" w:eastAsia="宋体" w:cs="Times New Roman"/>
                <w:color w:val="auto"/>
                <w:kern w:val="0"/>
                <w:sz w:val="21"/>
                <w:szCs w:val="21"/>
                <w:highlight w:val="none"/>
                <w:lang w:eastAsia="zh-CN" w:bidi="ar"/>
              </w:rPr>
              <w:t>乱砍滥伐</w:t>
            </w:r>
            <w:r>
              <w:rPr>
                <w:rFonts w:hint="default" w:ascii="Times New Roman" w:hAnsi="Times New Roman" w:eastAsia="宋体" w:cs="Times New Roman"/>
                <w:color w:val="auto"/>
                <w:kern w:val="0"/>
                <w:sz w:val="21"/>
                <w:szCs w:val="21"/>
                <w:highlight w:val="none"/>
                <w:lang w:bidi="ar"/>
              </w:rPr>
              <w:t>、盗猎现象；施工迹地无临时建构筑物及垃圾等残留；及时开展植被恢复水保措施执行到位，达到《生产建设项目水土保持技术规范》（GB50433-2018）及《生产建设项目水土流失防治标准》（GB/T50434-2018）</w:t>
            </w:r>
            <w:r>
              <w:rPr>
                <w:rFonts w:hint="eastAsia" w:ascii="Times New Roman" w:hAnsi="Times New Roman" w:eastAsia="宋体" w:cs="Times New Roman"/>
                <w:color w:val="auto"/>
                <w:kern w:val="0"/>
                <w:sz w:val="21"/>
                <w:szCs w:val="21"/>
                <w:highlight w:val="none"/>
                <w:lang w:eastAsia="zh-CN" w:bidi="ar"/>
              </w:rPr>
              <w:t>。</w:t>
            </w:r>
          </w:p>
        </w:tc>
        <w:tc>
          <w:tcPr>
            <w:tcW w:w="3813" w:type="dxa"/>
            <w:tcBorders>
              <w:top w:val="single" w:color="auto" w:sz="2" w:space="0"/>
              <w:left w:val="single" w:color="auto" w:sz="2" w:space="0"/>
              <w:bottom w:val="single" w:color="auto" w:sz="2" w:space="0"/>
              <w:right w:val="single" w:color="auto" w:sz="2" w:space="0"/>
            </w:tcBorders>
            <w:vAlign w:val="center"/>
          </w:tcPr>
          <w:p w14:paraId="1957A4A2">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（1）严格执行《云南省能源局关于进一步支持光伏扶贫和规范光伏发电产业用地的通知》（云自然资〔2019〕196号）和《自然资源部办公厅 国家林业和草原局办公室 国家能源局综合司关于支持光伏发电产业发展规范用地管理有关工作的通知》（自然资办发〔2023〕12号），光伏复合项目，光伏板下及周围种植林业或农作物，光伏组件严格执行最低沿高于地面2.5m、桩基间列间距大于4m、行间距大于6.5m，且光伏支架最低点应高于灌木高度1米以上的要求，不破坏林业或农业生产条件，除桩基用地外，严禁硬化地面、破坏林草植被，严禁抛荒、撂荒。</w:t>
            </w:r>
          </w:p>
          <w:p w14:paraId="2E71305D">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（2）光伏场区及临时道路区等临时用地区域在植被恢复过程中，应加强初期、中期的植被抚育工作。尽量采取场地封禁自然恢复，并辅以适当的人工手段；如选取本地常见的乡土物种补种补植。</w:t>
            </w:r>
          </w:p>
          <w:p w14:paraId="06B9FF8B">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（3）占用林草地区域，后期光伏场区植被恢复后，生长过程中在满足电站正常运行的基础上，应尽量减少对下方及周边植物的扰动。在影响电站发电时，应尽量采取人工修剪高度的方式，避免直接清理砍伐。</w:t>
            </w:r>
          </w:p>
          <w:p w14:paraId="0DE9603E">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（4）保护当地的野生动物，禁止人为捕杀；禁止引入外来有害生物。</w:t>
            </w:r>
          </w:p>
          <w:p w14:paraId="15376B24">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（5）对光伏区鸟类死亡、受伤情况进行调查，必要时采取驱赶措施，降低光伏板对鸟类的影响。</w:t>
            </w:r>
          </w:p>
          <w:p w14:paraId="711451A1">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（6）光伏厂区周围建设好截排水沟，空闲地多种植本地树种，减少区域水土流失。</w:t>
            </w:r>
          </w:p>
          <w:p w14:paraId="204265A9">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（7）建设单位要做好项目区的森林草原防火工作，重点加强项目运营、检修期间的野外火源管理，落实森林草原防火管护人员和措施。</w:t>
            </w:r>
          </w:p>
          <w:p w14:paraId="579F9374">
            <w:pPr>
              <w:keepNext w:val="0"/>
              <w:keepLines w:val="0"/>
              <w:suppressLineNumbers w:val="0"/>
              <w:shd w:val="clear"/>
              <w:adjustRightInd w:val="0"/>
              <w:snapToGrid w:val="0"/>
              <w:spacing w:before="0" w:beforeAutospacing="0" w:after="0" w:afterAutospacing="0"/>
              <w:ind w:left="-92" w:leftChars="-44" w:right="-92" w:rightChars="-44"/>
              <w:rPr>
                <w:rFonts w:hint="eastAsia"/>
                <w:color w:val="auto"/>
                <w:kern w:val="0"/>
                <w:szCs w:val="21"/>
                <w:highlight w:val="none"/>
                <w:shd w:val="clear" w:color="auto" w:fill="auto"/>
                <w:lang w:bidi="ar"/>
              </w:rPr>
            </w:pPr>
            <w:r>
              <w:rPr>
                <w:rFonts w:hint="eastAsia"/>
                <w:color w:val="auto"/>
                <w:kern w:val="0"/>
                <w:szCs w:val="21"/>
                <w:highlight w:val="none"/>
                <w:shd w:val="clear" w:color="auto" w:fill="auto"/>
                <w:lang w:bidi="ar"/>
              </w:rPr>
              <w:t>（8）强化光伏电站运营期环境风险管理，避免泄漏事故发生。</w:t>
            </w:r>
          </w:p>
          <w:p w14:paraId="32D24AB1">
            <w:pPr>
              <w:keepNext w:val="0"/>
              <w:keepLines w:val="0"/>
              <w:suppressLineNumbers w:val="0"/>
              <w:shd w:val="clear"/>
              <w:adjustRightInd w:val="0"/>
              <w:snapToGrid w:val="0"/>
              <w:spacing w:before="0" w:beforeAutospacing="0" w:after="0" w:afterAutospacing="0"/>
              <w:ind w:left="-92" w:leftChars="-44" w:right="-92" w:rightChars="-44"/>
              <w:rPr>
                <w:rFonts w:hint="default"/>
                <w:color w:val="auto"/>
                <w:szCs w:val="21"/>
                <w:highlight w:val="none"/>
                <w:shd w:val="clear" w:color="auto" w:fill="auto"/>
              </w:rPr>
            </w:pPr>
            <w:r>
              <w:rPr>
                <w:rFonts w:hint="eastAsia"/>
                <w:color w:val="auto"/>
                <w:kern w:val="0"/>
                <w:szCs w:val="21"/>
                <w:highlight w:val="none"/>
                <w:shd w:val="clear" w:color="auto" w:fill="auto"/>
                <w:lang w:bidi="ar"/>
              </w:rPr>
              <w:t>（9）在满足正常运营的同时，须保证光伏阵列下方不改变林草地用途，不得硬化或作其他用途。</w:t>
            </w:r>
          </w:p>
        </w:tc>
        <w:tc>
          <w:tcPr>
            <w:tcW w:w="2124" w:type="dxa"/>
            <w:tcBorders>
              <w:top w:val="single" w:color="auto" w:sz="2" w:space="0"/>
              <w:left w:val="single" w:color="auto" w:sz="2" w:space="0"/>
              <w:bottom w:val="single" w:color="auto" w:sz="2" w:space="0"/>
              <w:right w:val="single" w:color="auto" w:sz="2" w:space="0"/>
            </w:tcBorders>
            <w:vAlign w:val="center"/>
          </w:tcPr>
          <w:p w14:paraId="5CDA2B79">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kern w:val="0"/>
                <w:szCs w:val="21"/>
                <w:highlight w:val="none"/>
                <w:shd w:val="clear" w:color="auto" w:fill="auto"/>
                <w:lang w:bidi="ar"/>
              </w:rPr>
              <w:t>光伏场区植被恢复良好，场区围栏等设置保留一定的动物通行空间；施工迹地植被恢复良好；未引入外来入侵物种</w:t>
            </w:r>
          </w:p>
        </w:tc>
      </w:tr>
      <w:tr w14:paraId="75D2FE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A79D999">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水生生态</w:t>
            </w:r>
          </w:p>
        </w:tc>
        <w:tc>
          <w:tcPr>
            <w:tcW w:w="4874" w:type="dxa"/>
            <w:tcBorders>
              <w:top w:val="single" w:color="auto" w:sz="2" w:space="0"/>
              <w:left w:val="single" w:color="auto" w:sz="2" w:space="0"/>
              <w:bottom w:val="single" w:color="auto" w:sz="2" w:space="0"/>
              <w:right w:val="single" w:color="auto" w:sz="2" w:space="0"/>
            </w:tcBorders>
            <w:vAlign w:val="center"/>
          </w:tcPr>
          <w:p w14:paraId="583BB98A">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757E637A">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1D01ED5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62FC65D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7BCAAC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328FF3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地表水环境</w:t>
            </w:r>
          </w:p>
        </w:tc>
        <w:tc>
          <w:tcPr>
            <w:tcW w:w="4874" w:type="dxa"/>
            <w:tcBorders>
              <w:top w:val="single" w:color="auto" w:sz="2" w:space="0"/>
              <w:left w:val="single" w:color="auto" w:sz="2" w:space="0"/>
              <w:bottom w:val="single" w:color="auto" w:sz="2" w:space="0"/>
              <w:right w:val="single" w:color="auto" w:sz="2" w:space="0"/>
            </w:tcBorders>
            <w:vAlign w:val="center"/>
          </w:tcPr>
          <w:p w14:paraId="2A321713">
            <w:pPr>
              <w:keepNext w:val="0"/>
              <w:keepLines w:val="0"/>
              <w:suppressLineNumbers w:val="0"/>
              <w:spacing w:before="0" w:beforeAutospacing="0" w:after="0" w:afterAutospacing="0" w:line="240" w:lineRule="auto"/>
              <w:ind w:left="0" w:right="0" w:firstLine="420" w:firstLineChars="200"/>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rPr>
              <w:t>（1）</w:t>
            </w:r>
            <w:r>
              <w:rPr>
                <w:rFonts w:hint="default" w:ascii="Times New Roman" w:hAnsi="Times New Roman" w:eastAsia="宋体" w:cs="Times New Roman"/>
                <w:color w:val="auto"/>
                <w:sz w:val="21"/>
                <w:szCs w:val="21"/>
                <w:highlight w:val="none"/>
                <w:lang w:val="en-US" w:eastAsia="zh-CN"/>
              </w:rPr>
              <w:t>施工期间应按照水保要求优先完成区内排水沟和沉砂池，为排出场内汇水，光伏方阵区上游应修建排水沟；临时施工场地四周布置临时排水沟，末端设置临时沉砂池；雨水径流经沉砂池沉淀处理后，接入周围地表水体。</w:t>
            </w:r>
          </w:p>
          <w:p w14:paraId="60BA282A">
            <w:pPr>
              <w:keepNext w:val="0"/>
              <w:keepLines w:val="0"/>
              <w:suppressLineNumbers w:val="0"/>
              <w:spacing w:before="0" w:beforeAutospacing="0" w:after="0" w:afterAutospacing="0" w:line="240" w:lineRule="auto"/>
              <w:ind w:left="0" w:right="0" w:firstLine="420" w:firstLineChars="200"/>
              <w:rPr>
                <w:rFonts w:hint="default"/>
                <w:color w:val="auto"/>
                <w:sz w:val="21"/>
                <w:szCs w:val="21"/>
                <w:highlight w:val="none"/>
              </w:rPr>
            </w:pPr>
            <w:r>
              <w:rPr>
                <w:rFonts w:hint="default"/>
                <w:color w:val="auto"/>
                <w:sz w:val="21"/>
                <w:szCs w:val="21"/>
                <w:highlight w:val="none"/>
              </w:rPr>
              <w:t>（</w:t>
            </w:r>
            <w:r>
              <w:rPr>
                <w:rFonts w:hint="eastAsia"/>
                <w:color w:val="auto"/>
                <w:sz w:val="21"/>
                <w:szCs w:val="21"/>
                <w:highlight w:val="none"/>
                <w:lang w:val="en-US" w:eastAsia="zh-CN"/>
              </w:rPr>
              <w:t>2</w:t>
            </w:r>
            <w:r>
              <w:rPr>
                <w:rFonts w:hint="default"/>
                <w:color w:val="auto"/>
                <w:sz w:val="21"/>
                <w:szCs w:val="21"/>
                <w:highlight w:val="none"/>
              </w:rPr>
              <w:t>）加强管理，做好机械的日常维修保养，杜绝跑、冒、滴、漏现象。另外，雨天应对各类机械、粉状物料进行遮盖防雨。</w:t>
            </w:r>
          </w:p>
          <w:p w14:paraId="17AAA10C">
            <w:pPr>
              <w:keepNext w:val="0"/>
              <w:keepLines w:val="0"/>
              <w:suppressLineNumbers w:val="0"/>
              <w:shd w:val="clear"/>
              <w:spacing w:before="0" w:beforeAutospacing="0" w:after="0" w:afterAutospacing="0"/>
              <w:ind w:left="0" w:right="0"/>
              <w:rPr>
                <w:rFonts w:hint="default"/>
                <w:color w:val="auto"/>
                <w:szCs w:val="21"/>
                <w:highlight w:val="none"/>
                <w:shd w:val="clear" w:color="auto" w:fill="auto"/>
              </w:rPr>
            </w:pPr>
            <w:r>
              <w:rPr>
                <w:rFonts w:hint="default"/>
                <w:color w:val="auto"/>
                <w:sz w:val="21"/>
                <w:szCs w:val="21"/>
                <w:highlight w:val="none"/>
              </w:rPr>
              <w:t>（</w:t>
            </w:r>
            <w:r>
              <w:rPr>
                <w:rFonts w:hint="eastAsia"/>
                <w:color w:val="auto"/>
                <w:sz w:val="21"/>
                <w:szCs w:val="21"/>
                <w:highlight w:val="none"/>
                <w:lang w:val="en-US" w:eastAsia="zh-CN"/>
              </w:rPr>
              <w:t>3</w:t>
            </w:r>
            <w:r>
              <w:rPr>
                <w:rFonts w:hint="default"/>
                <w:color w:val="auto"/>
                <w:sz w:val="21"/>
                <w:szCs w:val="21"/>
                <w:highlight w:val="none"/>
              </w:rPr>
              <w:t>）节约用水，减少施工废水的产生，且尽量避免雨季土石方施工，暴雨期间停止地基开挖等扰动地表类的施工。禁止任何施工废水排入周边地表水。</w:t>
            </w:r>
          </w:p>
        </w:tc>
        <w:tc>
          <w:tcPr>
            <w:tcW w:w="1802" w:type="dxa"/>
            <w:tcBorders>
              <w:top w:val="single" w:color="auto" w:sz="2" w:space="0"/>
              <w:left w:val="single" w:color="auto" w:sz="2" w:space="0"/>
              <w:bottom w:val="single" w:color="auto" w:sz="2" w:space="0"/>
              <w:right w:val="single" w:color="auto" w:sz="2" w:space="0"/>
            </w:tcBorders>
            <w:vAlign w:val="center"/>
          </w:tcPr>
          <w:p w14:paraId="48BCB89B">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施工废水不外排</w:t>
            </w:r>
          </w:p>
        </w:tc>
        <w:tc>
          <w:tcPr>
            <w:tcW w:w="3813" w:type="dxa"/>
            <w:tcBorders>
              <w:top w:val="single" w:color="auto" w:sz="2" w:space="0"/>
              <w:left w:val="single" w:color="auto" w:sz="2" w:space="0"/>
              <w:bottom w:val="single" w:color="auto" w:sz="2" w:space="0"/>
              <w:right w:val="single" w:color="auto" w:sz="2" w:space="0"/>
            </w:tcBorders>
            <w:vAlign w:val="center"/>
          </w:tcPr>
          <w:p w14:paraId="5D579F88">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太阳能电池板尽量在旱季进行清洗，产生的清洗废水由光伏板下方林草植被吸收，不外排。</w:t>
            </w:r>
          </w:p>
        </w:tc>
        <w:tc>
          <w:tcPr>
            <w:tcW w:w="2124" w:type="dxa"/>
            <w:tcBorders>
              <w:top w:val="single" w:color="auto" w:sz="2" w:space="0"/>
              <w:left w:val="single" w:color="auto" w:sz="2" w:space="0"/>
              <w:bottom w:val="single" w:color="auto" w:sz="2" w:space="0"/>
              <w:right w:val="single" w:color="auto" w:sz="2" w:space="0"/>
            </w:tcBorders>
            <w:vAlign w:val="center"/>
          </w:tcPr>
          <w:p w14:paraId="2B17DA2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eastAsia"/>
                <w:color w:val="auto"/>
                <w:spacing w:val="1"/>
                <w:szCs w:val="21"/>
                <w:highlight w:val="none"/>
                <w:shd w:val="clear" w:color="auto" w:fill="auto"/>
              </w:rPr>
              <w:t>废水</w:t>
            </w:r>
            <w:r>
              <w:rPr>
                <w:rFonts w:hint="default"/>
                <w:color w:val="auto"/>
                <w:szCs w:val="21"/>
                <w:highlight w:val="none"/>
                <w:shd w:val="clear" w:color="auto" w:fill="auto"/>
              </w:rPr>
              <w:t>不外排</w:t>
            </w:r>
          </w:p>
        </w:tc>
      </w:tr>
      <w:tr w14:paraId="033147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C845D9D">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地下水及土壤环境</w:t>
            </w:r>
          </w:p>
        </w:tc>
        <w:tc>
          <w:tcPr>
            <w:tcW w:w="4874" w:type="dxa"/>
            <w:tcBorders>
              <w:top w:val="single" w:color="auto" w:sz="2" w:space="0"/>
              <w:left w:val="single" w:color="auto" w:sz="2" w:space="0"/>
              <w:bottom w:val="single" w:color="auto" w:sz="2" w:space="0"/>
              <w:right w:val="single" w:color="auto" w:sz="2" w:space="0"/>
            </w:tcBorders>
            <w:vAlign w:val="center"/>
          </w:tcPr>
          <w:p w14:paraId="44AAD30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20A32566">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433BA281">
            <w:pPr>
              <w:keepNext w:val="0"/>
              <w:keepLines w:val="0"/>
              <w:widowControl/>
              <w:suppressLineNumbers w:val="0"/>
              <w:spacing w:before="0" w:beforeAutospacing="0" w:after="0" w:afterAutospacing="0"/>
              <w:ind w:left="0" w:right="0"/>
              <w:jc w:val="left"/>
              <w:rPr>
                <w:rFonts w:hint="default"/>
                <w:color w:val="auto"/>
                <w:szCs w:val="21"/>
                <w:highlight w:val="none"/>
                <w:shd w:val="clear" w:color="auto" w:fill="auto"/>
              </w:rPr>
            </w:pPr>
            <w:r>
              <w:rPr>
                <w:rFonts w:hint="default" w:ascii="Times New Roman" w:hAnsi="Times New Roman" w:eastAsia="宋体" w:cs="Times New Roman"/>
                <w:color w:val="auto"/>
                <w:kern w:val="0"/>
                <w:sz w:val="21"/>
                <w:szCs w:val="21"/>
                <w:highlight w:val="none"/>
                <w:lang w:val="en-US" w:eastAsia="zh-CN" w:bidi="ar"/>
              </w:rPr>
              <w:t>箱式变压器、</w:t>
            </w:r>
            <w:r>
              <w:rPr>
                <w:rFonts w:hint="eastAsia" w:ascii="宋体" w:hAnsi="宋体" w:eastAsia="宋体" w:cs="宋体"/>
                <w:color w:val="auto"/>
                <w:kern w:val="0"/>
                <w:sz w:val="21"/>
                <w:szCs w:val="21"/>
                <w:highlight w:val="none"/>
                <w:lang w:val="en-US" w:eastAsia="zh-CN" w:bidi="ar"/>
              </w:rPr>
              <w:t>事故油池设置防渗层，</w:t>
            </w:r>
            <w:r>
              <w:rPr>
                <w:rFonts w:hint="default" w:ascii="Times New Roman" w:hAnsi="Times New Roman" w:eastAsia="宋体" w:cs="Times New Roman"/>
                <w:color w:val="auto"/>
                <w:sz w:val="21"/>
                <w:szCs w:val="21"/>
                <w:highlight w:val="none"/>
                <w:shd w:val="clear" w:color="auto" w:fill="auto"/>
              </w:rPr>
              <w:t>等效黏土防渗层Mb≥6m，K≤1×10</w:t>
            </w:r>
            <w:r>
              <w:rPr>
                <w:rFonts w:hint="default" w:ascii="Times New Roman" w:hAnsi="Times New Roman" w:eastAsia="宋体" w:cs="Times New Roman"/>
                <w:color w:val="auto"/>
                <w:sz w:val="21"/>
                <w:szCs w:val="21"/>
                <w:highlight w:val="none"/>
                <w:shd w:val="clear" w:color="auto" w:fill="auto"/>
                <w:vertAlign w:val="superscript"/>
              </w:rPr>
              <w:t>-7</w:t>
            </w:r>
            <w:r>
              <w:rPr>
                <w:rFonts w:hint="default" w:ascii="Times New Roman" w:hAnsi="Times New Roman" w:eastAsia="宋体" w:cs="Times New Roman"/>
                <w:color w:val="auto"/>
                <w:sz w:val="21"/>
                <w:szCs w:val="21"/>
                <w:highlight w:val="none"/>
                <w:shd w:val="clear" w:color="auto" w:fill="auto"/>
              </w:rPr>
              <w:t>cm/s，或</w:t>
            </w:r>
            <w:r>
              <w:rPr>
                <w:rFonts w:hint="eastAsia" w:ascii="Times New Roman" w:hAnsi="Times New Roman" w:eastAsia="宋体" w:cs="Times New Roman"/>
                <w:color w:val="auto"/>
                <w:sz w:val="21"/>
                <w:szCs w:val="21"/>
                <w:highlight w:val="none"/>
                <w:shd w:val="clear" w:color="auto" w:fill="auto"/>
                <w:lang w:val="en-US" w:eastAsia="zh-CN"/>
              </w:rPr>
              <w:t>至少</w:t>
            </w:r>
            <w:r>
              <w:rPr>
                <w:rFonts w:hint="default" w:ascii="Times New Roman" w:hAnsi="Times New Roman" w:eastAsia="宋体" w:cs="Times New Roman"/>
                <w:color w:val="auto"/>
                <w:sz w:val="21"/>
                <w:szCs w:val="21"/>
                <w:highlight w:val="none"/>
                <w:shd w:val="clear" w:color="auto" w:fill="auto"/>
              </w:rPr>
              <w:t>2mm厚高密度聚乙烯</w:t>
            </w:r>
            <w:r>
              <w:rPr>
                <w:rFonts w:hint="eastAsia" w:ascii="Times New Roman" w:hAnsi="Times New Roman" w:eastAsia="宋体" w:cs="Times New Roman"/>
                <w:color w:val="auto"/>
                <w:sz w:val="21"/>
                <w:szCs w:val="21"/>
                <w:highlight w:val="none"/>
                <w:shd w:val="clear" w:color="auto" w:fill="auto"/>
                <w:lang w:val="en-US" w:eastAsia="zh-CN"/>
              </w:rPr>
              <w:t>膜等人工防渗材料（渗透系数</w:t>
            </w:r>
            <w:r>
              <w:rPr>
                <w:rFonts w:hint="default" w:ascii="Times New Roman" w:hAnsi="Times New Roman" w:eastAsia="宋体" w:cs="Times New Roman"/>
                <w:color w:val="auto"/>
                <w:sz w:val="21"/>
                <w:szCs w:val="21"/>
                <w:highlight w:val="none"/>
                <w:shd w:val="clear" w:color="auto" w:fill="auto"/>
                <w:lang w:val="zh-CN"/>
              </w:rPr>
              <w:t>≤</w:t>
            </w:r>
            <w:r>
              <w:rPr>
                <w:rFonts w:hint="default" w:ascii="Times New Roman" w:hAnsi="Times New Roman" w:eastAsia="宋体" w:cs="Times New Roman"/>
                <w:color w:val="auto"/>
                <w:sz w:val="21"/>
                <w:szCs w:val="21"/>
                <w:highlight w:val="none"/>
                <w:shd w:val="clear" w:color="auto" w:fill="auto"/>
              </w:rPr>
              <w:t>1×</w:t>
            </w:r>
            <w:r>
              <w:rPr>
                <w:rFonts w:hint="default" w:ascii="Times New Roman" w:hAnsi="Times New Roman" w:eastAsia="宋体" w:cs="Times New Roman"/>
                <w:color w:val="auto"/>
                <w:sz w:val="21"/>
                <w:szCs w:val="21"/>
                <w:highlight w:val="none"/>
                <w:shd w:val="clear" w:color="auto" w:fill="auto"/>
                <w:lang w:val="zh-CN"/>
              </w:rPr>
              <w:t>10</w:t>
            </w:r>
            <w:r>
              <w:rPr>
                <w:rFonts w:hint="default" w:ascii="Times New Roman" w:hAnsi="Times New Roman" w:eastAsia="宋体" w:cs="Times New Roman"/>
                <w:color w:val="auto"/>
                <w:sz w:val="21"/>
                <w:szCs w:val="21"/>
                <w:highlight w:val="none"/>
                <w:shd w:val="clear" w:color="auto" w:fill="auto"/>
                <w:vertAlign w:val="superscript"/>
                <w:lang w:val="zh-CN"/>
              </w:rPr>
              <w:t>-</w:t>
            </w:r>
            <w:r>
              <w:rPr>
                <w:rFonts w:hint="eastAsia" w:ascii="Times New Roman" w:hAnsi="Times New Roman" w:eastAsia="宋体" w:cs="Times New Roman"/>
                <w:color w:val="auto"/>
                <w:sz w:val="21"/>
                <w:szCs w:val="21"/>
                <w:highlight w:val="none"/>
                <w:shd w:val="clear" w:color="auto" w:fill="auto"/>
                <w:vertAlign w:val="superscript"/>
                <w:lang w:val="en-US" w:eastAsia="zh-CN"/>
              </w:rPr>
              <w:t>10</w:t>
            </w:r>
            <w:r>
              <w:rPr>
                <w:rFonts w:hint="default" w:ascii="Times New Roman" w:hAnsi="Times New Roman" w:eastAsia="宋体" w:cs="Times New Roman"/>
                <w:color w:val="auto"/>
                <w:sz w:val="21"/>
                <w:szCs w:val="21"/>
                <w:highlight w:val="none"/>
                <w:shd w:val="clear" w:color="auto" w:fill="auto"/>
                <w:lang w:val="zh-CN"/>
              </w:rPr>
              <w:t>cm/s</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或其他防渗性能等效的材料。</w:t>
            </w:r>
          </w:p>
        </w:tc>
        <w:tc>
          <w:tcPr>
            <w:tcW w:w="2124" w:type="dxa"/>
            <w:tcBorders>
              <w:top w:val="single" w:color="auto" w:sz="2" w:space="0"/>
              <w:left w:val="single" w:color="auto" w:sz="2" w:space="0"/>
              <w:bottom w:val="single" w:color="auto" w:sz="2" w:space="0"/>
              <w:right w:val="single" w:color="auto" w:sz="2" w:space="0"/>
            </w:tcBorders>
            <w:vAlign w:val="center"/>
          </w:tcPr>
          <w:p w14:paraId="2C171094">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满足</w:t>
            </w:r>
            <w:r>
              <w:rPr>
                <w:rFonts w:hint="default" w:ascii="Times New Roman" w:hAnsi="Times New Roman" w:eastAsia="宋体" w:cs="Times New Roman"/>
                <w:color w:val="auto"/>
                <w:sz w:val="21"/>
                <w:szCs w:val="21"/>
                <w:highlight w:val="none"/>
                <w:shd w:val="clear" w:color="auto" w:fill="auto"/>
                <w:lang w:val="en-US" w:eastAsia="zh-CN"/>
              </w:rPr>
              <w:t>《环境影响评价技术导则 地下水环境》（HJ610-2016）</w:t>
            </w:r>
            <w:r>
              <w:rPr>
                <w:rFonts w:hint="eastAsia" w:ascii="Times New Roman" w:hAnsi="Times New Roman" w:eastAsia="宋体" w:cs="Times New Roman"/>
                <w:color w:val="auto"/>
                <w:sz w:val="21"/>
                <w:szCs w:val="21"/>
                <w:highlight w:val="none"/>
                <w:shd w:val="clear" w:color="auto" w:fill="auto"/>
                <w:lang w:val="en-US" w:eastAsia="zh-CN"/>
              </w:rPr>
              <w:t>和</w:t>
            </w:r>
            <w:r>
              <w:rPr>
                <w:rFonts w:hint="default" w:ascii="Times New Roman" w:hAnsi="Times New Roman" w:eastAsia="宋体" w:cs="Times New Roman"/>
                <w:color w:val="auto"/>
                <w:sz w:val="21"/>
                <w:szCs w:val="21"/>
                <w:highlight w:val="none"/>
                <w:shd w:val="clear" w:color="auto" w:fill="auto"/>
              </w:rPr>
              <w:t>《危险废物贮存污染控制标准》（GB 18597-20</w:t>
            </w:r>
            <w:r>
              <w:rPr>
                <w:rFonts w:hint="default"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val="en-US" w:eastAsia="zh-CN"/>
              </w:rPr>
              <w:t>要求</w:t>
            </w:r>
          </w:p>
        </w:tc>
      </w:tr>
      <w:tr w14:paraId="5347CB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7CC37C25">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声环境</w:t>
            </w:r>
          </w:p>
        </w:tc>
        <w:tc>
          <w:tcPr>
            <w:tcW w:w="4874" w:type="dxa"/>
            <w:tcBorders>
              <w:top w:val="single" w:color="auto" w:sz="2" w:space="0"/>
              <w:left w:val="single" w:color="auto" w:sz="2" w:space="0"/>
              <w:bottom w:val="single" w:color="auto" w:sz="2" w:space="0"/>
              <w:right w:val="single" w:color="auto" w:sz="2" w:space="0"/>
            </w:tcBorders>
            <w:vAlign w:val="center"/>
          </w:tcPr>
          <w:p w14:paraId="48D3D452">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（1）使用低噪声机械设备，同时对设备进行定期保养和维护，严格操作规范和操作规程，减少设备噪声的产生；</w:t>
            </w:r>
          </w:p>
          <w:p w14:paraId="080B90AE">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（2）做好设备保养维护工作，以最大限度的减轻高噪声施工机械对周围环境的影响；</w:t>
            </w:r>
          </w:p>
          <w:p w14:paraId="3F058BBC">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（3）项目方还应该加强对施工人员的管理，做到文明施工，避免人为噪声的产生；</w:t>
            </w:r>
          </w:p>
          <w:p w14:paraId="7FA012AA">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（4）施工车辆一般禁鸣喇叭；在施工现场禁止大声喧哗吵闹或敲击工具等；</w:t>
            </w:r>
          </w:p>
          <w:p w14:paraId="156E6419">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（5）作业中搬运物件，必须轻拿轻放，钢铁件堆放不发出大的声响，严禁抛掷物件而造成噪声；</w:t>
            </w:r>
          </w:p>
          <w:p w14:paraId="1748DDE1">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（6）合理安排施工时间：合理安排施工时间，除工程必须，并取得主管部门批准，严禁在22</w:t>
            </w:r>
            <w:r>
              <w:rPr>
                <w:rFonts w:hint="eastAsia"/>
                <w:color w:val="auto"/>
                <w:szCs w:val="21"/>
                <w:highlight w:val="none"/>
                <w:shd w:val="clear" w:color="auto" w:fill="auto"/>
                <w:lang w:eastAsia="zh-CN"/>
              </w:rPr>
              <w:t>:</w:t>
            </w:r>
            <w:r>
              <w:rPr>
                <w:rFonts w:hint="default"/>
                <w:color w:val="auto"/>
                <w:szCs w:val="21"/>
                <w:highlight w:val="none"/>
                <w:shd w:val="clear" w:color="auto" w:fill="auto"/>
              </w:rPr>
              <w:t>00-6</w:t>
            </w:r>
            <w:r>
              <w:rPr>
                <w:rFonts w:hint="eastAsia"/>
                <w:color w:val="auto"/>
                <w:szCs w:val="21"/>
                <w:highlight w:val="none"/>
                <w:shd w:val="clear" w:color="auto" w:fill="auto"/>
                <w:lang w:eastAsia="zh-CN"/>
              </w:rPr>
              <w:t>:</w:t>
            </w:r>
            <w:r>
              <w:rPr>
                <w:rFonts w:hint="default"/>
                <w:color w:val="auto"/>
                <w:szCs w:val="21"/>
                <w:highlight w:val="none"/>
                <w:shd w:val="clear" w:color="auto" w:fill="auto"/>
              </w:rPr>
              <w:t>00期间施工；</w:t>
            </w:r>
          </w:p>
          <w:p w14:paraId="4E203726">
            <w:pPr>
              <w:keepNext w:val="0"/>
              <w:keepLines w:val="0"/>
              <w:suppressLineNumbers w:val="0"/>
              <w:shd w:val="clear"/>
              <w:adjustRightInd w:val="0"/>
              <w:snapToGrid w:val="0"/>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（7）施工期间建设单位应与施工方签订环境管理责任书，具体落实施工期噪声防治措施，并且加强与周围可能受影响单位的沟通，减轻对声环境的不利影响。</w:t>
            </w:r>
          </w:p>
        </w:tc>
        <w:tc>
          <w:tcPr>
            <w:tcW w:w="1802" w:type="dxa"/>
            <w:tcBorders>
              <w:top w:val="single" w:color="auto" w:sz="2" w:space="0"/>
              <w:left w:val="single" w:color="auto" w:sz="2" w:space="0"/>
              <w:bottom w:val="single" w:color="auto" w:sz="2" w:space="0"/>
              <w:right w:val="single" w:color="auto" w:sz="2" w:space="0"/>
            </w:tcBorders>
            <w:vAlign w:val="center"/>
          </w:tcPr>
          <w:p w14:paraId="266B10E0">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噪声满足</w:t>
            </w:r>
            <w:r>
              <w:rPr>
                <w:rFonts w:hint="default"/>
                <w:color w:val="auto"/>
                <w:szCs w:val="21"/>
                <w:highlight w:val="none"/>
                <w:shd w:val="clear" w:color="auto" w:fill="auto"/>
              </w:rPr>
              <w:t>《建筑施工场界环境噪声排放标准》（GB12523-2011）</w:t>
            </w:r>
            <w:r>
              <w:rPr>
                <w:rFonts w:hint="eastAsia"/>
                <w:color w:val="auto"/>
                <w:szCs w:val="21"/>
                <w:highlight w:val="none"/>
                <w:shd w:val="clear" w:color="auto" w:fill="auto"/>
              </w:rPr>
              <w:t>的要求</w:t>
            </w:r>
          </w:p>
        </w:tc>
        <w:tc>
          <w:tcPr>
            <w:tcW w:w="3813" w:type="dxa"/>
            <w:tcBorders>
              <w:top w:val="single" w:color="auto" w:sz="2" w:space="0"/>
              <w:left w:val="single" w:color="auto" w:sz="2" w:space="0"/>
              <w:bottom w:val="single" w:color="auto" w:sz="2" w:space="0"/>
              <w:right w:val="single" w:color="auto" w:sz="2" w:space="0"/>
            </w:tcBorders>
            <w:vAlign w:val="center"/>
          </w:tcPr>
          <w:p w14:paraId="26328DB0">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shd w:val="clear" w:color="auto" w:fill="auto"/>
              </w:rPr>
              <w:t>箱式变压器、逆变器选用低噪声类型设备，均设置外壳隔声；设备底部基础安装减振垫；加强对逆变器和箱式变压器的定期检查维护使其处于正常稳定的运行状态。</w:t>
            </w:r>
          </w:p>
        </w:tc>
        <w:tc>
          <w:tcPr>
            <w:tcW w:w="2124" w:type="dxa"/>
            <w:tcBorders>
              <w:top w:val="single" w:color="auto" w:sz="2" w:space="0"/>
              <w:left w:val="single" w:color="auto" w:sz="2" w:space="0"/>
              <w:bottom w:val="single" w:color="auto" w:sz="2" w:space="0"/>
              <w:right w:val="single" w:color="auto" w:sz="2" w:space="0"/>
            </w:tcBorders>
            <w:vAlign w:val="center"/>
          </w:tcPr>
          <w:p w14:paraId="4314449E">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《工业企业厂界环境噪声排放标准》</w:t>
            </w:r>
            <w:r>
              <w:rPr>
                <w:rFonts w:hint="eastAsia"/>
                <w:color w:val="auto"/>
                <w:szCs w:val="21"/>
                <w:highlight w:val="none"/>
                <w:shd w:val="clear" w:color="auto" w:fill="auto"/>
              </w:rPr>
              <w:t>（</w:t>
            </w:r>
            <w:r>
              <w:rPr>
                <w:rFonts w:hint="default"/>
                <w:color w:val="auto"/>
                <w:szCs w:val="21"/>
                <w:highlight w:val="none"/>
                <w:shd w:val="clear" w:color="auto" w:fill="auto"/>
              </w:rPr>
              <w:t>GB12348-2008</w:t>
            </w:r>
            <w:r>
              <w:rPr>
                <w:rFonts w:hint="eastAsia"/>
                <w:color w:val="auto"/>
                <w:szCs w:val="21"/>
                <w:highlight w:val="none"/>
                <w:shd w:val="clear" w:color="auto" w:fill="auto"/>
              </w:rPr>
              <w:t>）</w:t>
            </w:r>
            <w:r>
              <w:rPr>
                <w:rFonts w:hint="eastAsia"/>
                <w:color w:val="auto"/>
                <w:szCs w:val="21"/>
                <w:highlight w:val="none"/>
                <w:shd w:val="clear" w:color="auto" w:fill="auto"/>
                <w:lang w:val="en-US" w:eastAsia="zh-CN"/>
              </w:rPr>
              <w:t>1</w:t>
            </w:r>
            <w:r>
              <w:rPr>
                <w:rFonts w:hint="default"/>
                <w:color w:val="auto"/>
                <w:szCs w:val="21"/>
                <w:highlight w:val="none"/>
                <w:shd w:val="clear" w:color="auto" w:fill="auto"/>
              </w:rPr>
              <w:t>类标准</w:t>
            </w:r>
          </w:p>
        </w:tc>
      </w:tr>
      <w:tr w14:paraId="0E9B09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1FCE8CDA">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振动</w:t>
            </w:r>
          </w:p>
        </w:tc>
        <w:tc>
          <w:tcPr>
            <w:tcW w:w="4874" w:type="dxa"/>
            <w:tcBorders>
              <w:top w:val="single" w:color="auto" w:sz="2" w:space="0"/>
              <w:left w:val="single" w:color="auto" w:sz="2" w:space="0"/>
              <w:bottom w:val="single" w:color="auto" w:sz="2" w:space="0"/>
              <w:right w:val="single" w:color="auto" w:sz="2" w:space="0"/>
            </w:tcBorders>
            <w:vAlign w:val="center"/>
          </w:tcPr>
          <w:p w14:paraId="0A6B721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5389B5E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7B9DC701">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60D9E819">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r>
      <w:tr w14:paraId="136AC0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6B6BF54C">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大气环境</w:t>
            </w:r>
          </w:p>
        </w:tc>
        <w:tc>
          <w:tcPr>
            <w:tcW w:w="4874" w:type="dxa"/>
            <w:tcBorders>
              <w:top w:val="single" w:color="auto" w:sz="2" w:space="0"/>
              <w:left w:val="single" w:color="auto" w:sz="2" w:space="0"/>
              <w:bottom w:val="single" w:color="auto" w:sz="2" w:space="0"/>
              <w:right w:val="single" w:color="auto" w:sz="2" w:space="0"/>
            </w:tcBorders>
            <w:vAlign w:val="center"/>
          </w:tcPr>
          <w:p w14:paraId="448AEF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bCs/>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租用</w:t>
            </w:r>
            <w:r>
              <w:rPr>
                <w:rFonts w:hint="default" w:ascii="Times New Roman" w:hAnsi="Times New Roman" w:eastAsia="宋体" w:cs="Times New Roman"/>
                <w:color w:val="auto"/>
                <w:sz w:val="21"/>
                <w:szCs w:val="21"/>
                <w:highlight w:val="none"/>
                <w:lang w:val="en-US" w:eastAsia="zh-CN"/>
              </w:rPr>
              <w:t>1辆洒水车，</w:t>
            </w:r>
            <w:r>
              <w:rPr>
                <w:rFonts w:hint="eastAsia" w:ascii="Times New Roman" w:hAnsi="Times New Roman" w:eastAsia="宋体" w:cs="Times New Roman"/>
                <w:bCs/>
                <w:color w:val="auto"/>
                <w:spacing w:val="0"/>
                <w:sz w:val="21"/>
                <w:szCs w:val="21"/>
                <w:highlight w:val="none"/>
                <w:lang w:val="en-US" w:eastAsia="zh-CN"/>
              </w:rPr>
              <w:t>施工期间根据具体情况适时对施工现场、交通道路洒水至少</w:t>
            </w:r>
            <w:r>
              <w:rPr>
                <w:rFonts w:hint="default" w:ascii="Times New Roman" w:hAnsi="Times New Roman" w:eastAsia="宋体" w:cs="Times New Roman"/>
                <w:bCs/>
                <w:color w:val="auto"/>
                <w:spacing w:val="0"/>
                <w:sz w:val="21"/>
                <w:szCs w:val="21"/>
                <w:highlight w:val="none"/>
                <w:lang w:val="en-US" w:eastAsia="zh-CN"/>
              </w:rPr>
              <w:t>2</w:t>
            </w:r>
            <w:r>
              <w:rPr>
                <w:rFonts w:hint="eastAsia" w:ascii="Times New Roman" w:hAnsi="Times New Roman" w:eastAsia="宋体" w:cs="Times New Roman"/>
                <w:bCs/>
                <w:color w:val="auto"/>
                <w:spacing w:val="0"/>
                <w:sz w:val="21"/>
                <w:szCs w:val="21"/>
                <w:highlight w:val="none"/>
                <w:lang w:val="en-US" w:eastAsia="zh-CN"/>
              </w:rPr>
              <w:t>次（降雨日除外），春季干旱多风日可适当增加洒水次数，车辆物资运输经过的路段应增加洒水次数。重点加强对施工现场及居民点附近交通道路的洒水降尘</w:t>
            </w:r>
            <w:r>
              <w:rPr>
                <w:rFonts w:hint="eastAsia" w:cs="Times New Roman"/>
                <w:bCs/>
                <w:color w:val="auto"/>
                <w:spacing w:val="0"/>
                <w:sz w:val="21"/>
                <w:szCs w:val="21"/>
                <w:highlight w:val="none"/>
                <w:lang w:val="en-US" w:eastAsia="zh-CN"/>
              </w:rPr>
              <w:t>；施工区</w:t>
            </w:r>
            <w:r>
              <w:rPr>
                <w:rFonts w:hint="default" w:ascii="Times New Roman" w:hAnsi="Times New Roman" w:eastAsia="宋体" w:cs="Times New Roman"/>
                <w:color w:val="auto"/>
                <w:sz w:val="21"/>
                <w:szCs w:val="21"/>
                <w:highlight w:val="none"/>
                <w:lang w:val="en-US" w:eastAsia="zh-CN"/>
              </w:rPr>
              <w:t>散体材料库内存放、露天存放应采用防尘网遮盖</w:t>
            </w:r>
            <w:r>
              <w:rPr>
                <w:rFonts w:hint="eastAsia" w:ascii="Times New Roman" w:hAnsi="Times New Roman" w:eastAsia="宋体" w:cs="Times New Roman"/>
                <w:color w:val="auto"/>
                <w:sz w:val="21"/>
                <w:szCs w:val="21"/>
                <w:highlight w:val="none"/>
                <w:lang w:val="en-US" w:eastAsia="zh-CN"/>
              </w:rPr>
              <w:t>；</w:t>
            </w:r>
          </w:p>
          <w:p w14:paraId="5434A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）在施工中合理组织施工，缩短施工时间，尽量减少施工污染； </w:t>
            </w:r>
          </w:p>
          <w:p w14:paraId="71E02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）加强监督管理，运输车辆采取篷布遮盖等封闭措施，以避免运输途中砂石、水泥等</w:t>
            </w:r>
            <w:r>
              <w:rPr>
                <w:rFonts w:hint="eastAsia" w:cs="Times New Roman"/>
                <w:color w:val="auto"/>
                <w:sz w:val="21"/>
                <w:szCs w:val="21"/>
                <w:highlight w:val="none"/>
                <w:lang w:val="en-US" w:eastAsia="zh-CN"/>
              </w:rPr>
              <w:t>固体</w:t>
            </w:r>
            <w:r>
              <w:rPr>
                <w:rFonts w:hint="default" w:ascii="Times New Roman" w:hAnsi="Times New Roman" w:eastAsia="宋体" w:cs="Times New Roman"/>
                <w:color w:val="auto"/>
                <w:sz w:val="21"/>
                <w:szCs w:val="21"/>
                <w:highlight w:val="none"/>
                <w:lang w:val="en-US" w:eastAsia="zh-CN"/>
              </w:rPr>
              <w:t>材料洒落；运输车辆不得超量运载；运输车辆经过村庄路段应减速行驶，并安排专人定期对运输道路进行维护清扫、洒水降尘；</w:t>
            </w:r>
          </w:p>
          <w:p w14:paraId="0F4BA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）施工后要及时清理平整场地、及时实施地面绿化措施</w:t>
            </w:r>
            <w:r>
              <w:rPr>
                <w:rFonts w:hint="default" w:ascii="Times New Roman" w:hAnsi="Times New Roman" w:eastAsia="宋体" w:cs="Times New Roman"/>
                <w:color w:val="auto"/>
                <w:sz w:val="21"/>
                <w:szCs w:val="21"/>
                <w:highlight w:val="none"/>
                <w:lang w:eastAsia="zh-CN"/>
              </w:rPr>
              <w:t>。</w:t>
            </w:r>
          </w:p>
          <w:p w14:paraId="2F9D1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本项目建设施工应由建设单位指定专人负责施工现场扬尘污染措施的实施和监督。施工工地出入口必须设立环境保护监督牌。必须注明项目名称、建设单位、施工单位、防治扬尘污染现场监督员姓名和联系电话、项目工程、生态环境措施、举报电话等内容；</w:t>
            </w:r>
          </w:p>
          <w:p w14:paraId="16193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）出现五级以上大风天气时，禁止进行土方等易产生扬尘污染的施工作业；</w:t>
            </w:r>
          </w:p>
          <w:p w14:paraId="47659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r>
              <w:rPr>
                <w:rFonts w:hint="eastAsia" w:cs="Times New Roman"/>
                <w:color w:val="auto"/>
                <w:sz w:val="21"/>
                <w:szCs w:val="21"/>
                <w:highlight w:val="none"/>
                <w:lang w:val="en-US" w:eastAsia="zh-CN"/>
              </w:rPr>
              <w:t>；</w:t>
            </w:r>
          </w:p>
          <w:p w14:paraId="63CC6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（8）限制运输车辆的行驶速度，场地内的行车速度不得超过</w:t>
            </w:r>
            <w:r>
              <w:rPr>
                <w:rFonts w:hint="default" w:ascii="Times New Roman" w:hAnsi="Times New Roman" w:eastAsia="宋体" w:cs="Times New Roman"/>
                <w:bCs/>
                <w:color w:val="auto"/>
                <w:spacing w:val="0"/>
                <w:sz w:val="21"/>
                <w:szCs w:val="21"/>
                <w:highlight w:val="none"/>
                <w:lang w:val="en-US" w:eastAsia="zh-CN"/>
              </w:rPr>
              <w:t>20km/h</w:t>
            </w:r>
            <w:r>
              <w:rPr>
                <w:rFonts w:hint="eastAsia" w:cs="Times New Roman"/>
                <w:bCs/>
                <w:color w:val="auto"/>
                <w:spacing w:val="0"/>
                <w:sz w:val="21"/>
                <w:szCs w:val="21"/>
                <w:highlight w:val="none"/>
                <w:lang w:val="en-US" w:eastAsia="zh-CN"/>
              </w:rPr>
              <w:t>；</w:t>
            </w:r>
          </w:p>
          <w:p w14:paraId="2DB8A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在施工期间，建设单位和施工单位还应执行《云南省人民政府关于印发云南省打赢蓝天保卫战三年行动计划实施方案的通知》（云政发〔2018〕44号）、《云南省大气污染防治条例》（2019年1月1日）中的相关要求，落实施工扬尘控制措施，在施工合同中确定扬尘污染防治目标及施工单位扬尘污染防治责任，施工作业人员上岗前，施工单位应组织以国家法律法规、技术规范、管理制度和操作规程为主要内容的扬尘防治</w:t>
            </w:r>
            <w:r>
              <w:rPr>
                <w:rFonts w:hint="eastAsia" w:cs="Times New Roman"/>
                <w:color w:val="auto"/>
                <w:sz w:val="21"/>
                <w:szCs w:val="21"/>
                <w:highlight w:val="none"/>
                <w:lang w:val="en-US" w:eastAsia="zh-CN"/>
              </w:rPr>
              <w:t>日常</w:t>
            </w:r>
            <w:r>
              <w:rPr>
                <w:rFonts w:hint="eastAsia" w:ascii="Times New Roman" w:hAnsi="Times New Roman" w:eastAsia="宋体" w:cs="Times New Roman"/>
                <w:color w:val="auto"/>
                <w:sz w:val="21"/>
                <w:szCs w:val="21"/>
                <w:highlight w:val="none"/>
                <w:lang w:val="en-US" w:eastAsia="zh-CN"/>
              </w:rPr>
              <w:t>教育培训和考核等</w:t>
            </w:r>
            <w:r>
              <w:rPr>
                <w:rFonts w:hint="eastAsia" w:cs="Times New Roman"/>
                <w:color w:val="auto"/>
                <w:sz w:val="21"/>
                <w:szCs w:val="21"/>
                <w:highlight w:val="none"/>
                <w:lang w:val="en-US" w:eastAsia="zh-CN"/>
              </w:rPr>
              <w:t>；</w:t>
            </w:r>
          </w:p>
          <w:p w14:paraId="3F7D9AD0">
            <w:pPr>
              <w:keepNext w:val="0"/>
              <w:keepLines w:val="0"/>
              <w:suppressLineNumbers w:val="0"/>
              <w:shd w:val="clear"/>
              <w:spacing w:before="0" w:beforeAutospacing="0" w:after="0" w:afterAutospacing="0" w:line="240" w:lineRule="auto"/>
              <w:ind w:left="0" w:right="0" w:firstLine="420" w:firstLineChars="200"/>
              <w:rPr>
                <w:rFonts w:hint="default"/>
                <w:color w:val="auto"/>
                <w:szCs w:val="21"/>
                <w:highlight w:val="none"/>
                <w:shd w:val="clear" w:color="auto" w:fill="auto"/>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）推行绿色文明施工管理模式，建设单位、施工单位在合同中依法明确扬尘污染治理实施方案和责任，并将防治费用列入工程成本，单独列支，专款专用。</w:t>
            </w:r>
          </w:p>
        </w:tc>
        <w:tc>
          <w:tcPr>
            <w:tcW w:w="1802" w:type="dxa"/>
            <w:tcBorders>
              <w:top w:val="single" w:color="auto" w:sz="2" w:space="0"/>
              <w:left w:val="single" w:color="auto" w:sz="2" w:space="0"/>
              <w:bottom w:val="single" w:color="auto" w:sz="2" w:space="0"/>
              <w:right w:val="single" w:color="auto" w:sz="2" w:space="0"/>
            </w:tcBorders>
            <w:vAlign w:val="center"/>
          </w:tcPr>
          <w:p w14:paraId="20D709D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施工</w:t>
            </w:r>
            <w:r>
              <w:rPr>
                <w:rFonts w:hint="eastAsia"/>
                <w:color w:val="auto"/>
                <w:szCs w:val="21"/>
                <w:highlight w:val="none"/>
                <w:shd w:val="clear" w:color="auto" w:fill="auto"/>
              </w:rPr>
              <w:t>扬尘排</w:t>
            </w:r>
            <w:r>
              <w:rPr>
                <w:rFonts w:hint="default"/>
                <w:color w:val="auto"/>
                <w:szCs w:val="21"/>
                <w:highlight w:val="none"/>
                <w:shd w:val="clear" w:color="auto" w:fill="auto"/>
              </w:rPr>
              <w:t>放</w:t>
            </w:r>
            <w:r>
              <w:rPr>
                <w:rFonts w:hint="eastAsia"/>
                <w:color w:val="auto"/>
                <w:szCs w:val="21"/>
                <w:highlight w:val="none"/>
                <w:shd w:val="clear" w:color="auto" w:fill="auto"/>
              </w:rPr>
              <w:t>达到</w:t>
            </w:r>
            <w:r>
              <w:rPr>
                <w:rFonts w:hint="default"/>
                <w:color w:val="auto"/>
                <w:szCs w:val="21"/>
                <w:highlight w:val="none"/>
                <w:shd w:val="clear" w:color="auto" w:fill="auto"/>
              </w:rPr>
              <w:t>《大气污染物综合排放标准》（GB16297-1996）</w:t>
            </w:r>
            <w:r>
              <w:rPr>
                <w:rFonts w:hint="eastAsia"/>
                <w:color w:val="auto"/>
                <w:szCs w:val="21"/>
                <w:highlight w:val="none"/>
                <w:shd w:val="clear" w:color="auto" w:fill="auto"/>
              </w:rPr>
              <w:t>要求</w:t>
            </w:r>
          </w:p>
        </w:tc>
        <w:tc>
          <w:tcPr>
            <w:tcW w:w="3813" w:type="dxa"/>
            <w:tcBorders>
              <w:top w:val="single" w:color="auto" w:sz="2" w:space="0"/>
              <w:left w:val="single" w:color="auto" w:sz="2" w:space="0"/>
              <w:bottom w:val="single" w:color="auto" w:sz="2" w:space="0"/>
              <w:right w:val="single" w:color="auto" w:sz="2" w:space="0"/>
            </w:tcBorders>
            <w:vAlign w:val="center"/>
          </w:tcPr>
          <w:p w14:paraId="7BD5E6A9">
            <w:pPr>
              <w:keepNext w:val="0"/>
              <w:keepLines w:val="0"/>
              <w:widowControl/>
              <w:suppressLineNumbers w:val="0"/>
              <w:shd w:val="clear"/>
              <w:spacing w:before="0" w:beforeAutospacing="0" w:after="0" w:afterAutospacing="0"/>
              <w:ind w:left="0" w:right="0"/>
              <w:jc w:val="left"/>
              <w:rPr>
                <w:rFonts w:hint="default"/>
                <w:color w:val="auto"/>
                <w:szCs w:val="21"/>
                <w:highlight w:val="none"/>
                <w:shd w:val="clear" w:color="auto" w:fill="auto"/>
              </w:rPr>
            </w:pPr>
            <w:r>
              <w:rPr>
                <w:rFonts w:hint="default"/>
                <w:color w:val="auto"/>
                <w:szCs w:val="21"/>
                <w:highlight w:val="none"/>
              </w:rPr>
              <w:t>汽车尾气经周边环境及时扩散。</w:t>
            </w:r>
          </w:p>
        </w:tc>
        <w:tc>
          <w:tcPr>
            <w:tcW w:w="2124" w:type="dxa"/>
            <w:tcBorders>
              <w:top w:val="single" w:color="auto" w:sz="2" w:space="0"/>
              <w:left w:val="single" w:color="auto" w:sz="2" w:space="0"/>
              <w:bottom w:val="single" w:color="auto" w:sz="2" w:space="0"/>
              <w:right w:val="single" w:color="auto" w:sz="2" w:space="0"/>
            </w:tcBorders>
            <w:vAlign w:val="center"/>
          </w:tcPr>
          <w:p w14:paraId="3FC66507">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rPr>
              <w:t>周边大气稀释扩散</w:t>
            </w:r>
          </w:p>
        </w:tc>
      </w:tr>
      <w:tr w14:paraId="677639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7B461FB">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固体废物</w:t>
            </w:r>
          </w:p>
        </w:tc>
        <w:tc>
          <w:tcPr>
            <w:tcW w:w="4874" w:type="dxa"/>
            <w:tcBorders>
              <w:top w:val="single" w:color="auto" w:sz="2" w:space="0"/>
              <w:left w:val="single" w:color="auto" w:sz="2" w:space="0"/>
              <w:bottom w:val="single" w:color="auto" w:sz="2" w:space="0"/>
              <w:right w:val="single" w:color="auto" w:sz="2" w:space="0"/>
            </w:tcBorders>
            <w:vAlign w:val="center"/>
          </w:tcPr>
          <w:p w14:paraId="56611F06">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（1）废弃土石方：项目产生的土石方全部在场地内回填，不设置弃渣场，禁止乱弃渣。</w:t>
            </w:r>
          </w:p>
          <w:p w14:paraId="1FEE0150">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（2）建筑垃圾：分类收集，能利用部分外售收购商进行回收利用，不可回收部分委托资质单位清运至政府部门指定的场所进行处置。禁止乱堆乱倒。</w:t>
            </w:r>
          </w:p>
          <w:p w14:paraId="1AD3F48F">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rPr>
              <w:t>（3）生活垃圾：在施工场地设置临时生活垃圾收集桶，对施工人员的生活垃圾进行收集，垃圾实行“日产日清”，能回收利用部分回收利用，不能回收利用的自行转运至附近村镇垃圾收集点统一处置。</w:t>
            </w:r>
          </w:p>
          <w:p w14:paraId="6956A302">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Cs w:val="21"/>
                <w:highlight w:val="none"/>
                <w:shd w:val="clear" w:color="auto" w:fill="auto"/>
              </w:rPr>
              <w:t>（4）废弃设备零件经收集后，可回收利用。</w:t>
            </w:r>
          </w:p>
        </w:tc>
        <w:tc>
          <w:tcPr>
            <w:tcW w:w="1802" w:type="dxa"/>
            <w:tcBorders>
              <w:top w:val="single" w:color="auto" w:sz="2" w:space="0"/>
              <w:left w:val="single" w:color="auto" w:sz="2" w:space="0"/>
              <w:bottom w:val="single" w:color="auto" w:sz="2" w:space="0"/>
              <w:right w:val="single" w:color="auto" w:sz="2" w:space="0"/>
            </w:tcBorders>
            <w:vAlign w:val="center"/>
          </w:tcPr>
          <w:p w14:paraId="62F6E829">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color w:val="auto"/>
                <w:sz w:val="21"/>
                <w:szCs w:val="21"/>
                <w:highlight w:val="none"/>
                <w:shd w:val="clear" w:color="auto" w:fill="auto"/>
              </w:rPr>
              <w:t>固废处置率100%</w:t>
            </w:r>
          </w:p>
        </w:tc>
        <w:tc>
          <w:tcPr>
            <w:tcW w:w="3813" w:type="dxa"/>
            <w:tcBorders>
              <w:top w:val="single" w:color="auto" w:sz="2" w:space="0"/>
              <w:left w:val="single" w:color="auto" w:sz="2" w:space="0"/>
              <w:bottom w:val="single" w:color="auto" w:sz="2" w:space="0"/>
              <w:right w:val="single" w:color="auto" w:sz="2" w:space="0"/>
            </w:tcBorders>
            <w:vAlign w:val="center"/>
          </w:tcPr>
          <w:p w14:paraId="5681C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 xml:space="preserve">（1）废电池板、废逆变器、废电气元件：暂存于竹园沟光伏发电项目一般固废暂存间，及时委托专业的回收厂家收购回收处理，不得随意堆放处置。 </w:t>
            </w:r>
          </w:p>
          <w:p w14:paraId="3A50E0D9">
            <w:pPr>
              <w:keepNext w:val="0"/>
              <w:keepLines w:val="0"/>
              <w:suppressLineNumbers w:val="0"/>
              <w:shd w:val="clear"/>
              <w:adjustRightInd w:val="0"/>
              <w:snapToGrid w:val="0"/>
              <w:spacing w:before="0" w:beforeAutospacing="0" w:after="0" w:afterAutospacing="0"/>
              <w:ind w:left="0" w:right="0"/>
              <w:rPr>
                <w:rFonts w:hint="default"/>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2）单次维修产生的废变压器油和事故废油均属危险废物，经集中收集后，暂存于竹园沟光伏发电项目升压站危废贮存库，并委托有资质单位处置；变压器油不合格需全部更换时产生的废变压器油，委托有资质单位在更换后即时转移处置，不在厂区贮存。</w:t>
            </w:r>
          </w:p>
        </w:tc>
        <w:tc>
          <w:tcPr>
            <w:tcW w:w="2124" w:type="dxa"/>
            <w:tcBorders>
              <w:top w:val="single" w:color="auto" w:sz="2" w:space="0"/>
              <w:left w:val="single" w:color="auto" w:sz="2" w:space="0"/>
              <w:bottom w:val="single" w:color="auto" w:sz="2" w:space="0"/>
              <w:right w:val="single" w:color="auto" w:sz="2" w:space="0"/>
            </w:tcBorders>
            <w:vAlign w:val="center"/>
          </w:tcPr>
          <w:p w14:paraId="326C1744">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固废处置率100%</w:t>
            </w:r>
          </w:p>
        </w:tc>
      </w:tr>
      <w:tr w14:paraId="1672EB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3"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3B63D7E4">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电磁环境</w:t>
            </w:r>
          </w:p>
        </w:tc>
        <w:tc>
          <w:tcPr>
            <w:tcW w:w="4874" w:type="dxa"/>
            <w:tcBorders>
              <w:top w:val="single" w:color="auto" w:sz="2" w:space="0"/>
              <w:left w:val="single" w:color="auto" w:sz="2" w:space="0"/>
              <w:bottom w:val="single" w:color="auto" w:sz="2" w:space="0"/>
              <w:right w:val="single" w:color="auto" w:sz="2" w:space="0"/>
            </w:tcBorders>
            <w:vAlign w:val="center"/>
          </w:tcPr>
          <w:p w14:paraId="2E7093BF">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2077D9DD">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639277FC">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auto"/>
                <w:szCs w:val="21"/>
                <w:highlight w:val="none"/>
                <w:shd w:val="clear" w:color="auto" w:fill="auto"/>
                <w:lang w:eastAsia="zh-CN"/>
              </w:rPr>
            </w:pPr>
            <w:r>
              <w:rPr>
                <w:rFonts w:hint="eastAsia"/>
                <w:color w:val="auto"/>
                <w:kern w:val="0"/>
                <w:szCs w:val="21"/>
                <w:highlight w:val="none"/>
                <w:shd w:val="clear" w:color="auto" w:fill="auto"/>
                <w:lang w:val="en-US" w:eastAsia="zh-CN" w:bidi="ar"/>
              </w:rPr>
              <w:t>/</w:t>
            </w:r>
          </w:p>
        </w:tc>
        <w:tc>
          <w:tcPr>
            <w:tcW w:w="2124" w:type="dxa"/>
            <w:tcBorders>
              <w:top w:val="single" w:color="auto" w:sz="2" w:space="0"/>
              <w:left w:val="single" w:color="auto" w:sz="2" w:space="0"/>
              <w:bottom w:val="single" w:color="auto" w:sz="2" w:space="0"/>
              <w:right w:val="single" w:color="auto" w:sz="2" w:space="0"/>
            </w:tcBorders>
            <w:vAlign w:val="center"/>
          </w:tcPr>
          <w:p w14:paraId="35DA79B3">
            <w:pPr>
              <w:keepNext w:val="0"/>
              <w:keepLines w:val="0"/>
              <w:suppressLineNumbers w:val="0"/>
              <w:shd w:val="clear"/>
              <w:adjustRightInd w:val="0"/>
              <w:snapToGrid w:val="0"/>
              <w:spacing w:before="0" w:beforeAutospacing="0" w:after="0" w:afterAutospacing="0"/>
              <w:ind w:left="0" w:right="0"/>
              <w:rPr>
                <w:rFonts w:hint="eastAsia" w:eastAsia="宋体"/>
                <w:color w:val="auto"/>
                <w:szCs w:val="21"/>
                <w:highlight w:val="none"/>
                <w:shd w:val="clear" w:color="auto" w:fill="auto"/>
                <w:lang w:eastAsia="zh-CN"/>
              </w:rPr>
            </w:pPr>
            <w:r>
              <w:rPr>
                <w:rFonts w:hint="eastAsia"/>
                <w:color w:val="auto"/>
                <w:szCs w:val="21"/>
                <w:highlight w:val="none"/>
                <w:shd w:val="clear" w:color="auto" w:fill="auto"/>
                <w:lang w:val="en-US" w:eastAsia="zh-CN"/>
              </w:rPr>
              <w:t>/</w:t>
            </w:r>
          </w:p>
        </w:tc>
      </w:tr>
      <w:tr w14:paraId="21517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1561" w:type="dxa"/>
            <w:tcBorders>
              <w:top w:val="single" w:color="auto" w:sz="2" w:space="0"/>
              <w:left w:val="single" w:color="auto" w:sz="2" w:space="0"/>
              <w:bottom w:val="single" w:color="auto" w:sz="2" w:space="0"/>
              <w:right w:val="single" w:color="auto" w:sz="2" w:space="0"/>
            </w:tcBorders>
            <w:vAlign w:val="center"/>
          </w:tcPr>
          <w:p w14:paraId="26A72295">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环境风险</w:t>
            </w:r>
          </w:p>
        </w:tc>
        <w:tc>
          <w:tcPr>
            <w:tcW w:w="4874" w:type="dxa"/>
            <w:tcBorders>
              <w:top w:val="single" w:color="auto" w:sz="2" w:space="0"/>
              <w:left w:val="single" w:color="auto" w:sz="2" w:space="0"/>
              <w:bottom w:val="single" w:color="auto" w:sz="2" w:space="0"/>
              <w:right w:val="single" w:color="auto" w:sz="2" w:space="0"/>
            </w:tcBorders>
            <w:vAlign w:val="center"/>
          </w:tcPr>
          <w:p w14:paraId="580001E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72F7C615">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0236409C">
            <w:pPr>
              <w:keepNext w:val="0"/>
              <w:keepLines w:val="0"/>
              <w:suppressLineNumbers w:val="0"/>
              <w:shd w:val="clear"/>
              <w:adjustRightInd w:val="0"/>
              <w:snapToGrid w:val="0"/>
              <w:spacing w:before="0" w:beforeAutospacing="0" w:after="0" w:afterAutospacing="0" w:line="240" w:lineRule="auto"/>
              <w:ind w:left="0" w:right="0"/>
              <w:textAlignment w:val="baseline"/>
              <w:rPr>
                <w:rFonts w:hint="default"/>
                <w:color w:val="auto"/>
                <w:sz w:val="21"/>
                <w:szCs w:val="21"/>
                <w:highlight w:val="none"/>
                <w:shd w:val="clear" w:color="auto" w:fill="auto"/>
              </w:rPr>
            </w:pPr>
            <w:r>
              <w:rPr>
                <w:rFonts w:hint="default"/>
                <w:color w:val="auto"/>
                <w:sz w:val="21"/>
                <w:szCs w:val="21"/>
                <w:highlight w:val="none"/>
                <w:shd w:val="clear" w:color="auto" w:fill="auto"/>
              </w:rPr>
              <w:t>（1）在箱式变压器下方基础处设置</w:t>
            </w:r>
            <w:r>
              <w:rPr>
                <w:rFonts w:hint="default"/>
                <w:color w:val="auto"/>
                <w:sz w:val="21"/>
                <w:szCs w:val="21"/>
                <w:highlight w:val="none"/>
                <w:shd w:val="clear" w:color="auto" w:fill="auto"/>
                <w:lang w:val="en-US" w:eastAsia="zh-CN"/>
              </w:rPr>
              <w:t>16</w:t>
            </w:r>
            <w:r>
              <w:rPr>
                <w:rFonts w:hint="default"/>
                <w:color w:val="auto"/>
                <w:sz w:val="21"/>
                <w:szCs w:val="21"/>
                <w:highlight w:val="none"/>
                <w:shd w:val="clear" w:color="auto" w:fill="auto"/>
              </w:rPr>
              <w:t>个</w:t>
            </w:r>
            <w:r>
              <w:rPr>
                <w:rFonts w:hint="default"/>
                <w:color w:val="auto"/>
                <w:sz w:val="21"/>
                <w:szCs w:val="21"/>
                <w:highlight w:val="none"/>
                <w:shd w:val="clear" w:color="auto" w:fill="auto"/>
                <w:lang w:eastAsia="zh-CN"/>
              </w:rPr>
              <w:t>事故油池</w:t>
            </w:r>
            <w:r>
              <w:rPr>
                <w:rFonts w:hint="default"/>
                <w:color w:val="auto"/>
                <w:sz w:val="21"/>
                <w:szCs w:val="21"/>
                <w:highlight w:val="none"/>
                <w:shd w:val="clear" w:color="auto" w:fill="auto"/>
              </w:rPr>
              <w:t>（其中</w:t>
            </w:r>
            <w:r>
              <w:rPr>
                <w:rFonts w:hint="default"/>
                <w:color w:val="auto"/>
                <w:sz w:val="21"/>
                <w:szCs w:val="21"/>
                <w:highlight w:val="none"/>
                <w:shd w:val="clear" w:color="auto" w:fill="auto"/>
                <w:lang w:val="en-US" w:eastAsia="zh-CN"/>
              </w:rPr>
              <w:t>3个</w:t>
            </w:r>
            <w:r>
              <w:rPr>
                <w:rFonts w:hint="default"/>
                <w:color w:val="auto"/>
                <w:sz w:val="21"/>
                <w:szCs w:val="21"/>
                <w:highlight w:val="none"/>
                <w:shd w:val="clear" w:color="auto" w:fill="auto"/>
              </w:rPr>
              <w:t>不低于</w:t>
            </w:r>
            <w:r>
              <w:rPr>
                <w:rFonts w:hint="default"/>
                <w:color w:val="auto"/>
                <w:sz w:val="21"/>
                <w:szCs w:val="21"/>
                <w:highlight w:val="none"/>
                <w:shd w:val="clear" w:color="auto" w:fill="auto"/>
                <w:lang w:val="en-US" w:eastAsia="zh-CN"/>
              </w:rPr>
              <w:t>2.4</w:t>
            </w:r>
            <w:r>
              <w:rPr>
                <w:rFonts w:hint="default"/>
                <w:color w:val="auto"/>
                <w:sz w:val="21"/>
                <w:szCs w:val="21"/>
                <w:highlight w:val="none"/>
                <w:shd w:val="clear" w:color="auto" w:fill="auto"/>
              </w:rPr>
              <w:t>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rPr>
              <w:t>；</w:t>
            </w:r>
            <w:r>
              <w:rPr>
                <w:rFonts w:hint="default"/>
                <w:color w:val="auto"/>
                <w:sz w:val="21"/>
                <w:szCs w:val="21"/>
                <w:highlight w:val="none"/>
                <w:shd w:val="clear" w:color="auto" w:fill="auto"/>
                <w:lang w:val="en-US" w:eastAsia="zh-CN"/>
              </w:rPr>
              <w:t>7个</w:t>
            </w:r>
            <w:r>
              <w:rPr>
                <w:rFonts w:hint="default"/>
                <w:color w:val="auto"/>
                <w:sz w:val="21"/>
                <w:szCs w:val="21"/>
                <w:highlight w:val="none"/>
                <w:shd w:val="clear" w:color="auto" w:fill="auto"/>
              </w:rPr>
              <w:t>不低于</w:t>
            </w:r>
            <w:r>
              <w:rPr>
                <w:rFonts w:hint="default"/>
                <w:color w:val="auto"/>
                <w:sz w:val="21"/>
                <w:szCs w:val="21"/>
                <w:highlight w:val="none"/>
                <w:shd w:val="clear" w:color="auto" w:fill="auto"/>
                <w:lang w:val="en-US" w:eastAsia="zh-CN"/>
              </w:rPr>
              <w:t>2.85</w:t>
            </w:r>
            <w:r>
              <w:rPr>
                <w:rFonts w:hint="default"/>
                <w:color w:val="auto"/>
                <w:sz w:val="21"/>
                <w:szCs w:val="21"/>
                <w:highlight w:val="none"/>
                <w:shd w:val="clear" w:color="auto" w:fill="auto"/>
              </w:rPr>
              <w:t>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lang w:val="en-US" w:eastAsia="zh-CN"/>
              </w:rPr>
              <w:t>；6个</w:t>
            </w:r>
            <w:r>
              <w:rPr>
                <w:rFonts w:hint="default"/>
                <w:color w:val="auto"/>
                <w:sz w:val="21"/>
                <w:szCs w:val="21"/>
                <w:highlight w:val="none"/>
                <w:shd w:val="clear" w:color="auto" w:fill="auto"/>
              </w:rPr>
              <w:t>不低于</w:t>
            </w:r>
            <w:r>
              <w:rPr>
                <w:rFonts w:hint="default"/>
                <w:color w:val="auto"/>
                <w:sz w:val="21"/>
                <w:szCs w:val="21"/>
                <w:highlight w:val="none"/>
                <w:shd w:val="clear" w:color="auto" w:fill="auto"/>
                <w:lang w:val="en-US" w:eastAsia="zh-CN"/>
              </w:rPr>
              <w:t>3</w:t>
            </w:r>
            <w:r>
              <w:rPr>
                <w:rFonts w:hint="default"/>
                <w:color w:val="auto"/>
                <w:sz w:val="21"/>
                <w:szCs w:val="21"/>
                <w:highlight w:val="none"/>
                <w:shd w:val="clear" w:color="auto" w:fill="auto"/>
              </w:rPr>
              <w:t>m</w:t>
            </w:r>
            <w:r>
              <w:rPr>
                <w:rFonts w:hint="default"/>
                <w:color w:val="auto"/>
                <w:sz w:val="21"/>
                <w:szCs w:val="21"/>
                <w:highlight w:val="none"/>
                <w:shd w:val="clear" w:color="auto" w:fill="auto"/>
                <w:vertAlign w:val="superscript"/>
              </w:rPr>
              <w:t>3</w:t>
            </w:r>
            <w:r>
              <w:rPr>
                <w:rFonts w:hint="default"/>
                <w:color w:val="auto"/>
                <w:sz w:val="21"/>
                <w:szCs w:val="21"/>
                <w:highlight w:val="none"/>
                <w:shd w:val="clear" w:color="auto" w:fill="auto"/>
              </w:rPr>
              <w:t>）</w:t>
            </w:r>
            <w:r>
              <w:rPr>
                <w:rFonts w:hint="default"/>
                <w:color w:val="auto"/>
                <w:sz w:val="21"/>
                <w:szCs w:val="21"/>
                <w:highlight w:val="none"/>
                <w:shd w:val="clear" w:color="auto" w:fill="auto"/>
                <w:lang w:eastAsia="zh-CN"/>
              </w:rPr>
              <w:t>，</w:t>
            </w:r>
            <w:r>
              <w:rPr>
                <w:rFonts w:hint="default"/>
                <w:color w:val="auto"/>
                <w:sz w:val="21"/>
                <w:szCs w:val="21"/>
                <w:highlight w:val="none"/>
                <w:shd w:val="clear" w:color="auto" w:fill="auto"/>
                <w:lang w:val="en-US" w:eastAsia="zh-CN"/>
              </w:rPr>
              <w:t>箱变</w:t>
            </w:r>
            <w:r>
              <w:rPr>
                <w:rFonts w:hint="default"/>
                <w:color w:val="auto"/>
                <w:sz w:val="21"/>
                <w:szCs w:val="21"/>
                <w:highlight w:val="none"/>
                <w:shd w:val="clear" w:color="auto" w:fill="auto"/>
              </w:rPr>
              <w:t>在事故情况下，泄漏的变压器油经排油管自流进入</w:t>
            </w:r>
            <w:r>
              <w:rPr>
                <w:rFonts w:hint="default"/>
                <w:color w:val="auto"/>
                <w:sz w:val="21"/>
                <w:szCs w:val="21"/>
                <w:highlight w:val="none"/>
                <w:shd w:val="clear" w:color="auto" w:fill="auto"/>
                <w:lang w:eastAsia="zh-CN"/>
              </w:rPr>
              <w:t>事故油池</w:t>
            </w:r>
            <w:r>
              <w:rPr>
                <w:rFonts w:hint="default"/>
                <w:color w:val="auto"/>
                <w:sz w:val="21"/>
                <w:szCs w:val="21"/>
                <w:highlight w:val="none"/>
                <w:shd w:val="clear" w:color="auto" w:fill="auto"/>
              </w:rPr>
              <w:t>，收集后暂存</w:t>
            </w:r>
            <w:r>
              <w:rPr>
                <w:rFonts w:hint="default"/>
                <w:color w:val="auto"/>
                <w:sz w:val="21"/>
                <w:szCs w:val="21"/>
                <w:highlight w:val="none"/>
                <w:shd w:val="clear" w:color="auto" w:fill="auto"/>
                <w:lang w:val="en-US" w:eastAsia="zh-CN"/>
              </w:rPr>
              <w:t>于竹园沟光伏发电项目</w:t>
            </w:r>
            <w:r>
              <w:rPr>
                <w:rFonts w:hint="default"/>
                <w:color w:val="auto"/>
                <w:sz w:val="21"/>
                <w:szCs w:val="21"/>
                <w:highlight w:val="none"/>
                <w:shd w:val="clear" w:color="auto" w:fill="auto"/>
              </w:rPr>
              <w:t>升压站</w:t>
            </w:r>
            <w:r>
              <w:rPr>
                <w:rFonts w:hint="default"/>
                <w:color w:val="auto"/>
                <w:sz w:val="21"/>
                <w:szCs w:val="21"/>
                <w:highlight w:val="none"/>
                <w:shd w:val="clear" w:color="auto" w:fill="auto"/>
                <w:lang w:eastAsia="zh-CN"/>
              </w:rPr>
              <w:t>危废贮存库</w:t>
            </w:r>
            <w:r>
              <w:rPr>
                <w:rFonts w:hint="default"/>
                <w:color w:val="auto"/>
                <w:sz w:val="21"/>
                <w:szCs w:val="21"/>
                <w:highlight w:val="none"/>
                <w:shd w:val="clear" w:color="auto" w:fill="auto"/>
              </w:rPr>
              <w:t>，委托资质单位清运处置。</w:t>
            </w:r>
          </w:p>
          <w:p w14:paraId="7CED1434">
            <w:pPr>
              <w:keepNext w:val="0"/>
              <w:keepLines w:val="0"/>
              <w:suppressLineNumbers w:val="0"/>
              <w:shd w:val="clear"/>
              <w:adjustRightInd w:val="0"/>
              <w:snapToGrid w:val="0"/>
              <w:spacing w:before="0" w:beforeAutospacing="0" w:after="0" w:afterAutospacing="0" w:line="240" w:lineRule="auto"/>
              <w:ind w:left="0" w:right="0"/>
              <w:textAlignment w:val="baseline"/>
              <w:rPr>
                <w:rFonts w:hint="default"/>
                <w:color w:val="auto"/>
                <w:kern w:val="0"/>
                <w:sz w:val="21"/>
                <w:szCs w:val="21"/>
                <w:highlight w:val="none"/>
                <w:shd w:val="clear" w:color="auto" w:fill="auto"/>
                <w:lang w:val="zh-CN"/>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2</w:t>
            </w:r>
            <w:r>
              <w:rPr>
                <w:rFonts w:hint="default"/>
                <w:color w:val="auto"/>
                <w:kern w:val="0"/>
                <w:sz w:val="21"/>
                <w:szCs w:val="21"/>
                <w:highlight w:val="none"/>
                <w:shd w:val="clear" w:color="auto" w:fill="auto"/>
              </w:rPr>
              <w:t>）</w:t>
            </w:r>
            <w:r>
              <w:rPr>
                <w:rFonts w:hint="default"/>
                <w:color w:val="auto"/>
                <w:kern w:val="0"/>
                <w:sz w:val="21"/>
                <w:szCs w:val="21"/>
                <w:highlight w:val="none"/>
                <w:shd w:val="clear" w:color="auto" w:fill="auto"/>
                <w:lang w:val="zh-CN"/>
              </w:rPr>
              <w:t>运营期定期检查</w:t>
            </w:r>
            <w:r>
              <w:rPr>
                <w:rFonts w:hint="default"/>
                <w:color w:val="auto"/>
                <w:kern w:val="0"/>
                <w:sz w:val="21"/>
                <w:szCs w:val="21"/>
                <w:highlight w:val="none"/>
                <w:shd w:val="clear" w:color="auto" w:fill="auto"/>
              </w:rPr>
              <w:t>各储存设施</w:t>
            </w:r>
            <w:r>
              <w:rPr>
                <w:rFonts w:hint="default"/>
                <w:color w:val="auto"/>
                <w:kern w:val="0"/>
                <w:sz w:val="21"/>
                <w:szCs w:val="21"/>
                <w:highlight w:val="none"/>
                <w:shd w:val="clear" w:color="auto" w:fill="auto"/>
                <w:lang w:val="zh-CN"/>
              </w:rPr>
              <w:t>，避免出现泄漏等不良情况。</w:t>
            </w:r>
          </w:p>
          <w:p w14:paraId="27F9D972">
            <w:pPr>
              <w:pStyle w:val="54"/>
              <w:keepNext w:val="0"/>
              <w:keepLines w:val="0"/>
              <w:suppressLineNumbers w:val="0"/>
              <w:shd w:val="clear"/>
              <w:spacing w:before="0" w:beforeAutospacing="0" w:after="0" w:afterAutospacing="0" w:line="240" w:lineRule="auto"/>
              <w:ind w:left="0" w:leftChars="0" w:right="0" w:firstLine="0" w:firstLineChars="0"/>
              <w:jc w:val="both"/>
              <w:rPr>
                <w:rFonts w:hint="default" w:eastAsia="宋体"/>
                <w:color w:val="auto"/>
                <w:sz w:val="21"/>
                <w:szCs w:val="21"/>
                <w:highlight w:val="none"/>
                <w:shd w:val="clear" w:color="auto" w:fill="auto"/>
              </w:rPr>
            </w:pPr>
            <w:r>
              <w:rPr>
                <w:rFonts w:hint="eastAsia" w:eastAsia="宋体"/>
                <w:color w:val="auto"/>
                <w:sz w:val="21"/>
                <w:szCs w:val="21"/>
                <w:highlight w:val="none"/>
                <w:shd w:val="clear" w:color="auto" w:fill="auto"/>
              </w:rPr>
              <w:t>（</w:t>
            </w:r>
            <w:r>
              <w:rPr>
                <w:rFonts w:hint="eastAsia" w:eastAsia="宋体"/>
                <w:color w:val="auto"/>
                <w:sz w:val="21"/>
                <w:szCs w:val="21"/>
                <w:highlight w:val="none"/>
                <w:shd w:val="clear" w:color="auto" w:fill="auto"/>
                <w:lang w:val="en-US" w:eastAsia="zh-CN"/>
              </w:rPr>
              <w:t>3</w:t>
            </w:r>
            <w:r>
              <w:rPr>
                <w:rFonts w:hint="eastAsia" w:eastAsia="宋体"/>
                <w:color w:val="auto"/>
                <w:sz w:val="21"/>
                <w:szCs w:val="21"/>
                <w:highlight w:val="none"/>
                <w:shd w:val="clear" w:color="auto" w:fill="auto"/>
              </w:rPr>
              <w:t>）应及时开展应急预案的编制工作。</w:t>
            </w:r>
          </w:p>
          <w:p w14:paraId="74EA161E">
            <w:pPr>
              <w:keepNext w:val="0"/>
              <w:keepLines w:val="0"/>
              <w:suppressLineNumbers w:val="0"/>
              <w:shd w:val="clear"/>
              <w:spacing w:before="0" w:beforeAutospacing="0" w:after="0" w:afterAutospacing="0" w:line="240" w:lineRule="auto"/>
              <w:ind w:left="0" w:right="0"/>
              <w:jc w:val="left"/>
              <w:rPr>
                <w:rFonts w:hint="default"/>
                <w:color w:val="auto"/>
                <w:szCs w:val="21"/>
                <w:highlight w:val="none"/>
                <w:shd w:val="clear" w:color="auto" w:fill="auto"/>
              </w:rPr>
            </w:pPr>
            <w:r>
              <w:rPr>
                <w:rFonts w:hint="default"/>
                <w:color w:val="auto"/>
                <w:kern w:val="0"/>
                <w:sz w:val="21"/>
                <w:szCs w:val="21"/>
                <w:highlight w:val="none"/>
                <w:shd w:val="clear" w:color="auto" w:fill="auto"/>
              </w:rPr>
              <w:t>（</w:t>
            </w:r>
            <w:r>
              <w:rPr>
                <w:rFonts w:hint="eastAsia"/>
                <w:color w:val="auto"/>
                <w:kern w:val="0"/>
                <w:sz w:val="21"/>
                <w:szCs w:val="21"/>
                <w:highlight w:val="none"/>
                <w:shd w:val="clear" w:color="auto" w:fill="auto"/>
                <w:lang w:val="en-US" w:eastAsia="zh-CN"/>
              </w:rPr>
              <w:t>4</w:t>
            </w:r>
            <w:r>
              <w:rPr>
                <w:rFonts w:hint="default"/>
                <w:color w:val="auto"/>
                <w:kern w:val="0"/>
                <w:sz w:val="21"/>
                <w:szCs w:val="21"/>
                <w:highlight w:val="none"/>
                <w:shd w:val="clear" w:color="auto" w:fill="auto"/>
              </w:rPr>
              <w:t>）</w:t>
            </w:r>
            <w:r>
              <w:rPr>
                <w:rFonts w:hint="default"/>
                <w:color w:val="auto"/>
                <w:sz w:val="21"/>
                <w:szCs w:val="21"/>
                <w:highlight w:val="none"/>
                <w:shd w:val="clear" w:color="auto" w:fill="auto"/>
              </w:rPr>
              <w:t>加强对操作人员的岗位培训，建立健全的环保管理机制和各项环保规章制度，落实岗位环保责任制，加强环境风险防范工作，防止事故排放导致环境问题。</w:t>
            </w:r>
          </w:p>
        </w:tc>
        <w:tc>
          <w:tcPr>
            <w:tcW w:w="2124" w:type="dxa"/>
            <w:tcBorders>
              <w:top w:val="single" w:color="auto" w:sz="2" w:space="0"/>
              <w:left w:val="single" w:color="auto" w:sz="2" w:space="0"/>
              <w:bottom w:val="single" w:color="auto" w:sz="2" w:space="0"/>
              <w:right w:val="single" w:color="auto" w:sz="2" w:space="0"/>
            </w:tcBorders>
            <w:vAlign w:val="center"/>
          </w:tcPr>
          <w:p w14:paraId="35B7625C">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ascii="Times New Roman" w:hAnsi="Times New Roman" w:eastAsia="宋体" w:cs="Times New Roman"/>
                <w:color w:val="auto"/>
                <w:sz w:val="21"/>
                <w:szCs w:val="21"/>
                <w:highlight w:val="none"/>
              </w:rPr>
              <w:t>固废处置率100%</w:t>
            </w:r>
          </w:p>
        </w:tc>
      </w:tr>
      <w:tr w14:paraId="1C1782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1" w:hRule="atLeast"/>
          <w:jc w:val="center"/>
        </w:trPr>
        <w:tc>
          <w:tcPr>
            <w:tcW w:w="1561" w:type="dxa"/>
            <w:vMerge w:val="restart"/>
            <w:tcBorders>
              <w:top w:val="single" w:color="auto" w:sz="2" w:space="0"/>
              <w:left w:val="single" w:color="auto" w:sz="2" w:space="0"/>
              <w:right w:val="single" w:color="auto" w:sz="2" w:space="0"/>
            </w:tcBorders>
            <w:vAlign w:val="center"/>
          </w:tcPr>
          <w:p w14:paraId="349C39DD">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环境监测</w:t>
            </w:r>
          </w:p>
        </w:tc>
        <w:tc>
          <w:tcPr>
            <w:tcW w:w="4874" w:type="dxa"/>
            <w:vMerge w:val="restart"/>
            <w:tcBorders>
              <w:top w:val="single" w:color="auto" w:sz="2" w:space="0"/>
              <w:left w:val="single" w:color="auto" w:sz="2" w:space="0"/>
              <w:right w:val="single" w:color="auto" w:sz="2" w:space="0"/>
            </w:tcBorders>
            <w:vAlign w:val="center"/>
          </w:tcPr>
          <w:p w14:paraId="6BB301D7">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1802" w:type="dxa"/>
            <w:vMerge w:val="restart"/>
            <w:tcBorders>
              <w:top w:val="single" w:color="auto" w:sz="2" w:space="0"/>
              <w:left w:val="single" w:color="auto" w:sz="2" w:space="0"/>
              <w:right w:val="single" w:color="auto" w:sz="2" w:space="0"/>
            </w:tcBorders>
            <w:vAlign w:val="center"/>
          </w:tcPr>
          <w:p w14:paraId="487FA5D6">
            <w:pPr>
              <w:keepNext w:val="0"/>
              <w:keepLines w:val="0"/>
              <w:suppressLineNumbers w:val="0"/>
              <w:shd w:val="clear"/>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26DE56FF">
            <w:pPr>
              <w:keepNext w:val="0"/>
              <w:keepLines w:val="0"/>
              <w:suppressLineNumbers w:val="0"/>
              <w:shd w:val="clear"/>
              <w:adjustRightInd w:val="0"/>
              <w:snapToGrid w:val="0"/>
              <w:spacing w:before="0" w:beforeAutospacing="0" w:after="0" w:afterAutospacing="0"/>
              <w:ind w:left="0" w:right="0"/>
              <w:rPr>
                <w:rFonts w:hint="eastAsia"/>
                <w:color w:val="auto"/>
                <w:szCs w:val="21"/>
                <w:highlight w:val="none"/>
                <w:shd w:val="clear" w:color="auto" w:fill="auto"/>
              </w:rPr>
            </w:pPr>
            <w:r>
              <w:rPr>
                <w:rFonts w:hint="eastAsia"/>
                <w:color w:val="auto"/>
                <w:szCs w:val="21"/>
                <w:highlight w:val="none"/>
                <w:shd w:val="clear" w:color="auto" w:fill="auto"/>
                <w:lang w:val="en-US" w:eastAsia="zh-CN"/>
              </w:rPr>
              <w:t>场区</w:t>
            </w:r>
            <w:r>
              <w:rPr>
                <w:rFonts w:hint="default"/>
                <w:color w:val="auto"/>
                <w:szCs w:val="21"/>
                <w:highlight w:val="none"/>
                <w:shd w:val="clear" w:color="auto" w:fill="auto"/>
              </w:rPr>
              <w:t>噪声：</w:t>
            </w:r>
          </w:p>
          <w:p w14:paraId="45C23413">
            <w:pPr>
              <w:keepNext w:val="0"/>
              <w:keepLines w:val="0"/>
              <w:numPr>
                <w:ilvl w:val="0"/>
                <w:numId w:val="5"/>
              </w:numPr>
              <w:suppressLineNumbers w:val="0"/>
              <w:adjustRightInd w:val="0"/>
              <w:snapToGrid w:val="0"/>
              <w:spacing w:before="0" w:beforeAutospacing="0" w:after="0" w:afterAutospacing="0"/>
              <w:ind w:left="0" w:right="0"/>
              <w:rPr>
                <w:rFonts w:hint="eastAsia"/>
                <w:color w:val="auto"/>
                <w:highlight w:val="none"/>
              </w:rPr>
            </w:pPr>
            <w:r>
              <w:rPr>
                <w:rFonts w:hint="eastAsia"/>
                <w:color w:val="auto"/>
                <w:highlight w:val="none"/>
              </w:rPr>
              <w:t>监测地点：</w:t>
            </w:r>
            <w:r>
              <w:rPr>
                <w:rFonts w:hint="eastAsia"/>
                <w:color w:val="auto"/>
                <w:highlight w:val="none"/>
                <w:lang w:val="en-US" w:eastAsia="zh-CN"/>
              </w:rPr>
              <w:t>北片区</w:t>
            </w:r>
            <w:r>
              <w:rPr>
                <w:rFonts w:hint="eastAsia"/>
                <w:color w:val="auto"/>
                <w:highlight w:val="none"/>
              </w:rPr>
              <w:t>东、南、西、北厂界外1m各设1个监测点位</w:t>
            </w:r>
            <w:r>
              <w:rPr>
                <w:rFonts w:hint="eastAsia"/>
                <w:color w:val="auto"/>
                <w:highlight w:val="none"/>
                <w:lang w:eastAsia="zh-CN"/>
              </w:rPr>
              <w:t>；</w:t>
            </w:r>
            <w:r>
              <w:rPr>
                <w:rFonts w:hint="eastAsia"/>
                <w:color w:val="auto"/>
                <w:highlight w:val="none"/>
                <w:lang w:val="en-US" w:eastAsia="zh-CN"/>
              </w:rPr>
              <w:t>西南片区</w:t>
            </w:r>
            <w:r>
              <w:rPr>
                <w:rFonts w:hint="eastAsia"/>
                <w:color w:val="auto"/>
                <w:highlight w:val="none"/>
              </w:rPr>
              <w:t>东、南、西、北厂界外1m各设1个监测点位</w:t>
            </w:r>
            <w:r>
              <w:rPr>
                <w:rFonts w:hint="eastAsia"/>
                <w:color w:val="auto"/>
                <w:highlight w:val="none"/>
                <w:lang w:eastAsia="zh-CN"/>
              </w:rPr>
              <w:t>；东</w:t>
            </w:r>
            <w:r>
              <w:rPr>
                <w:rFonts w:hint="eastAsia"/>
                <w:color w:val="auto"/>
                <w:highlight w:val="none"/>
                <w:lang w:val="en-US" w:eastAsia="zh-CN"/>
              </w:rPr>
              <w:t>南片区</w:t>
            </w:r>
            <w:r>
              <w:rPr>
                <w:rFonts w:hint="eastAsia"/>
                <w:color w:val="auto"/>
                <w:highlight w:val="none"/>
              </w:rPr>
              <w:t>东、南、西、北厂界外1m各设1个监测点位</w:t>
            </w:r>
          </w:p>
          <w:p w14:paraId="507D89C0">
            <w:pPr>
              <w:keepNext w:val="0"/>
              <w:keepLines w:val="0"/>
              <w:numPr>
                <w:ilvl w:val="0"/>
                <w:numId w:val="5"/>
              </w:numPr>
              <w:suppressLineNumbers w:val="0"/>
              <w:adjustRightInd w:val="0"/>
              <w:snapToGrid w:val="0"/>
              <w:spacing w:before="0" w:beforeAutospacing="0" w:after="0" w:afterAutospacing="0"/>
              <w:ind w:left="0" w:right="0"/>
              <w:rPr>
                <w:rFonts w:hint="default"/>
                <w:color w:val="auto"/>
                <w:highlight w:val="none"/>
              </w:rPr>
            </w:pPr>
            <w:r>
              <w:rPr>
                <w:rFonts w:hint="eastAsia"/>
                <w:color w:val="auto"/>
                <w:highlight w:val="none"/>
              </w:rPr>
              <w:t>（2）监测因子：L</w:t>
            </w:r>
            <w:r>
              <w:rPr>
                <w:rFonts w:hint="default"/>
                <w:color w:val="auto"/>
                <w:highlight w:val="none"/>
              </w:rPr>
              <w:t>eq</w:t>
            </w:r>
            <w:r>
              <w:rPr>
                <w:rFonts w:hint="eastAsia"/>
                <w:color w:val="auto"/>
                <w:highlight w:val="none"/>
              </w:rPr>
              <w:t>。</w:t>
            </w:r>
          </w:p>
          <w:p w14:paraId="39A82FE1">
            <w:pPr>
              <w:keepNext w:val="0"/>
              <w:keepLines w:val="0"/>
              <w:suppressLineNumbers w:val="0"/>
              <w:shd w:val="clear"/>
              <w:adjustRightInd w:val="0"/>
              <w:snapToGrid w:val="0"/>
              <w:spacing w:before="0" w:beforeAutospacing="0" w:after="0" w:afterAutospacing="0"/>
              <w:ind w:left="0" w:right="0"/>
              <w:rPr>
                <w:rFonts w:hint="default" w:eastAsia="宋体"/>
                <w:color w:val="auto"/>
                <w:szCs w:val="21"/>
                <w:highlight w:val="none"/>
                <w:shd w:val="clear" w:color="auto" w:fill="auto"/>
                <w:lang w:val="en-US" w:eastAsia="zh-CN"/>
              </w:rPr>
            </w:pPr>
            <w:r>
              <w:rPr>
                <w:rFonts w:hint="eastAsia"/>
                <w:color w:val="auto"/>
                <w:highlight w:val="none"/>
              </w:rPr>
              <w:t>（3）监测频率：</w:t>
            </w:r>
            <w:r>
              <w:rPr>
                <w:rFonts w:hint="default" w:ascii="Times New Roman" w:hAnsi="Times New Roman" w:cs="Times New Roman"/>
                <w:color w:val="auto"/>
                <w:kern w:val="0"/>
                <w:szCs w:val="21"/>
                <w:highlight w:val="none"/>
                <w:lang w:bidi="ar"/>
              </w:rPr>
              <w:t>环保竣工验收时监测一次</w:t>
            </w:r>
            <w:r>
              <w:rPr>
                <w:rFonts w:hint="default" w:ascii="Times New Roman" w:hAnsi="Times New Roman" w:cs="Times New Roman"/>
                <w:color w:val="auto"/>
                <w:kern w:val="0"/>
                <w:szCs w:val="21"/>
                <w:highlight w:val="none"/>
                <w:lang w:eastAsia="zh-CN" w:bidi="ar"/>
              </w:rPr>
              <w:t>；</w:t>
            </w:r>
            <w:r>
              <w:rPr>
                <w:rFonts w:hint="default" w:ascii="Times New Roman" w:hAnsi="Times New Roman" w:cs="Times New Roman"/>
                <w:color w:val="auto"/>
                <w:kern w:val="0"/>
                <w:szCs w:val="21"/>
                <w:highlight w:val="none"/>
                <w:lang w:bidi="ar"/>
              </w:rPr>
              <w:t>运营期1次/</w:t>
            </w:r>
            <w:r>
              <w:rPr>
                <w:rFonts w:hint="default" w:ascii="Times New Roman" w:hAnsi="Times New Roman" w:cs="Times New Roman"/>
                <w:color w:val="auto"/>
                <w:kern w:val="0"/>
                <w:szCs w:val="21"/>
                <w:highlight w:val="none"/>
                <w:lang w:val="en-US" w:eastAsia="zh-CN" w:bidi="ar"/>
              </w:rPr>
              <w:t>季度</w:t>
            </w:r>
          </w:p>
        </w:tc>
        <w:tc>
          <w:tcPr>
            <w:tcW w:w="2124" w:type="dxa"/>
            <w:tcBorders>
              <w:top w:val="single" w:color="auto" w:sz="2" w:space="0"/>
              <w:left w:val="single" w:color="auto" w:sz="2" w:space="0"/>
              <w:right w:val="single" w:color="auto" w:sz="2" w:space="0"/>
            </w:tcBorders>
            <w:vAlign w:val="center"/>
          </w:tcPr>
          <w:p w14:paraId="3FCDEB4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eastAsia"/>
                <w:color w:val="auto"/>
                <w:sz w:val="21"/>
                <w:szCs w:val="21"/>
                <w:highlight w:val="none"/>
                <w:shd w:val="clear" w:color="auto" w:fill="auto"/>
              </w:rPr>
              <w:t>《声环境质量标准》（GB3096-2008）</w:t>
            </w:r>
            <w:r>
              <w:rPr>
                <w:rFonts w:hint="eastAsia"/>
                <w:color w:val="auto"/>
                <w:sz w:val="21"/>
                <w:szCs w:val="21"/>
                <w:highlight w:val="none"/>
                <w:shd w:val="clear" w:color="auto" w:fill="auto"/>
                <w:lang w:val="en-US" w:eastAsia="zh-CN"/>
              </w:rPr>
              <w:t>1</w:t>
            </w:r>
            <w:r>
              <w:rPr>
                <w:rFonts w:hint="eastAsia"/>
                <w:color w:val="auto"/>
                <w:sz w:val="21"/>
                <w:szCs w:val="21"/>
                <w:highlight w:val="none"/>
                <w:shd w:val="clear" w:color="auto" w:fill="auto"/>
              </w:rPr>
              <w:t>类标准</w:t>
            </w:r>
          </w:p>
        </w:tc>
      </w:tr>
      <w:tr w14:paraId="1CC867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86" w:hRule="atLeast"/>
          <w:jc w:val="center"/>
        </w:trPr>
        <w:tc>
          <w:tcPr>
            <w:tcW w:w="1561" w:type="dxa"/>
            <w:vMerge w:val="continue"/>
            <w:tcBorders>
              <w:left w:val="single" w:color="auto" w:sz="2" w:space="0"/>
              <w:right w:val="single" w:color="auto" w:sz="2" w:space="0"/>
            </w:tcBorders>
            <w:vAlign w:val="center"/>
          </w:tcPr>
          <w:p w14:paraId="3530DE04">
            <w:pPr>
              <w:keepNext w:val="0"/>
              <w:keepLines w:val="0"/>
              <w:suppressLineNumbers w:val="0"/>
              <w:shd w:val="clear"/>
              <w:adjustRightInd w:val="0"/>
              <w:snapToGrid w:val="0"/>
              <w:spacing w:before="0" w:beforeAutospacing="0" w:after="0" w:afterAutospacing="0"/>
              <w:ind w:left="0" w:right="0"/>
              <w:rPr>
                <w:rFonts w:hint="default"/>
                <w:color w:val="auto"/>
              </w:rPr>
            </w:pPr>
          </w:p>
        </w:tc>
        <w:tc>
          <w:tcPr>
            <w:tcW w:w="4874" w:type="dxa"/>
            <w:vMerge w:val="continue"/>
            <w:tcBorders>
              <w:left w:val="single" w:color="auto" w:sz="2" w:space="0"/>
              <w:bottom w:val="single" w:color="auto" w:sz="2" w:space="0"/>
              <w:right w:val="single" w:color="auto" w:sz="2" w:space="0"/>
            </w:tcBorders>
            <w:vAlign w:val="center"/>
          </w:tcPr>
          <w:p w14:paraId="27089FC4">
            <w:pPr>
              <w:keepNext w:val="0"/>
              <w:keepLines w:val="0"/>
              <w:suppressLineNumbers w:val="0"/>
              <w:shd w:val="clear"/>
              <w:adjustRightInd w:val="0"/>
              <w:snapToGrid w:val="0"/>
              <w:spacing w:before="0" w:beforeAutospacing="0" w:after="0" w:afterAutospacing="0"/>
              <w:ind w:left="0" w:right="0"/>
              <w:rPr>
                <w:rFonts w:hint="default"/>
                <w:color w:val="auto"/>
              </w:rPr>
            </w:pPr>
          </w:p>
        </w:tc>
        <w:tc>
          <w:tcPr>
            <w:tcW w:w="1802" w:type="dxa"/>
            <w:vMerge w:val="continue"/>
            <w:tcBorders>
              <w:left w:val="single" w:color="auto" w:sz="2" w:space="0"/>
              <w:bottom w:val="single" w:color="auto" w:sz="2" w:space="0"/>
              <w:right w:val="single" w:color="auto" w:sz="2" w:space="0"/>
            </w:tcBorders>
            <w:vAlign w:val="center"/>
          </w:tcPr>
          <w:p w14:paraId="4D641B70">
            <w:pPr>
              <w:keepNext w:val="0"/>
              <w:keepLines w:val="0"/>
              <w:suppressLineNumbers w:val="0"/>
              <w:shd w:val="clear"/>
              <w:adjustRightInd w:val="0"/>
              <w:snapToGrid w:val="0"/>
              <w:spacing w:before="0" w:beforeAutospacing="0" w:after="0" w:afterAutospacing="0"/>
              <w:ind w:left="0" w:right="0"/>
              <w:rPr>
                <w:rFonts w:hint="default"/>
                <w:color w:val="auto"/>
              </w:rPr>
            </w:pPr>
          </w:p>
        </w:tc>
        <w:tc>
          <w:tcPr>
            <w:tcW w:w="3813" w:type="dxa"/>
            <w:tcBorders>
              <w:top w:val="single" w:color="auto" w:sz="2" w:space="0"/>
              <w:left w:val="single" w:color="auto" w:sz="2" w:space="0"/>
              <w:bottom w:val="single" w:color="auto" w:sz="2" w:space="0"/>
              <w:right w:val="single" w:color="auto" w:sz="2" w:space="0"/>
            </w:tcBorders>
            <w:vAlign w:val="center"/>
          </w:tcPr>
          <w:p w14:paraId="03B66B68">
            <w:pPr>
              <w:keepNext w:val="0"/>
              <w:keepLines w:val="0"/>
              <w:suppressLineNumbers w:val="0"/>
              <w:adjustRightInd w:val="0"/>
              <w:snapToGrid w:val="0"/>
              <w:spacing w:before="0" w:beforeAutospacing="0" w:after="0" w:afterAutospacing="0"/>
              <w:ind w:left="0" w:right="0"/>
              <w:rPr>
                <w:rFonts w:hint="eastAsia" w:cs="Times New Roman"/>
                <w:color w:val="auto"/>
                <w:szCs w:val="21"/>
                <w:lang w:val="en-US" w:eastAsia="zh-CN"/>
              </w:rPr>
            </w:pPr>
            <w:r>
              <w:rPr>
                <w:rFonts w:hint="eastAsia" w:cs="Times New Roman"/>
                <w:color w:val="auto"/>
                <w:szCs w:val="21"/>
                <w:lang w:val="en-US" w:eastAsia="zh-CN"/>
              </w:rPr>
              <w:t>生态调查：</w:t>
            </w:r>
          </w:p>
          <w:p w14:paraId="3D7F1D8B">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（1）监测地点：</w:t>
            </w:r>
            <w:r>
              <w:rPr>
                <w:rFonts w:hint="eastAsia" w:ascii="宋体" w:hAnsi="宋体" w:eastAsia="宋体" w:cs="宋体"/>
                <w:color w:val="auto"/>
                <w:kern w:val="0"/>
                <w:sz w:val="20"/>
                <w:szCs w:val="20"/>
                <w:lang w:val="en-US" w:eastAsia="zh-CN" w:bidi="ar"/>
              </w:rPr>
              <w:t>植物恢复区域</w:t>
            </w:r>
            <w:r>
              <w:rPr>
                <w:rFonts w:hint="eastAsia"/>
                <w:color w:val="auto"/>
              </w:rPr>
              <w:t>。</w:t>
            </w:r>
          </w:p>
          <w:p w14:paraId="02DE23D8">
            <w:pPr>
              <w:keepNext w:val="0"/>
              <w:keepLines w:val="0"/>
              <w:suppressLineNumbers w:val="0"/>
              <w:adjustRightInd w:val="0"/>
              <w:snapToGrid w:val="0"/>
              <w:spacing w:before="0" w:beforeAutospacing="0" w:after="0" w:afterAutospacing="0"/>
              <w:ind w:left="0" w:right="0"/>
              <w:rPr>
                <w:rFonts w:hint="default"/>
                <w:color w:val="auto"/>
              </w:rPr>
            </w:pPr>
            <w:r>
              <w:rPr>
                <w:rFonts w:hint="eastAsia"/>
                <w:color w:val="auto"/>
              </w:rPr>
              <w:t>（2）监测因子：</w:t>
            </w:r>
            <w:r>
              <w:rPr>
                <w:rFonts w:hint="eastAsia"/>
                <w:color w:val="auto"/>
                <w:kern w:val="2"/>
                <w:sz w:val="21"/>
                <w:szCs w:val="21"/>
                <w:lang w:val="en-US" w:eastAsia="zh-CN"/>
              </w:rPr>
              <w:t>生物群落、植被覆盖度等</w:t>
            </w:r>
            <w:r>
              <w:rPr>
                <w:rFonts w:hint="eastAsia"/>
                <w:color w:val="auto"/>
              </w:rPr>
              <w:t>。</w:t>
            </w:r>
          </w:p>
          <w:p w14:paraId="4532FEAF">
            <w:pPr>
              <w:keepNext w:val="0"/>
              <w:keepLines w:val="0"/>
              <w:suppressLineNumbers w:val="0"/>
              <w:shd w:val="clear"/>
              <w:adjustRightInd w:val="0"/>
              <w:snapToGrid w:val="0"/>
              <w:spacing w:before="0" w:beforeAutospacing="0" w:after="0" w:afterAutospacing="0"/>
              <w:ind w:left="0" w:leftChars="0" w:right="0" w:rightChars="0"/>
              <w:rPr>
                <w:rFonts w:hint="eastAsia"/>
                <w:color w:val="auto"/>
                <w:highlight w:val="none"/>
              </w:rPr>
            </w:pPr>
            <w:r>
              <w:rPr>
                <w:rFonts w:hint="eastAsia"/>
                <w:color w:val="auto"/>
              </w:rPr>
              <w:t>（3）监测频率：</w:t>
            </w:r>
            <w:r>
              <w:rPr>
                <w:rFonts w:hint="default" w:ascii="Times New Roman" w:hAnsi="Times New Roman" w:cs="Times New Roman"/>
                <w:color w:val="auto"/>
                <w:kern w:val="0"/>
                <w:szCs w:val="21"/>
                <w:lang w:bidi="ar"/>
              </w:rPr>
              <w:t>环保竣工验收时监测一次</w:t>
            </w:r>
            <w:r>
              <w:rPr>
                <w:rFonts w:hint="eastAsia" w:ascii="Times New Roman" w:hAnsi="Times New Roman" w:cs="Times New Roman"/>
                <w:color w:val="auto"/>
                <w:kern w:val="0"/>
                <w:szCs w:val="21"/>
                <w:lang w:eastAsia="zh-CN" w:bidi="ar"/>
              </w:rPr>
              <w:t>。</w:t>
            </w:r>
          </w:p>
        </w:tc>
        <w:tc>
          <w:tcPr>
            <w:tcW w:w="2124" w:type="dxa"/>
            <w:tcBorders>
              <w:left w:val="single" w:color="auto" w:sz="2" w:space="0"/>
              <w:bottom w:val="single" w:color="auto" w:sz="2" w:space="0"/>
              <w:right w:val="single" w:color="auto" w:sz="2" w:space="0"/>
            </w:tcBorders>
            <w:vAlign w:val="center"/>
          </w:tcPr>
          <w:p w14:paraId="4043CA1B">
            <w:pPr>
              <w:keepNext w:val="0"/>
              <w:keepLines w:val="0"/>
              <w:suppressLineNumbers w:val="0"/>
              <w:shd w:val="clear"/>
              <w:adjustRightInd w:val="0"/>
              <w:snapToGrid w:val="0"/>
              <w:spacing w:before="0" w:beforeAutospacing="0" w:after="0" w:afterAutospacing="0"/>
              <w:ind w:left="0" w:leftChars="0" w:right="0" w:rightChars="0"/>
              <w:rPr>
                <w:rFonts w:hint="eastAsia"/>
                <w:color w:val="auto"/>
                <w:highlight w:val="none"/>
              </w:rPr>
            </w:pPr>
            <w:r>
              <w:rPr>
                <w:rFonts w:hint="eastAsia"/>
                <w:color w:val="auto"/>
                <w:sz w:val="21"/>
                <w:szCs w:val="21"/>
                <w:highlight w:val="none"/>
                <w:shd w:val="clear" w:color="auto" w:fill="auto"/>
                <w:lang w:val="en-US" w:eastAsia="zh-CN"/>
              </w:rPr>
              <w:t>影响小</w:t>
            </w:r>
          </w:p>
        </w:tc>
      </w:tr>
      <w:tr w14:paraId="63927E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1561" w:type="dxa"/>
            <w:tcBorders>
              <w:top w:val="single" w:color="auto" w:sz="2" w:space="0"/>
              <w:left w:val="single" w:color="auto" w:sz="2" w:space="0"/>
              <w:right w:val="single" w:color="auto" w:sz="2" w:space="0"/>
            </w:tcBorders>
            <w:vAlign w:val="center"/>
          </w:tcPr>
          <w:p w14:paraId="45651F8F">
            <w:pPr>
              <w:keepNext w:val="0"/>
              <w:keepLines w:val="0"/>
              <w:suppressLineNumbers w:val="0"/>
              <w:shd w:val="clear"/>
              <w:adjustRightInd w:val="0"/>
              <w:snapToGrid w:val="0"/>
              <w:spacing w:before="0" w:beforeAutospacing="0" w:after="0" w:afterAutospacing="0"/>
              <w:ind w:left="0" w:right="0"/>
              <w:jc w:val="center"/>
              <w:rPr>
                <w:rFonts w:hint="default"/>
                <w:color w:val="auto"/>
                <w:szCs w:val="21"/>
                <w:highlight w:val="none"/>
                <w:shd w:val="clear" w:color="auto" w:fill="auto"/>
              </w:rPr>
            </w:pPr>
            <w:r>
              <w:rPr>
                <w:rFonts w:hint="default"/>
                <w:color w:val="auto"/>
                <w:szCs w:val="21"/>
                <w:highlight w:val="none"/>
                <w:shd w:val="clear" w:color="auto" w:fill="auto"/>
              </w:rPr>
              <w:t>其他</w:t>
            </w:r>
          </w:p>
        </w:tc>
        <w:tc>
          <w:tcPr>
            <w:tcW w:w="4874" w:type="dxa"/>
            <w:tcBorders>
              <w:top w:val="single" w:color="auto" w:sz="2" w:space="0"/>
              <w:left w:val="single" w:color="auto" w:sz="2" w:space="0"/>
              <w:bottom w:val="single" w:color="auto" w:sz="2" w:space="0"/>
              <w:right w:val="single" w:color="auto" w:sz="2" w:space="0"/>
            </w:tcBorders>
            <w:vAlign w:val="center"/>
          </w:tcPr>
          <w:p w14:paraId="0B055A90">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1802" w:type="dxa"/>
            <w:tcBorders>
              <w:top w:val="single" w:color="auto" w:sz="2" w:space="0"/>
              <w:left w:val="single" w:color="auto" w:sz="2" w:space="0"/>
              <w:bottom w:val="single" w:color="auto" w:sz="2" w:space="0"/>
              <w:right w:val="single" w:color="auto" w:sz="2" w:space="0"/>
            </w:tcBorders>
            <w:vAlign w:val="center"/>
          </w:tcPr>
          <w:p w14:paraId="0F185553">
            <w:pPr>
              <w:keepNext w:val="0"/>
              <w:keepLines w:val="0"/>
              <w:suppressLineNumbers w:val="0"/>
              <w:shd w:val="clear"/>
              <w:adjustRightInd w:val="0"/>
              <w:snapToGrid w:val="0"/>
              <w:spacing w:before="0" w:beforeAutospacing="0" w:after="0" w:afterAutospacing="0"/>
              <w:ind w:left="0" w:right="0"/>
              <w:rPr>
                <w:rFonts w:hint="default"/>
                <w:color w:val="auto"/>
                <w:szCs w:val="21"/>
                <w:highlight w:val="none"/>
                <w:shd w:val="clear" w:color="auto" w:fill="auto"/>
              </w:rPr>
            </w:pPr>
            <w:r>
              <w:rPr>
                <w:rFonts w:hint="default"/>
                <w:color w:val="auto"/>
                <w:szCs w:val="21"/>
                <w:highlight w:val="none"/>
                <w:shd w:val="clear" w:color="auto" w:fill="auto"/>
              </w:rPr>
              <w:t>/</w:t>
            </w:r>
          </w:p>
        </w:tc>
        <w:tc>
          <w:tcPr>
            <w:tcW w:w="3813" w:type="dxa"/>
            <w:tcBorders>
              <w:top w:val="single" w:color="auto" w:sz="2" w:space="0"/>
              <w:left w:val="single" w:color="auto" w:sz="2" w:space="0"/>
              <w:bottom w:val="single" w:color="auto" w:sz="2" w:space="0"/>
              <w:right w:val="single" w:color="auto" w:sz="2" w:space="0"/>
            </w:tcBorders>
            <w:vAlign w:val="center"/>
          </w:tcPr>
          <w:p w14:paraId="4B6C3C05">
            <w:pPr>
              <w:keepNext w:val="0"/>
              <w:keepLines w:val="0"/>
              <w:suppressLineNumbers w:val="0"/>
              <w:shd w:val="clear"/>
              <w:adjustRightInd w:val="0"/>
              <w:snapToGrid w:val="0"/>
              <w:spacing w:before="0" w:beforeAutospacing="0" w:after="0" w:afterAutospacing="0"/>
              <w:ind w:left="0" w:right="0"/>
              <w:rPr>
                <w:rFonts w:hint="eastAsia"/>
                <w:color w:val="auto"/>
                <w:highlight w:val="none"/>
              </w:rPr>
            </w:pPr>
            <w:r>
              <w:rPr>
                <w:rFonts w:hint="default"/>
                <w:color w:val="auto"/>
                <w:szCs w:val="21"/>
                <w:highlight w:val="none"/>
                <w:shd w:val="clear" w:color="auto" w:fill="auto"/>
              </w:rPr>
              <w:t>/</w:t>
            </w:r>
          </w:p>
        </w:tc>
        <w:tc>
          <w:tcPr>
            <w:tcW w:w="2124" w:type="dxa"/>
            <w:tcBorders>
              <w:top w:val="single" w:color="auto" w:sz="2" w:space="0"/>
              <w:left w:val="single" w:color="auto" w:sz="2" w:space="0"/>
              <w:bottom w:val="single" w:color="auto" w:sz="2" w:space="0"/>
              <w:right w:val="single" w:color="auto" w:sz="2" w:space="0"/>
            </w:tcBorders>
            <w:vAlign w:val="center"/>
          </w:tcPr>
          <w:p w14:paraId="7D90E03C">
            <w:pPr>
              <w:keepNext w:val="0"/>
              <w:keepLines w:val="0"/>
              <w:suppressLineNumbers w:val="0"/>
              <w:shd w:val="clear"/>
              <w:adjustRightInd w:val="0"/>
              <w:snapToGrid w:val="0"/>
              <w:spacing w:before="0" w:beforeAutospacing="0" w:after="0" w:afterAutospacing="0"/>
              <w:ind w:left="0" w:right="0"/>
              <w:rPr>
                <w:rFonts w:hint="eastAsia"/>
                <w:color w:val="auto"/>
                <w:sz w:val="21"/>
                <w:szCs w:val="21"/>
                <w:highlight w:val="none"/>
                <w:shd w:val="clear" w:color="auto" w:fill="auto"/>
              </w:rPr>
            </w:pPr>
            <w:r>
              <w:rPr>
                <w:rFonts w:hint="default"/>
                <w:color w:val="auto"/>
                <w:szCs w:val="21"/>
                <w:highlight w:val="none"/>
                <w:shd w:val="clear" w:color="auto" w:fill="auto"/>
              </w:rPr>
              <w:t>/</w:t>
            </w:r>
          </w:p>
        </w:tc>
      </w:tr>
    </w:tbl>
    <w:p w14:paraId="514CECF6">
      <w:pPr>
        <w:shd w:val="clear"/>
        <w:rPr>
          <w:snapToGrid w:val="0"/>
          <w:color w:val="auto"/>
          <w:highlight w:val="none"/>
          <w:shd w:val="clear" w:color="auto" w:fill="auto"/>
        </w:rPr>
      </w:pPr>
    </w:p>
    <w:p w14:paraId="2983E8CD">
      <w:pPr>
        <w:shd w:val="clear"/>
        <w:rPr>
          <w:b/>
          <w:bCs/>
          <w:snapToGrid w:val="0"/>
          <w:color w:val="auto"/>
          <w:sz w:val="30"/>
          <w:szCs w:val="30"/>
          <w:highlight w:val="none"/>
          <w:shd w:val="clear" w:color="auto" w:fill="auto"/>
        </w:rPr>
        <w:sectPr>
          <w:pgSz w:w="16838" w:h="11906" w:orient="landscape"/>
          <w:pgMar w:top="1800" w:right="1440" w:bottom="1800" w:left="1440" w:header="851" w:footer="1077" w:gutter="0"/>
          <w:pgNumType w:fmt="decimal"/>
          <w:cols w:space="425" w:num="1"/>
          <w:docGrid w:linePitch="312" w:charSpace="0"/>
        </w:sectPr>
      </w:pPr>
    </w:p>
    <w:p w14:paraId="75BDB30F">
      <w:pPr>
        <w:pStyle w:val="38"/>
        <w:shd w:val="clear"/>
        <w:adjustRightInd w:val="0"/>
        <w:snapToGrid w:val="0"/>
        <w:spacing w:before="0" w:beforeAutospacing="0" w:after="0" w:afterAutospacing="0" w:line="240" w:lineRule="auto"/>
        <w:outlineLvl w:val="0"/>
        <w:rPr>
          <w:b/>
          <w:bCs/>
          <w:snapToGrid w:val="0"/>
          <w:color w:val="auto"/>
          <w:sz w:val="30"/>
          <w:szCs w:val="30"/>
          <w:highlight w:val="none"/>
          <w:shd w:val="clear" w:color="auto" w:fill="auto"/>
        </w:rPr>
      </w:pPr>
      <w:bookmarkStart w:id="165" w:name="_Toc17412"/>
      <w:r>
        <w:rPr>
          <w:b/>
          <w:bCs/>
          <w:snapToGrid w:val="0"/>
          <w:color w:val="auto"/>
          <w:sz w:val="30"/>
          <w:szCs w:val="30"/>
          <w:highlight w:val="none"/>
          <w:shd w:val="clear" w:color="auto" w:fill="auto"/>
        </w:rPr>
        <w:t>七、结论</w:t>
      </w:r>
      <w:bookmarkEnd w:id="165"/>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522"/>
      </w:tblGrid>
      <w:tr w14:paraId="01E92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2852" w:hRule="atLeast"/>
          <w:jc w:val="center"/>
        </w:trPr>
        <w:tc>
          <w:tcPr>
            <w:tcW w:w="5000" w:type="pct"/>
          </w:tcPr>
          <w:p w14:paraId="6996B560">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1、评价结论</w:t>
            </w:r>
          </w:p>
          <w:p w14:paraId="23DBBE7B">
            <w:pPr>
              <w:keepNext w:val="0"/>
              <w:keepLines w:val="0"/>
              <w:suppressLineNumbers w:val="0"/>
              <w:shd w:val="clear"/>
              <w:adjustRightInd w:val="0"/>
              <w:snapToGrid w:val="0"/>
              <w:spacing w:before="0" w:beforeAutospacing="0" w:after="0" w:afterAutospacing="0" w:line="360" w:lineRule="auto"/>
              <w:ind w:left="0" w:right="0" w:firstLine="480" w:firstLineChars="200"/>
              <w:rPr>
                <w:rFonts w:hint="default"/>
                <w:color w:val="auto"/>
                <w:sz w:val="24"/>
                <w:highlight w:val="none"/>
                <w:shd w:val="clear" w:color="auto" w:fill="auto"/>
              </w:rPr>
            </w:pPr>
            <w:r>
              <w:rPr>
                <w:rFonts w:hint="default"/>
                <w:color w:val="auto"/>
                <w:sz w:val="24"/>
                <w:highlight w:val="none"/>
                <w:shd w:val="clear" w:color="auto" w:fill="auto"/>
              </w:rPr>
              <w:t>项目建设符合国家产业政策、</w:t>
            </w:r>
            <w:r>
              <w:rPr>
                <w:rFonts w:hint="eastAsia"/>
                <w:color w:val="auto"/>
                <w:sz w:val="24"/>
                <w:highlight w:val="none"/>
                <w:shd w:val="clear" w:color="auto" w:fill="auto"/>
              </w:rPr>
              <w:t>相关规划、</w:t>
            </w:r>
            <w:r>
              <w:rPr>
                <w:rFonts w:hint="default"/>
                <w:color w:val="auto"/>
                <w:sz w:val="24"/>
                <w:highlight w:val="none"/>
                <w:shd w:val="clear" w:color="auto" w:fill="auto"/>
              </w:rPr>
              <w:t>光伏用地意见、</w:t>
            </w:r>
            <w:r>
              <w:rPr>
                <w:rFonts w:hint="eastAsia"/>
                <w:color w:val="auto"/>
                <w:sz w:val="24"/>
                <w:highlight w:val="none"/>
                <w:shd w:val="clear" w:color="auto" w:fill="auto"/>
              </w:rPr>
              <w:t>三线一单控制要求</w:t>
            </w:r>
            <w:r>
              <w:rPr>
                <w:rFonts w:hint="default"/>
                <w:color w:val="auto"/>
                <w:sz w:val="24"/>
                <w:highlight w:val="none"/>
                <w:shd w:val="clear" w:color="auto" w:fill="auto"/>
              </w:rPr>
              <w:t>、环保政策要求。项目不涉及</w:t>
            </w:r>
            <w:r>
              <w:rPr>
                <w:rFonts w:hint="eastAsia"/>
                <w:color w:val="auto"/>
                <w:sz w:val="24"/>
                <w:highlight w:val="none"/>
                <w:shd w:val="clear" w:color="auto" w:fill="auto"/>
              </w:rPr>
              <w:t>自然保护区、风景名胜区、森林公园、饮用水水源保护区</w:t>
            </w:r>
            <w:r>
              <w:rPr>
                <w:rFonts w:hint="default"/>
                <w:color w:val="auto"/>
                <w:sz w:val="24"/>
                <w:highlight w:val="none"/>
                <w:shd w:val="clear" w:color="auto" w:fill="auto"/>
              </w:rPr>
              <w:t>等环境敏感区，用地为政府可供用地，无重大环境制约因素，选址合理。项目为光伏发电项目，采用的技术成熟、可靠，为清洁能源。</w:t>
            </w:r>
            <w:r>
              <w:rPr>
                <w:rFonts w:hint="eastAsia"/>
                <w:color w:val="auto"/>
                <w:sz w:val="24"/>
                <w:highlight w:val="none"/>
                <w:shd w:val="clear" w:color="auto" w:fill="auto"/>
              </w:rPr>
              <w:t>项目在施工期和运营期严格落实本环评及水土保持方案提出的各项生态保护和污染防治措施后，项目施工期和运营期产生的环境影响满足相应的环境保护要求，对项目区域生态环境、大气环境、水环境、声环境等影响较小，不会改变项目所在区域环境功能现状。综上所述，从环境保护角度分析，本项目的建设是可行的。</w:t>
            </w:r>
          </w:p>
          <w:p w14:paraId="1EB10CC8">
            <w:pPr>
              <w:keepNext w:val="0"/>
              <w:keepLines w:val="0"/>
              <w:suppressLineNumbers w:val="0"/>
              <w:shd w:val="clear"/>
              <w:adjustRightInd w:val="0"/>
              <w:snapToGrid w:val="0"/>
              <w:spacing w:before="0" w:beforeAutospacing="0" w:after="0" w:afterAutospacing="0" w:line="360" w:lineRule="auto"/>
              <w:ind w:left="0" w:right="0" w:firstLine="482" w:firstLineChars="200"/>
              <w:rPr>
                <w:rFonts w:hint="default"/>
                <w:b/>
                <w:bCs/>
                <w:color w:val="auto"/>
                <w:sz w:val="24"/>
                <w:highlight w:val="none"/>
                <w:shd w:val="clear" w:color="auto" w:fill="auto"/>
              </w:rPr>
            </w:pPr>
            <w:r>
              <w:rPr>
                <w:rFonts w:hint="default"/>
                <w:b/>
                <w:bCs/>
                <w:color w:val="auto"/>
                <w:sz w:val="24"/>
                <w:highlight w:val="none"/>
                <w:shd w:val="clear" w:color="auto" w:fill="auto"/>
              </w:rPr>
              <w:t>2、</w:t>
            </w:r>
            <w:r>
              <w:rPr>
                <w:rFonts w:hint="eastAsia"/>
                <w:b/>
                <w:bCs/>
                <w:color w:val="auto"/>
                <w:sz w:val="24"/>
                <w:highlight w:val="none"/>
                <w:shd w:val="clear" w:color="auto" w:fill="auto"/>
              </w:rPr>
              <w:t>建议及要求</w:t>
            </w:r>
          </w:p>
          <w:p w14:paraId="59162D29">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（1）</w:t>
            </w:r>
            <w:r>
              <w:rPr>
                <w:rFonts w:hint="eastAsia" w:ascii="宋体" w:hAnsi="宋体" w:cs="宋体"/>
                <w:color w:val="auto"/>
                <w:kern w:val="0"/>
                <w:sz w:val="24"/>
                <w:highlight w:val="none"/>
                <w:shd w:val="clear" w:color="auto" w:fill="auto"/>
                <w:lang w:bidi="ar"/>
              </w:rPr>
              <w:t>严格落实环保“三同时”制度，即环保设施与主体工程要同时设计、同时施工、同时投产使用。</w:t>
            </w:r>
          </w:p>
          <w:p w14:paraId="2111EEAE">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（2）</w:t>
            </w:r>
            <w:r>
              <w:rPr>
                <w:rFonts w:hint="eastAsia" w:ascii="宋体" w:hAnsi="宋体" w:cs="宋体"/>
                <w:color w:val="auto"/>
                <w:kern w:val="0"/>
                <w:sz w:val="24"/>
                <w:highlight w:val="none"/>
                <w:shd w:val="clear" w:color="auto" w:fill="auto"/>
                <w:lang w:bidi="ar"/>
              </w:rPr>
              <w:t>项目建设完成、设备调试正常后，及时开展环境保护竣工验收工作，并报至当地生态环境主管部门备案。</w:t>
            </w:r>
          </w:p>
          <w:p w14:paraId="12ECB664">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highlight w:val="none"/>
                <w:shd w:val="clear" w:color="auto" w:fill="auto"/>
              </w:rPr>
            </w:pPr>
            <w:r>
              <w:rPr>
                <w:rFonts w:hint="eastAsia"/>
                <w:color w:val="auto"/>
                <w:kern w:val="0"/>
                <w:sz w:val="24"/>
                <w:highlight w:val="none"/>
                <w:shd w:val="clear" w:color="auto" w:fill="auto"/>
                <w:lang w:bidi="ar"/>
              </w:rPr>
              <w:t>（3）</w:t>
            </w:r>
            <w:r>
              <w:rPr>
                <w:rFonts w:hint="eastAsia" w:ascii="宋体" w:hAnsi="宋体" w:cs="宋体"/>
                <w:color w:val="auto"/>
                <w:kern w:val="0"/>
                <w:sz w:val="24"/>
                <w:highlight w:val="none"/>
                <w:shd w:val="clear" w:color="auto" w:fill="auto"/>
                <w:lang w:bidi="ar"/>
              </w:rPr>
              <w:t>编制突发环境事件应急预案，并报至当地生态环境主管部门备案，并根据应急预案要求，定期开展突发环境事件演练工作，做好演练记录和总结。</w:t>
            </w:r>
          </w:p>
          <w:p w14:paraId="100374E2">
            <w:pPr>
              <w:keepNext w:val="0"/>
              <w:keepLines w:val="0"/>
              <w:widowControl/>
              <w:suppressLineNumbers w:val="0"/>
              <w:shd w:val="clear"/>
              <w:spacing w:before="0" w:beforeAutospacing="0" w:after="0" w:afterAutospacing="0" w:line="360" w:lineRule="auto"/>
              <w:ind w:left="0" w:right="0" w:firstLine="480" w:firstLineChars="200"/>
              <w:jc w:val="left"/>
              <w:rPr>
                <w:rFonts w:hint="default"/>
                <w:color w:val="auto"/>
                <w:sz w:val="24"/>
                <w:highlight w:val="none"/>
                <w:shd w:val="clear" w:color="auto" w:fill="auto"/>
              </w:rPr>
            </w:pPr>
            <w:r>
              <w:rPr>
                <w:rFonts w:hint="eastAsia"/>
                <w:color w:val="auto"/>
                <w:kern w:val="0"/>
                <w:sz w:val="24"/>
                <w:highlight w:val="none"/>
                <w:shd w:val="clear" w:color="auto" w:fill="auto"/>
                <w:lang w:bidi="ar"/>
              </w:rPr>
              <w:t>（4）</w:t>
            </w:r>
            <w:r>
              <w:rPr>
                <w:rFonts w:hint="eastAsia" w:ascii="宋体" w:hAnsi="宋体" w:cs="宋体"/>
                <w:color w:val="auto"/>
                <w:kern w:val="0"/>
                <w:sz w:val="24"/>
                <w:highlight w:val="none"/>
                <w:shd w:val="clear" w:color="auto" w:fill="auto"/>
                <w:lang w:bidi="ar"/>
              </w:rPr>
              <w:t>完善项目环境管理体系，制定环保管理制度，定期开展环境保护知识宣传、培训，提高员工环保及环境风险防范意识。</w:t>
            </w:r>
          </w:p>
        </w:tc>
      </w:tr>
    </w:tbl>
    <w:p w14:paraId="1C54BF6A">
      <w:pPr>
        <w:widowControl/>
        <w:shd w:val="clear"/>
        <w:adjustRightInd w:val="0"/>
        <w:snapToGrid w:val="0"/>
        <w:spacing w:before="192" w:beforeLines="80"/>
        <w:jc w:val="left"/>
        <w:rPr>
          <w:color w:val="auto"/>
          <w:highlight w:val="none"/>
          <w:shd w:val="clear" w:color="auto" w:fill="auto"/>
        </w:rPr>
      </w:pPr>
    </w:p>
    <w:sectPr>
      <w:pgSz w:w="11906" w:h="16838"/>
      <w:pgMar w:top="1440" w:right="1800" w:bottom="1440" w:left="1800" w:header="851" w:footer="1077"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swiss"/>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decorative"/>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decorative"/>
    <w:pitch w:val="default"/>
    <w:sig w:usb0="00000000" w:usb1="00000000" w:usb2="0000003F" w:usb3="00000000" w:csb0="603F01FF" w:csb1="FFFF0000"/>
  </w:font>
  <w:font w:name="楷体_GB2312">
    <w:altName w:val="楷体"/>
    <w:panose1 w:val="02010609030101010101"/>
    <w:charset w:val="86"/>
    <w:family w:val="swiss"/>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swiss"/>
    <w:pitch w:val="default"/>
    <w:sig w:usb0="0000028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瀹嬩綋">
    <w:altName w:val="AMGDT"/>
    <w:panose1 w:val="00000000000000000000"/>
    <w:charset w:val="00"/>
    <w:family w:val="auto"/>
    <w:pitch w:val="default"/>
    <w:sig w:usb0="00000000" w:usb1="00000000" w:usb2="00000000" w:usb3="00000000" w:csb0="00000000" w:csb1="00000000"/>
  </w:font>
  <w:font w:name="鏂板畫浣?">
    <w:altName w:val="AMGD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40001"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35E92">
    <w:pPr>
      <w:pStyle w:val="3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3D2F0">
                          <w:pPr>
                            <w:pStyle w:val="3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BD3D2F0">
                    <w:pPr>
                      <w:pStyle w:val="3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FE4EF">
    <w:pPr>
      <w:pStyle w:val="3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6CF12">
                          <w:pPr>
                            <w:pStyle w:val="3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756CF12">
                    <w:pPr>
                      <w:pStyle w:val="34"/>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EE66">
    <w:pPr>
      <w:pStyle w:val="3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83DCE">
                          <w:pPr>
                            <w:pStyle w:val="34"/>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AF83DCE">
                    <w:pPr>
                      <w:pStyle w:val="34"/>
                    </w:pPr>
                    <w:r>
                      <w:fldChar w:fldCharType="begin"/>
                    </w:r>
                    <w:r>
                      <w:instrText xml:space="preserve"> PAGE  \* MERGEFORMAT </w:instrText>
                    </w:r>
                    <w:r>
                      <w:fldChar w:fldCharType="separate"/>
                    </w:r>
                    <w:r>
                      <w:t>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6035">
    <w:pPr>
      <w:pStyle w:val="3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BE24">
                          <w:pPr>
                            <w:pStyle w:val="34"/>
                          </w:pPr>
                          <w:r>
                            <w:fldChar w:fldCharType="begin"/>
                          </w:r>
                          <w:r>
                            <w:instrText xml:space="preserve"> PAGE  \* MERGEFORMAT </w:instrText>
                          </w:r>
                          <w:r>
                            <w:fldChar w:fldCharType="separate"/>
                          </w:r>
                          <w:r>
                            <w:t>XXVI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11BE24">
                    <w:pPr>
                      <w:pStyle w:val="34"/>
                    </w:pPr>
                    <w:r>
                      <w:fldChar w:fldCharType="begin"/>
                    </w:r>
                    <w:r>
                      <w:instrText xml:space="preserve"> PAGE  \* MERGEFORMAT </w:instrText>
                    </w:r>
                    <w:r>
                      <w:fldChar w:fldCharType="separate"/>
                    </w:r>
                    <w:r>
                      <w:t>XXVI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C96C">
    <w:pPr>
      <w:pStyle w:val="2"/>
      <w:pBdr>
        <w:bottom w:val="none" w:color="auto" w:sz="0" w:space="1"/>
      </w:pBdr>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0D5F4"/>
    <w:multiLevelType w:val="singleLevel"/>
    <w:tmpl w:val="AB70D5F4"/>
    <w:lvl w:ilvl="0" w:tentative="0">
      <w:start w:val="1"/>
      <w:numFmt w:val="decimal"/>
      <w:suff w:val="nothing"/>
      <w:lvlText w:val="%1、"/>
      <w:lvlJc w:val="left"/>
    </w:lvl>
  </w:abstractNum>
  <w:abstractNum w:abstractNumId="1">
    <w:nsid w:val="DBD6C2D1"/>
    <w:multiLevelType w:val="singleLevel"/>
    <w:tmpl w:val="DBD6C2D1"/>
    <w:lvl w:ilvl="0" w:tentative="0">
      <w:start w:val="7"/>
      <w:numFmt w:val="decimal"/>
      <w:suff w:val="nothing"/>
      <w:lvlText w:val="（%1）"/>
      <w:lvlJc w:val="left"/>
    </w:lvl>
  </w:abstractNum>
  <w:abstractNum w:abstractNumId="2">
    <w:nsid w:val="0A908C1B"/>
    <w:multiLevelType w:val="singleLevel"/>
    <w:tmpl w:val="0A908C1B"/>
    <w:lvl w:ilvl="0" w:tentative="0">
      <w:start w:val="1"/>
      <w:numFmt w:val="decimal"/>
      <w:suff w:val="nothing"/>
      <w:lvlText w:val="（%1）"/>
      <w:lvlJc w:val="left"/>
    </w:lvl>
  </w:abstractNum>
  <w:abstractNum w:abstractNumId="3">
    <w:nsid w:val="5DBB10E8"/>
    <w:multiLevelType w:val="multilevel"/>
    <w:tmpl w:val="5DBB10E8"/>
    <w:lvl w:ilvl="0" w:tentative="0">
      <w:start w:val="1"/>
      <w:numFmt w:val="decimalEnclosedCircle"/>
      <w:pStyle w:val="109"/>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08A0644"/>
    <w:multiLevelType w:val="singleLevel"/>
    <w:tmpl w:val="608A0644"/>
    <w:lvl w:ilvl="0" w:tentative="0">
      <w:start w:val="1"/>
      <w:numFmt w:val="bullet"/>
      <w:pStyle w:val="18"/>
      <w:lvlText w:val=""/>
      <w:lvlJc w:val="left"/>
      <w:pPr>
        <w:tabs>
          <w:tab w:val="left" w:pos="780"/>
        </w:tabs>
        <w:ind w:left="780" w:hanging="360"/>
      </w:pPr>
      <w:rPr>
        <w:rFonts w:hint="default" w:ascii="Wingdings" w:hAnsi="Wingdings"/>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0A72"/>
    <w:rsid w:val="00001149"/>
    <w:rsid w:val="00001B68"/>
    <w:rsid w:val="00001C34"/>
    <w:rsid w:val="00001CED"/>
    <w:rsid w:val="00001E67"/>
    <w:rsid w:val="000022AE"/>
    <w:rsid w:val="00002326"/>
    <w:rsid w:val="00002D5F"/>
    <w:rsid w:val="000030B4"/>
    <w:rsid w:val="0000351F"/>
    <w:rsid w:val="0000368A"/>
    <w:rsid w:val="00003A9F"/>
    <w:rsid w:val="00003CD8"/>
    <w:rsid w:val="0000429E"/>
    <w:rsid w:val="00004B65"/>
    <w:rsid w:val="000053BA"/>
    <w:rsid w:val="000073CD"/>
    <w:rsid w:val="00007402"/>
    <w:rsid w:val="00007D6D"/>
    <w:rsid w:val="00007DB6"/>
    <w:rsid w:val="00011B51"/>
    <w:rsid w:val="00011C86"/>
    <w:rsid w:val="00012853"/>
    <w:rsid w:val="00012A30"/>
    <w:rsid w:val="000130CE"/>
    <w:rsid w:val="00013DF0"/>
    <w:rsid w:val="00013F11"/>
    <w:rsid w:val="000143A5"/>
    <w:rsid w:val="0001462B"/>
    <w:rsid w:val="000147E1"/>
    <w:rsid w:val="00014965"/>
    <w:rsid w:val="00014D96"/>
    <w:rsid w:val="0001523A"/>
    <w:rsid w:val="00015325"/>
    <w:rsid w:val="00015ECA"/>
    <w:rsid w:val="00016ECB"/>
    <w:rsid w:val="00020A4A"/>
    <w:rsid w:val="00020C21"/>
    <w:rsid w:val="00021F7D"/>
    <w:rsid w:val="000223BE"/>
    <w:rsid w:val="00022BCA"/>
    <w:rsid w:val="00023646"/>
    <w:rsid w:val="00023AED"/>
    <w:rsid w:val="000242FA"/>
    <w:rsid w:val="000243F2"/>
    <w:rsid w:val="0002447D"/>
    <w:rsid w:val="00024975"/>
    <w:rsid w:val="00025980"/>
    <w:rsid w:val="000269F6"/>
    <w:rsid w:val="00030295"/>
    <w:rsid w:val="00030472"/>
    <w:rsid w:val="00030DCA"/>
    <w:rsid w:val="00031939"/>
    <w:rsid w:val="00032D25"/>
    <w:rsid w:val="00032FDE"/>
    <w:rsid w:val="000333AE"/>
    <w:rsid w:val="00033739"/>
    <w:rsid w:val="00033E83"/>
    <w:rsid w:val="00033FA5"/>
    <w:rsid w:val="000341C4"/>
    <w:rsid w:val="000349DF"/>
    <w:rsid w:val="000349F1"/>
    <w:rsid w:val="00034DF2"/>
    <w:rsid w:val="000354A1"/>
    <w:rsid w:val="00036BAA"/>
    <w:rsid w:val="00037247"/>
    <w:rsid w:val="00037858"/>
    <w:rsid w:val="00037C0E"/>
    <w:rsid w:val="00037DE8"/>
    <w:rsid w:val="000402E9"/>
    <w:rsid w:val="00040432"/>
    <w:rsid w:val="0004136E"/>
    <w:rsid w:val="0004168F"/>
    <w:rsid w:val="00041C3B"/>
    <w:rsid w:val="000431E0"/>
    <w:rsid w:val="00043520"/>
    <w:rsid w:val="00043F9B"/>
    <w:rsid w:val="000444B8"/>
    <w:rsid w:val="00044B45"/>
    <w:rsid w:val="00044F41"/>
    <w:rsid w:val="000450A0"/>
    <w:rsid w:val="00045AFF"/>
    <w:rsid w:val="00046B7B"/>
    <w:rsid w:val="00050ACF"/>
    <w:rsid w:val="00050DF4"/>
    <w:rsid w:val="0005186B"/>
    <w:rsid w:val="0005219D"/>
    <w:rsid w:val="00053026"/>
    <w:rsid w:val="000532E9"/>
    <w:rsid w:val="00053BDF"/>
    <w:rsid w:val="00054DAB"/>
    <w:rsid w:val="00055365"/>
    <w:rsid w:val="0005568F"/>
    <w:rsid w:val="0005575A"/>
    <w:rsid w:val="00055E1B"/>
    <w:rsid w:val="0005650A"/>
    <w:rsid w:val="00060132"/>
    <w:rsid w:val="0006153D"/>
    <w:rsid w:val="00061B1F"/>
    <w:rsid w:val="00061C91"/>
    <w:rsid w:val="00062B3A"/>
    <w:rsid w:val="00063BBB"/>
    <w:rsid w:val="00064FF3"/>
    <w:rsid w:val="000654CE"/>
    <w:rsid w:val="00065AD8"/>
    <w:rsid w:val="00065FAF"/>
    <w:rsid w:val="000664DB"/>
    <w:rsid w:val="00066743"/>
    <w:rsid w:val="00066AD9"/>
    <w:rsid w:val="000673B9"/>
    <w:rsid w:val="000703EE"/>
    <w:rsid w:val="00070A94"/>
    <w:rsid w:val="0007127D"/>
    <w:rsid w:val="000719B5"/>
    <w:rsid w:val="00071AA4"/>
    <w:rsid w:val="00071AE5"/>
    <w:rsid w:val="00071D2B"/>
    <w:rsid w:val="00071D31"/>
    <w:rsid w:val="00071EAD"/>
    <w:rsid w:val="00072B93"/>
    <w:rsid w:val="00072DC3"/>
    <w:rsid w:val="0007366C"/>
    <w:rsid w:val="00074783"/>
    <w:rsid w:val="00074B5E"/>
    <w:rsid w:val="00074CD4"/>
    <w:rsid w:val="00075999"/>
    <w:rsid w:val="00075F0E"/>
    <w:rsid w:val="00077B11"/>
    <w:rsid w:val="00077D7E"/>
    <w:rsid w:val="000801E0"/>
    <w:rsid w:val="000806C4"/>
    <w:rsid w:val="000807C8"/>
    <w:rsid w:val="00080CDA"/>
    <w:rsid w:val="00080DBD"/>
    <w:rsid w:val="00081456"/>
    <w:rsid w:val="00081A17"/>
    <w:rsid w:val="000824F0"/>
    <w:rsid w:val="00082A29"/>
    <w:rsid w:val="0008331D"/>
    <w:rsid w:val="00083A0E"/>
    <w:rsid w:val="00083C18"/>
    <w:rsid w:val="00083CA3"/>
    <w:rsid w:val="0008427E"/>
    <w:rsid w:val="00086033"/>
    <w:rsid w:val="00086EAF"/>
    <w:rsid w:val="000905D8"/>
    <w:rsid w:val="00090C9A"/>
    <w:rsid w:val="00091F08"/>
    <w:rsid w:val="000922CD"/>
    <w:rsid w:val="00092899"/>
    <w:rsid w:val="00092D25"/>
    <w:rsid w:val="000936F6"/>
    <w:rsid w:val="00094BB9"/>
    <w:rsid w:val="0009739F"/>
    <w:rsid w:val="000A08AF"/>
    <w:rsid w:val="000A10E2"/>
    <w:rsid w:val="000A14B5"/>
    <w:rsid w:val="000A178E"/>
    <w:rsid w:val="000A1A47"/>
    <w:rsid w:val="000A1E61"/>
    <w:rsid w:val="000A23CC"/>
    <w:rsid w:val="000A2A87"/>
    <w:rsid w:val="000A308D"/>
    <w:rsid w:val="000A35E4"/>
    <w:rsid w:val="000A3C02"/>
    <w:rsid w:val="000A3CA2"/>
    <w:rsid w:val="000A3D99"/>
    <w:rsid w:val="000A46CA"/>
    <w:rsid w:val="000A557E"/>
    <w:rsid w:val="000A5FDD"/>
    <w:rsid w:val="000A6D53"/>
    <w:rsid w:val="000A722D"/>
    <w:rsid w:val="000A7C79"/>
    <w:rsid w:val="000B0048"/>
    <w:rsid w:val="000B0582"/>
    <w:rsid w:val="000B058F"/>
    <w:rsid w:val="000B0B94"/>
    <w:rsid w:val="000B16C7"/>
    <w:rsid w:val="000B17B8"/>
    <w:rsid w:val="000B1C29"/>
    <w:rsid w:val="000B1FB8"/>
    <w:rsid w:val="000B2EA8"/>
    <w:rsid w:val="000B3037"/>
    <w:rsid w:val="000B4524"/>
    <w:rsid w:val="000B4AD2"/>
    <w:rsid w:val="000B534A"/>
    <w:rsid w:val="000B5FF2"/>
    <w:rsid w:val="000B693F"/>
    <w:rsid w:val="000B6964"/>
    <w:rsid w:val="000B7A69"/>
    <w:rsid w:val="000C06CE"/>
    <w:rsid w:val="000C09AC"/>
    <w:rsid w:val="000C0A63"/>
    <w:rsid w:val="000C192B"/>
    <w:rsid w:val="000C218B"/>
    <w:rsid w:val="000C2A2B"/>
    <w:rsid w:val="000C3C1B"/>
    <w:rsid w:val="000C3F7A"/>
    <w:rsid w:val="000C437E"/>
    <w:rsid w:val="000C43F3"/>
    <w:rsid w:val="000C43FD"/>
    <w:rsid w:val="000C55EA"/>
    <w:rsid w:val="000C5642"/>
    <w:rsid w:val="000C5C55"/>
    <w:rsid w:val="000C61A9"/>
    <w:rsid w:val="000C7F7D"/>
    <w:rsid w:val="000D018F"/>
    <w:rsid w:val="000D04D6"/>
    <w:rsid w:val="000D0FD3"/>
    <w:rsid w:val="000D21B5"/>
    <w:rsid w:val="000D24F2"/>
    <w:rsid w:val="000D26D1"/>
    <w:rsid w:val="000D4FAF"/>
    <w:rsid w:val="000D4FF8"/>
    <w:rsid w:val="000D538F"/>
    <w:rsid w:val="000D567E"/>
    <w:rsid w:val="000D5AE2"/>
    <w:rsid w:val="000D5B5E"/>
    <w:rsid w:val="000D5B79"/>
    <w:rsid w:val="000D5BB0"/>
    <w:rsid w:val="000D60B5"/>
    <w:rsid w:val="000D6872"/>
    <w:rsid w:val="000E026D"/>
    <w:rsid w:val="000E09AF"/>
    <w:rsid w:val="000E0B13"/>
    <w:rsid w:val="000E10C8"/>
    <w:rsid w:val="000E17B7"/>
    <w:rsid w:val="000E1B42"/>
    <w:rsid w:val="000E1E38"/>
    <w:rsid w:val="000E1EFA"/>
    <w:rsid w:val="000E2406"/>
    <w:rsid w:val="000E39B2"/>
    <w:rsid w:val="000E4635"/>
    <w:rsid w:val="000E4F8B"/>
    <w:rsid w:val="000E5121"/>
    <w:rsid w:val="000E5381"/>
    <w:rsid w:val="000E5668"/>
    <w:rsid w:val="000E5954"/>
    <w:rsid w:val="000E5C0F"/>
    <w:rsid w:val="000E5CF7"/>
    <w:rsid w:val="000E5E6B"/>
    <w:rsid w:val="000E5F16"/>
    <w:rsid w:val="000E6691"/>
    <w:rsid w:val="000E6B56"/>
    <w:rsid w:val="000E6C58"/>
    <w:rsid w:val="000E70C7"/>
    <w:rsid w:val="000E7773"/>
    <w:rsid w:val="000E7776"/>
    <w:rsid w:val="000E7F11"/>
    <w:rsid w:val="000F0235"/>
    <w:rsid w:val="000F086F"/>
    <w:rsid w:val="000F0A6A"/>
    <w:rsid w:val="000F124B"/>
    <w:rsid w:val="000F1E22"/>
    <w:rsid w:val="000F2751"/>
    <w:rsid w:val="000F2DAC"/>
    <w:rsid w:val="000F4452"/>
    <w:rsid w:val="000F4F67"/>
    <w:rsid w:val="000F5671"/>
    <w:rsid w:val="000F58BB"/>
    <w:rsid w:val="000F5A1A"/>
    <w:rsid w:val="000F5B60"/>
    <w:rsid w:val="000F5CBF"/>
    <w:rsid w:val="000F67AE"/>
    <w:rsid w:val="000F6AA6"/>
    <w:rsid w:val="000F6CFD"/>
    <w:rsid w:val="000F6DA1"/>
    <w:rsid w:val="000F6F1B"/>
    <w:rsid w:val="000F6F68"/>
    <w:rsid w:val="000F701B"/>
    <w:rsid w:val="000F77FD"/>
    <w:rsid w:val="000F78A9"/>
    <w:rsid w:val="000F78EA"/>
    <w:rsid w:val="000F7B49"/>
    <w:rsid w:val="000F7FB1"/>
    <w:rsid w:val="00100268"/>
    <w:rsid w:val="0010066A"/>
    <w:rsid w:val="001017BD"/>
    <w:rsid w:val="001018B8"/>
    <w:rsid w:val="00101E1F"/>
    <w:rsid w:val="0010210B"/>
    <w:rsid w:val="0010285F"/>
    <w:rsid w:val="0010400E"/>
    <w:rsid w:val="00105336"/>
    <w:rsid w:val="001056A0"/>
    <w:rsid w:val="00105E89"/>
    <w:rsid w:val="00106865"/>
    <w:rsid w:val="0010721A"/>
    <w:rsid w:val="001078AC"/>
    <w:rsid w:val="00107B92"/>
    <w:rsid w:val="00110F4E"/>
    <w:rsid w:val="00110FE3"/>
    <w:rsid w:val="0011102A"/>
    <w:rsid w:val="0011221A"/>
    <w:rsid w:val="00112F90"/>
    <w:rsid w:val="0011381A"/>
    <w:rsid w:val="0011420D"/>
    <w:rsid w:val="0011458F"/>
    <w:rsid w:val="00114A83"/>
    <w:rsid w:val="00115251"/>
    <w:rsid w:val="00115279"/>
    <w:rsid w:val="00115E02"/>
    <w:rsid w:val="00116994"/>
    <w:rsid w:val="00117459"/>
    <w:rsid w:val="0011749A"/>
    <w:rsid w:val="001203D9"/>
    <w:rsid w:val="00120FEC"/>
    <w:rsid w:val="00121CD6"/>
    <w:rsid w:val="00122A8F"/>
    <w:rsid w:val="00122CDE"/>
    <w:rsid w:val="00123C94"/>
    <w:rsid w:val="00123EBA"/>
    <w:rsid w:val="001241D9"/>
    <w:rsid w:val="00124C90"/>
    <w:rsid w:val="00124DC9"/>
    <w:rsid w:val="00127A68"/>
    <w:rsid w:val="0013221B"/>
    <w:rsid w:val="00132223"/>
    <w:rsid w:val="00132F47"/>
    <w:rsid w:val="0013520F"/>
    <w:rsid w:val="00136A22"/>
    <w:rsid w:val="00136D0D"/>
    <w:rsid w:val="00137361"/>
    <w:rsid w:val="001379A4"/>
    <w:rsid w:val="00140B13"/>
    <w:rsid w:val="00141B68"/>
    <w:rsid w:val="00142ACE"/>
    <w:rsid w:val="001438C2"/>
    <w:rsid w:val="00143A3E"/>
    <w:rsid w:val="00143B80"/>
    <w:rsid w:val="00143FB1"/>
    <w:rsid w:val="001442D9"/>
    <w:rsid w:val="001445CA"/>
    <w:rsid w:val="00145E2D"/>
    <w:rsid w:val="001466DA"/>
    <w:rsid w:val="00147B2F"/>
    <w:rsid w:val="00147CE4"/>
    <w:rsid w:val="00147D2C"/>
    <w:rsid w:val="00151BDC"/>
    <w:rsid w:val="0015268F"/>
    <w:rsid w:val="00152CA8"/>
    <w:rsid w:val="001532B1"/>
    <w:rsid w:val="00153D5D"/>
    <w:rsid w:val="00154795"/>
    <w:rsid w:val="00154DE1"/>
    <w:rsid w:val="00155987"/>
    <w:rsid w:val="00155B40"/>
    <w:rsid w:val="00156A50"/>
    <w:rsid w:val="00156D03"/>
    <w:rsid w:val="001573D0"/>
    <w:rsid w:val="00157435"/>
    <w:rsid w:val="00157516"/>
    <w:rsid w:val="00157944"/>
    <w:rsid w:val="00160116"/>
    <w:rsid w:val="00160D24"/>
    <w:rsid w:val="00160E05"/>
    <w:rsid w:val="00161129"/>
    <w:rsid w:val="00162D4A"/>
    <w:rsid w:val="00163644"/>
    <w:rsid w:val="00163A27"/>
    <w:rsid w:val="00163EEA"/>
    <w:rsid w:val="001647BB"/>
    <w:rsid w:val="001647FA"/>
    <w:rsid w:val="00164F27"/>
    <w:rsid w:val="001656AA"/>
    <w:rsid w:val="001656FE"/>
    <w:rsid w:val="00165A4D"/>
    <w:rsid w:val="00166095"/>
    <w:rsid w:val="0016633D"/>
    <w:rsid w:val="001674BB"/>
    <w:rsid w:val="00167A07"/>
    <w:rsid w:val="00167F53"/>
    <w:rsid w:val="00167FCC"/>
    <w:rsid w:val="0017046A"/>
    <w:rsid w:val="001704A3"/>
    <w:rsid w:val="001708E4"/>
    <w:rsid w:val="0017130D"/>
    <w:rsid w:val="00172A27"/>
    <w:rsid w:val="00172A37"/>
    <w:rsid w:val="00174088"/>
    <w:rsid w:val="001740CF"/>
    <w:rsid w:val="001741F1"/>
    <w:rsid w:val="0017504D"/>
    <w:rsid w:val="00175E7E"/>
    <w:rsid w:val="00177422"/>
    <w:rsid w:val="00180980"/>
    <w:rsid w:val="0018108C"/>
    <w:rsid w:val="00181162"/>
    <w:rsid w:val="0018224A"/>
    <w:rsid w:val="00182713"/>
    <w:rsid w:val="00182C66"/>
    <w:rsid w:val="00182DF9"/>
    <w:rsid w:val="00183599"/>
    <w:rsid w:val="0018382B"/>
    <w:rsid w:val="0018383C"/>
    <w:rsid w:val="00184104"/>
    <w:rsid w:val="00184F10"/>
    <w:rsid w:val="00185047"/>
    <w:rsid w:val="00185546"/>
    <w:rsid w:val="00185E4A"/>
    <w:rsid w:val="00185E65"/>
    <w:rsid w:val="00186200"/>
    <w:rsid w:val="00186582"/>
    <w:rsid w:val="00186968"/>
    <w:rsid w:val="00187783"/>
    <w:rsid w:val="00187FD2"/>
    <w:rsid w:val="00190D55"/>
    <w:rsid w:val="0019146B"/>
    <w:rsid w:val="001924E8"/>
    <w:rsid w:val="00192EDE"/>
    <w:rsid w:val="00193950"/>
    <w:rsid w:val="00194398"/>
    <w:rsid w:val="001946C1"/>
    <w:rsid w:val="00196907"/>
    <w:rsid w:val="00196BB5"/>
    <w:rsid w:val="001979B4"/>
    <w:rsid w:val="001A04EB"/>
    <w:rsid w:val="001A091D"/>
    <w:rsid w:val="001A1B3D"/>
    <w:rsid w:val="001A2CC8"/>
    <w:rsid w:val="001A3E35"/>
    <w:rsid w:val="001A4F9B"/>
    <w:rsid w:val="001A57E3"/>
    <w:rsid w:val="001A5B18"/>
    <w:rsid w:val="001A64EA"/>
    <w:rsid w:val="001A689A"/>
    <w:rsid w:val="001A72EC"/>
    <w:rsid w:val="001A7D2A"/>
    <w:rsid w:val="001A7E96"/>
    <w:rsid w:val="001B08C5"/>
    <w:rsid w:val="001B1E3D"/>
    <w:rsid w:val="001B1EDC"/>
    <w:rsid w:val="001B2549"/>
    <w:rsid w:val="001B2B43"/>
    <w:rsid w:val="001B35BC"/>
    <w:rsid w:val="001B3756"/>
    <w:rsid w:val="001B3FD0"/>
    <w:rsid w:val="001B4A92"/>
    <w:rsid w:val="001B4CDF"/>
    <w:rsid w:val="001B4DD4"/>
    <w:rsid w:val="001B521F"/>
    <w:rsid w:val="001B5483"/>
    <w:rsid w:val="001B574C"/>
    <w:rsid w:val="001B6472"/>
    <w:rsid w:val="001B6497"/>
    <w:rsid w:val="001B67E0"/>
    <w:rsid w:val="001B6C13"/>
    <w:rsid w:val="001C037F"/>
    <w:rsid w:val="001C038B"/>
    <w:rsid w:val="001C0801"/>
    <w:rsid w:val="001C0AF9"/>
    <w:rsid w:val="001C155A"/>
    <w:rsid w:val="001C18CD"/>
    <w:rsid w:val="001C2D54"/>
    <w:rsid w:val="001C389D"/>
    <w:rsid w:val="001C3F6C"/>
    <w:rsid w:val="001C41BE"/>
    <w:rsid w:val="001C41F4"/>
    <w:rsid w:val="001C4762"/>
    <w:rsid w:val="001C48C0"/>
    <w:rsid w:val="001C6A21"/>
    <w:rsid w:val="001C6A4A"/>
    <w:rsid w:val="001C746C"/>
    <w:rsid w:val="001C7BD6"/>
    <w:rsid w:val="001C7E36"/>
    <w:rsid w:val="001C7EE3"/>
    <w:rsid w:val="001D0EB2"/>
    <w:rsid w:val="001D23AE"/>
    <w:rsid w:val="001D24F5"/>
    <w:rsid w:val="001D27DA"/>
    <w:rsid w:val="001D3982"/>
    <w:rsid w:val="001D4429"/>
    <w:rsid w:val="001D51FF"/>
    <w:rsid w:val="001D5E08"/>
    <w:rsid w:val="001D5E5B"/>
    <w:rsid w:val="001D6726"/>
    <w:rsid w:val="001D6CB4"/>
    <w:rsid w:val="001D6E34"/>
    <w:rsid w:val="001D77B8"/>
    <w:rsid w:val="001D7889"/>
    <w:rsid w:val="001D7DC0"/>
    <w:rsid w:val="001E003E"/>
    <w:rsid w:val="001E0B77"/>
    <w:rsid w:val="001E12DA"/>
    <w:rsid w:val="001E1AE2"/>
    <w:rsid w:val="001E2448"/>
    <w:rsid w:val="001E2B6B"/>
    <w:rsid w:val="001E2D24"/>
    <w:rsid w:val="001E3B5B"/>
    <w:rsid w:val="001E4470"/>
    <w:rsid w:val="001E4837"/>
    <w:rsid w:val="001E4872"/>
    <w:rsid w:val="001E6A10"/>
    <w:rsid w:val="001E7BC2"/>
    <w:rsid w:val="001F07A8"/>
    <w:rsid w:val="001F0F7C"/>
    <w:rsid w:val="001F1EB0"/>
    <w:rsid w:val="001F2DA5"/>
    <w:rsid w:val="001F3347"/>
    <w:rsid w:val="001F3395"/>
    <w:rsid w:val="001F398E"/>
    <w:rsid w:val="001F3E7B"/>
    <w:rsid w:val="001F4440"/>
    <w:rsid w:val="001F69E4"/>
    <w:rsid w:val="001F6B03"/>
    <w:rsid w:val="001F6D2C"/>
    <w:rsid w:val="001F6D35"/>
    <w:rsid w:val="002001F3"/>
    <w:rsid w:val="00200381"/>
    <w:rsid w:val="002008B8"/>
    <w:rsid w:val="002012CC"/>
    <w:rsid w:val="00201378"/>
    <w:rsid w:val="00201581"/>
    <w:rsid w:val="00201E0E"/>
    <w:rsid w:val="00202939"/>
    <w:rsid w:val="00202A54"/>
    <w:rsid w:val="00202E28"/>
    <w:rsid w:val="002030D9"/>
    <w:rsid w:val="00203D80"/>
    <w:rsid w:val="00205177"/>
    <w:rsid w:val="002056CA"/>
    <w:rsid w:val="00205A0A"/>
    <w:rsid w:val="002063DD"/>
    <w:rsid w:val="00206A65"/>
    <w:rsid w:val="00206EBB"/>
    <w:rsid w:val="00207989"/>
    <w:rsid w:val="00207EDD"/>
    <w:rsid w:val="00210D55"/>
    <w:rsid w:val="00210E48"/>
    <w:rsid w:val="00212D31"/>
    <w:rsid w:val="00212FC1"/>
    <w:rsid w:val="00212FC8"/>
    <w:rsid w:val="002130C7"/>
    <w:rsid w:val="002132A6"/>
    <w:rsid w:val="00213AB2"/>
    <w:rsid w:val="002146ED"/>
    <w:rsid w:val="002161CC"/>
    <w:rsid w:val="002168E9"/>
    <w:rsid w:val="00216BBA"/>
    <w:rsid w:val="00217227"/>
    <w:rsid w:val="00217807"/>
    <w:rsid w:val="00217ECF"/>
    <w:rsid w:val="00220145"/>
    <w:rsid w:val="00220467"/>
    <w:rsid w:val="002204CD"/>
    <w:rsid w:val="00221720"/>
    <w:rsid w:val="002218A8"/>
    <w:rsid w:val="0022306D"/>
    <w:rsid w:val="0022383D"/>
    <w:rsid w:val="00223FA9"/>
    <w:rsid w:val="00225B71"/>
    <w:rsid w:val="00226073"/>
    <w:rsid w:val="00226219"/>
    <w:rsid w:val="00226574"/>
    <w:rsid w:val="00227411"/>
    <w:rsid w:val="002275AF"/>
    <w:rsid w:val="002277C0"/>
    <w:rsid w:val="002278EC"/>
    <w:rsid w:val="00227DEA"/>
    <w:rsid w:val="002310B6"/>
    <w:rsid w:val="002314AB"/>
    <w:rsid w:val="00231ACE"/>
    <w:rsid w:val="00231E71"/>
    <w:rsid w:val="0023244E"/>
    <w:rsid w:val="002330DB"/>
    <w:rsid w:val="00233EBE"/>
    <w:rsid w:val="00234378"/>
    <w:rsid w:val="002357C7"/>
    <w:rsid w:val="002367C4"/>
    <w:rsid w:val="002369E0"/>
    <w:rsid w:val="00236A1A"/>
    <w:rsid w:val="002371C9"/>
    <w:rsid w:val="002379E3"/>
    <w:rsid w:val="002403B2"/>
    <w:rsid w:val="00241E31"/>
    <w:rsid w:val="0024267A"/>
    <w:rsid w:val="00242E2F"/>
    <w:rsid w:val="002434BC"/>
    <w:rsid w:val="00245289"/>
    <w:rsid w:val="00245521"/>
    <w:rsid w:val="002457C5"/>
    <w:rsid w:val="00245F8D"/>
    <w:rsid w:val="00246542"/>
    <w:rsid w:val="002470C8"/>
    <w:rsid w:val="00247167"/>
    <w:rsid w:val="00247468"/>
    <w:rsid w:val="00247B23"/>
    <w:rsid w:val="00250D59"/>
    <w:rsid w:val="002513E7"/>
    <w:rsid w:val="00252192"/>
    <w:rsid w:val="00252650"/>
    <w:rsid w:val="00252C91"/>
    <w:rsid w:val="002537A5"/>
    <w:rsid w:val="002546D0"/>
    <w:rsid w:val="00254EA5"/>
    <w:rsid w:val="00255A96"/>
    <w:rsid w:val="00256076"/>
    <w:rsid w:val="0025679E"/>
    <w:rsid w:val="00257D56"/>
    <w:rsid w:val="00260C68"/>
    <w:rsid w:val="00260FDE"/>
    <w:rsid w:val="00262A15"/>
    <w:rsid w:val="0026347B"/>
    <w:rsid w:val="00263C74"/>
    <w:rsid w:val="0026400D"/>
    <w:rsid w:val="002640B7"/>
    <w:rsid w:val="00264286"/>
    <w:rsid w:val="00264642"/>
    <w:rsid w:val="002648B0"/>
    <w:rsid w:val="0026497D"/>
    <w:rsid w:val="002649BB"/>
    <w:rsid w:val="00264CC7"/>
    <w:rsid w:val="0026544C"/>
    <w:rsid w:val="00265BC9"/>
    <w:rsid w:val="00266086"/>
    <w:rsid w:val="00266FBD"/>
    <w:rsid w:val="002700D1"/>
    <w:rsid w:val="0027049C"/>
    <w:rsid w:val="002708E1"/>
    <w:rsid w:val="0027171D"/>
    <w:rsid w:val="0027193C"/>
    <w:rsid w:val="002731BD"/>
    <w:rsid w:val="002738F2"/>
    <w:rsid w:val="0027415B"/>
    <w:rsid w:val="00274D46"/>
    <w:rsid w:val="00275271"/>
    <w:rsid w:val="0027535E"/>
    <w:rsid w:val="00275A3F"/>
    <w:rsid w:val="00275AA6"/>
    <w:rsid w:val="0027641C"/>
    <w:rsid w:val="00276990"/>
    <w:rsid w:val="00277741"/>
    <w:rsid w:val="00277FD8"/>
    <w:rsid w:val="00280299"/>
    <w:rsid w:val="002807D5"/>
    <w:rsid w:val="00280B9B"/>
    <w:rsid w:val="00280BBD"/>
    <w:rsid w:val="00281B1D"/>
    <w:rsid w:val="00282500"/>
    <w:rsid w:val="00282CCD"/>
    <w:rsid w:val="00283B88"/>
    <w:rsid w:val="00283EF3"/>
    <w:rsid w:val="002845FF"/>
    <w:rsid w:val="00284827"/>
    <w:rsid w:val="002849F2"/>
    <w:rsid w:val="002857B3"/>
    <w:rsid w:val="00286299"/>
    <w:rsid w:val="002869AF"/>
    <w:rsid w:val="00286A34"/>
    <w:rsid w:val="00287423"/>
    <w:rsid w:val="002878EB"/>
    <w:rsid w:val="0029024C"/>
    <w:rsid w:val="00290D76"/>
    <w:rsid w:val="00292333"/>
    <w:rsid w:val="002936B1"/>
    <w:rsid w:val="0029385C"/>
    <w:rsid w:val="00293CBE"/>
    <w:rsid w:val="002951A5"/>
    <w:rsid w:val="0029593D"/>
    <w:rsid w:val="0029617E"/>
    <w:rsid w:val="002963D9"/>
    <w:rsid w:val="00296899"/>
    <w:rsid w:val="00296D8C"/>
    <w:rsid w:val="00296F24"/>
    <w:rsid w:val="002A12DF"/>
    <w:rsid w:val="002A15C5"/>
    <w:rsid w:val="002A164B"/>
    <w:rsid w:val="002A168C"/>
    <w:rsid w:val="002A21EB"/>
    <w:rsid w:val="002A2C48"/>
    <w:rsid w:val="002A2C5C"/>
    <w:rsid w:val="002A2F8C"/>
    <w:rsid w:val="002A33C3"/>
    <w:rsid w:val="002A3600"/>
    <w:rsid w:val="002A36BE"/>
    <w:rsid w:val="002A3EED"/>
    <w:rsid w:val="002A4746"/>
    <w:rsid w:val="002A4A39"/>
    <w:rsid w:val="002A4EAC"/>
    <w:rsid w:val="002A5603"/>
    <w:rsid w:val="002A57D9"/>
    <w:rsid w:val="002A5A17"/>
    <w:rsid w:val="002A5DE9"/>
    <w:rsid w:val="002A6425"/>
    <w:rsid w:val="002A7344"/>
    <w:rsid w:val="002A780F"/>
    <w:rsid w:val="002A7BB0"/>
    <w:rsid w:val="002B102F"/>
    <w:rsid w:val="002B2E51"/>
    <w:rsid w:val="002B3FEF"/>
    <w:rsid w:val="002B49E2"/>
    <w:rsid w:val="002B5122"/>
    <w:rsid w:val="002B5987"/>
    <w:rsid w:val="002B7B00"/>
    <w:rsid w:val="002B7C44"/>
    <w:rsid w:val="002C0698"/>
    <w:rsid w:val="002C075A"/>
    <w:rsid w:val="002C135C"/>
    <w:rsid w:val="002C1388"/>
    <w:rsid w:val="002C2125"/>
    <w:rsid w:val="002C257F"/>
    <w:rsid w:val="002C25BB"/>
    <w:rsid w:val="002C3C6A"/>
    <w:rsid w:val="002C3D1D"/>
    <w:rsid w:val="002C5109"/>
    <w:rsid w:val="002C56DA"/>
    <w:rsid w:val="002C577A"/>
    <w:rsid w:val="002C5B16"/>
    <w:rsid w:val="002C5E19"/>
    <w:rsid w:val="002C6DDD"/>
    <w:rsid w:val="002D0C62"/>
    <w:rsid w:val="002D1329"/>
    <w:rsid w:val="002D29FB"/>
    <w:rsid w:val="002D2BA5"/>
    <w:rsid w:val="002D2FC0"/>
    <w:rsid w:val="002D42DB"/>
    <w:rsid w:val="002D50CD"/>
    <w:rsid w:val="002D5EED"/>
    <w:rsid w:val="002D6891"/>
    <w:rsid w:val="002D7830"/>
    <w:rsid w:val="002E107C"/>
    <w:rsid w:val="002E13AE"/>
    <w:rsid w:val="002E1F3A"/>
    <w:rsid w:val="002E1FBD"/>
    <w:rsid w:val="002E1FD6"/>
    <w:rsid w:val="002E210A"/>
    <w:rsid w:val="002E259E"/>
    <w:rsid w:val="002E28B2"/>
    <w:rsid w:val="002E298A"/>
    <w:rsid w:val="002E2ABA"/>
    <w:rsid w:val="002E2CA3"/>
    <w:rsid w:val="002E2D42"/>
    <w:rsid w:val="002E3AEB"/>
    <w:rsid w:val="002E4873"/>
    <w:rsid w:val="002E4AB9"/>
    <w:rsid w:val="002E5B94"/>
    <w:rsid w:val="002E6456"/>
    <w:rsid w:val="002E6483"/>
    <w:rsid w:val="002E6745"/>
    <w:rsid w:val="002E75E6"/>
    <w:rsid w:val="002F0193"/>
    <w:rsid w:val="002F02A4"/>
    <w:rsid w:val="002F08F1"/>
    <w:rsid w:val="002F0B88"/>
    <w:rsid w:val="002F135F"/>
    <w:rsid w:val="002F13AE"/>
    <w:rsid w:val="002F272B"/>
    <w:rsid w:val="002F35CB"/>
    <w:rsid w:val="002F43FF"/>
    <w:rsid w:val="002F4CE5"/>
    <w:rsid w:val="002F5C5E"/>
    <w:rsid w:val="002F5DA0"/>
    <w:rsid w:val="002F6607"/>
    <w:rsid w:val="002F7C6D"/>
    <w:rsid w:val="00300351"/>
    <w:rsid w:val="00300667"/>
    <w:rsid w:val="003015C5"/>
    <w:rsid w:val="003027E4"/>
    <w:rsid w:val="0030332C"/>
    <w:rsid w:val="00303C63"/>
    <w:rsid w:val="00303C81"/>
    <w:rsid w:val="0030435B"/>
    <w:rsid w:val="00305659"/>
    <w:rsid w:val="00305D42"/>
    <w:rsid w:val="00305DF6"/>
    <w:rsid w:val="00306C9D"/>
    <w:rsid w:val="0031092B"/>
    <w:rsid w:val="0031154A"/>
    <w:rsid w:val="00311832"/>
    <w:rsid w:val="00311F4F"/>
    <w:rsid w:val="00312205"/>
    <w:rsid w:val="00312296"/>
    <w:rsid w:val="00312673"/>
    <w:rsid w:val="0031286C"/>
    <w:rsid w:val="00312EBD"/>
    <w:rsid w:val="003133E5"/>
    <w:rsid w:val="0031340E"/>
    <w:rsid w:val="00313AAF"/>
    <w:rsid w:val="0031568C"/>
    <w:rsid w:val="00316464"/>
    <w:rsid w:val="00317471"/>
    <w:rsid w:val="00317AFE"/>
    <w:rsid w:val="00317CA7"/>
    <w:rsid w:val="0032073A"/>
    <w:rsid w:val="00320BBE"/>
    <w:rsid w:val="00321818"/>
    <w:rsid w:val="00321D8E"/>
    <w:rsid w:val="0032223E"/>
    <w:rsid w:val="0032316E"/>
    <w:rsid w:val="003234CE"/>
    <w:rsid w:val="00323DEE"/>
    <w:rsid w:val="00323E3C"/>
    <w:rsid w:val="00324ED2"/>
    <w:rsid w:val="0032584A"/>
    <w:rsid w:val="00326C3A"/>
    <w:rsid w:val="00327144"/>
    <w:rsid w:val="00327418"/>
    <w:rsid w:val="00327726"/>
    <w:rsid w:val="00327D0D"/>
    <w:rsid w:val="003307CC"/>
    <w:rsid w:val="00331916"/>
    <w:rsid w:val="00331D18"/>
    <w:rsid w:val="00331DFB"/>
    <w:rsid w:val="00331EBF"/>
    <w:rsid w:val="00332EAF"/>
    <w:rsid w:val="00333D10"/>
    <w:rsid w:val="003343F4"/>
    <w:rsid w:val="0033444B"/>
    <w:rsid w:val="0033484F"/>
    <w:rsid w:val="00334996"/>
    <w:rsid w:val="00335DC2"/>
    <w:rsid w:val="00335EDF"/>
    <w:rsid w:val="003362C7"/>
    <w:rsid w:val="003367FA"/>
    <w:rsid w:val="00336969"/>
    <w:rsid w:val="00336C52"/>
    <w:rsid w:val="00336E8D"/>
    <w:rsid w:val="00336EBF"/>
    <w:rsid w:val="003372CB"/>
    <w:rsid w:val="003412B3"/>
    <w:rsid w:val="00341B3E"/>
    <w:rsid w:val="00341B42"/>
    <w:rsid w:val="0034223C"/>
    <w:rsid w:val="00342E30"/>
    <w:rsid w:val="003439E2"/>
    <w:rsid w:val="00345154"/>
    <w:rsid w:val="0034560E"/>
    <w:rsid w:val="003461E9"/>
    <w:rsid w:val="003503CF"/>
    <w:rsid w:val="00350523"/>
    <w:rsid w:val="00350B3E"/>
    <w:rsid w:val="00351CB7"/>
    <w:rsid w:val="003524AA"/>
    <w:rsid w:val="003526A5"/>
    <w:rsid w:val="00352975"/>
    <w:rsid w:val="00352A3B"/>
    <w:rsid w:val="00353831"/>
    <w:rsid w:val="00355BD1"/>
    <w:rsid w:val="00356868"/>
    <w:rsid w:val="003573C8"/>
    <w:rsid w:val="00357851"/>
    <w:rsid w:val="00357A93"/>
    <w:rsid w:val="00357BC1"/>
    <w:rsid w:val="00361B29"/>
    <w:rsid w:val="00361BD7"/>
    <w:rsid w:val="003621DD"/>
    <w:rsid w:val="0036268B"/>
    <w:rsid w:val="00363102"/>
    <w:rsid w:val="0036361A"/>
    <w:rsid w:val="00363B5B"/>
    <w:rsid w:val="00363CEB"/>
    <w:rsid w:val="00363EF5"/>
    <w:rsid w:val="0036485B"/>
    <w:rsid w:val="00364E86"/>
    <w:rsid w:val="00365D0C"/>
    <w:rsid w:val="00365E0B"/>
    <w:rsid w:val="0036629D"/>
    <w:rsid w:val="00366626"/>
    <w:rsid w:val="00366E94"/>
    <w:rsid w:val="00367280"/>
    <w:rsid w:val="00367AF8"/>
    <w:rsid w:val="00367D07"/>
    <w:rsid w:val="003707F5"/>
    <w:rsid w:val="003714AA"/>
    <w:rsid w:val="00371606"/>
    <w:rsid w:val="00371802"/>
    <w:rsid w:val="003719FF"/>
    <w:rsid w:val="00372D2C"/>
    <w:rsid w:val="00372E9C"/>
    <w:rsid w:val="003732AA"/>
    <w:rsid w:val="00373543"/>
    <w:rsid w:val="0037364E"/>
    <w:rsid w:val="00373B0D"/>
    <w:rsid w:val="00374369"/>
    <w:rsid w:val="00374514"/>
    <w:rsid w:val="00374550"/>
    <w:rsid w:val="003747B9"/>
    <w:rsid w:val="0037484B"/>
    <w:rsid w:val="00375252"/>
    <w:rsid w:val="00375BAA"/>
    <w:rsid w:val="00376659"/>
    <w:rsid w:val="00376988"/>
    <w:rsid w:val="00376B17"/>
    <w:rsid w:val="00377D04"/>
    <w:rsid w:val="00377F48"/>
    <w:rsid w:val="00380099"/>
    <w:rsid w:val="003801D5"/>
    <w:rsid w:val="0038047B"/>
    <w:rsid w:val="0038072B"/>
    <w:rsid w:val="003809D8"/>
    <w:rsid w:val="00380AB5"/>
    <w:rsid w:val="00380ABE"/>
    <w:rsid w:val="00381A72"/>
    <w:rsid w:val="003829DC"/>
    <w:rsid w:val="00382EC6"/>
    <w:rsid w:val="00383861"/>
    <w:rsid w:val="003844A0"/>
    <w:rsid w:val="003845EB"/>
    <w:rsid w:val="003857DB"/>
    <w:rsid w:val="00386360"/>
    <w:rsid w:val="00386B7E"/>
    <w:rsid w:val="00386C48"/>
    <w:rsid w:val="0039014B"/>
    <w:rsid w:val="0039105F"/>
    <w:rsid w:val="00391133"/>
    <w:rsid w:val="00391C98"/>
    <w:rsid w:val="0039362C"/>
    <w:rsid w:val="00393711"/>
    <w:rsid w:val="003938F9"/>
    <w:rsid w:val="00393B81"/>
    <w:rsid w:val="00393F08"/>
    <w:rsid w:val="00394DCB"/>
    <w:rsid w:val="00395174"/>
    <w:rsid w:val="00395233"/>
    <w:rsid w:val="00396F73"/>
    <w:rsid w:val="0039732C"/>
    <w:rsid w:val="003A09AD"/>
    <w:rsid w:val="003A1948"/>
    <w:rsid w:val="003A1B57"/>
    <w:rsid w:val="003A2824"/>
    <w:rsid w:val="003A2D0A"/>
    <w:rsid w:val="003A343E"/>
    <w:rsid w:val="003A39B7"/>
    <w:rsid w:val="003A49DC"/>
    <w:rsid w:val="003A54AF"/>
    <w:rsid w:val="003A5F32"/>
    <w:rsid w:val="003A6070"/>
    <w:rsid w:val="003A66AC"/>
    <w:rsid w:val="003A6CA9"/>
    <w:rsid w:val="003A6D49"/>
    <w:rsid w:val="003A7315"/>
    <w:rsid w:val="003A7379"/>
    <w:rsid w:val="003A7849"/>
    <w:rsid w:val="003A7965"/>
    <w:rsid w:val="003A7A4D"/>
    <w:rsid w:val="003B0790"/>
    <w:rsid w:val="003B0F00"/>
    <w:rsid w:val="003B10EB"/>
    <w:rsid w:val="003B152A"/>
    <w:rsid w:val="003B1CD5"/>
    <w:rsid w:val="003B2450"/>
    <w:rsid w:val="003B2FDE"/>
    <w:rsid w:val="003B3361"/>
    <w:rsid w:val="003B337B"/>
    <w:rsid w:val="003B34D8"/>
    <w:rsid w:val="003B35DD"/>
    <w:rsid w:val="003B3890"/>
    <w:rsid w:val="003B4201"/>
    <w:rsid w:val="003B4EDB"/>
    <w:rsid w:val="003B541F"/>
    <w:rsid w:val="003B545B"/>
    <w:rsid w:val="003B6A46"/>
    <w:rsid w:val="003B6E4E"/>
    <w:rsid w:val="003B73B8"/>
    <w:rsid w:val="003B76A4"/>
    <w:rsid w:val="003C006C"/>
    <w:rsid w:val="003C08EE"/>
    <w:rsid w:val="003C2D30"/>
    <w:rsid w:val="003C3025"/>
    <w:rsid w:val="003C3CD1"/>
    <w:rsid w:val="003C4390"/>
    <w:rsid w:val="003C49DE"/>
    <w:rsid w:val="003C4D0B"/>
    <w:rsid w:val="003C5E3D"/>
    <w:rsid w:val="003C628A"/>
    <w:rsid w:val="003C65AC"/>
    <w:rsid w:val="003C682D"/>
    <w:rsid w:val="003C6C43"/>
    <w:rsid w:val="003C754A"/>
    <w:rsid w:val="003C757A"/>
    <w:rsid w:val="003D0291"/>
    <w:rsid w:val="003D096D"/>
    <w:rsid w:val="003D125A"/>
    <w:rsid w:val="003D20E2"/>
    <w:rsid w:val="003D21CD"/>
    <w:rsid w:val="003D2C6E"/>
    <w:rsid w:val="003D3B4D"/>
    <w:rsid w:val="003D3EE9"/>
    <w:rsid w:val="003D41AC"/>
    <w:rsid w:val="003D4A8B"/>
    <w:rsid w:val="003D5248"/>
    <w:rsid w:val="003D61A5"/>
    <w:rsid w:val="003D6D6B"/>
    <w:rsid w:val="003D6EDB"/>
    <w:rsid w:val="003D7337"/>
    <w:rsid w:val="003D73CC"/>
    <w:rsid w:val="003E0101"/>
    <w:rsid w:val="003E0206"/>
    <w:rsid w:val="003E1979"/>
    <w:rsid w:val="003E1B4D"/>
    <w:rsid w:val="003E266D"/>
    <w:rsid w:val="003E3705"/>
    <w:rsid w:val="003E423F"/>
    <w:rsid w:val="003E492C"/>
    <w:rsid w:val="003E61D5"/>
    <w:rsid w:val="003E68DF"/>
    <w:rsid w:val="003E6934"/>
    <w:rsid w:val="003E7681"/>
    <w:rsid w:val="003E7AB7"/>
    <w:rsid w:val="003F00EE"/>
    <w:rsid w:val="003F0809"/>
    <w:rsid w:val="003F08D5"/>
    <w:rsid w:val="003F1386"/>
    <w:rsid w:val="003F26DA"/>
    <w:rsid w:val="003F270A"/>
    <w:rsid w:val="003F3107"/>
    <w:rsid w:val="003F3952"/>
    <w:rsid w:val="003F3D21"/>
    <w:rsid w:val="003F50E7"/>
    <w:rsid w:val="003F611C"/>
    <w:rsid w:val="003F68D9"/>
    <w:rsid w:val="003F6F0E"/>
    <w:rsid w:val="003F755C"/>
    <w:rsid w:val="0040031F"/>
    <w:rsid w:val="00400A6E"/>
    <w:rsid w:val="004014CF"/>
    <w:rsid w:val="004027BA"/>
    <w:rsid w:val="00403168"/>
    <w:rsid w:val="0040506A"/>
    <w:rsid w:val="00405083"/>
    <w:rsid w:val="00405208"/>
    <w:rsid w:val="0040575F"/>
    <w:rsid w:val="00405A98"/>
    <w:rsid w:val="00405B52"/>
    <w:rsid w:val="00406E76"/>
    <w:rsid w:val="00406F01"/>
    <w:rsid w:val="00411B36"/>
    <w:rsid w:val="00411D44"/>
    <w:rsid w:val="00411EB7"/>
    <w:rsid w:val="00412098"/>
    <w:rsid w:val="004121D7"/>
    <w:rsid w:val="00413764"/>
    <w:rsid w:val="00414789"/>
    <w:rsid w:val="00415982"/>
    <w:rsid w:val="00415A67"/>
    <w:rsid w:val="00416641"/>
    <w:rsid w:val="00416D50"/>
    <w:rsid w:val="004171C3"/>
    <w:rsid w:val="00417772"/>
    <w:rsid w:val="0041789A"/>
    <w:rsid w:val="00417A10"/>
    <w:rsid w:val="00420354"/>
    <w:rsid w:val="00420E6A"/>
    <w:rsid w:val="00421677"/>
    <w:rsid w:val="0042209F"/>
    <w:rsid w:val="0042235B"/>
    <w:rsid w:val="00422675"/>
    <w:rsid w:val="004239BF"/>
    <w:rsid w:val="004240BD"/>
    <w:rsid w:val="0042486C"/>
    <w:rsid w:val="00424EF0"/>
    <w:rsid w:val="00425F59"/>
    <w:rsid w:val="004264C1"/>
    <w:rsid w:val="00427F9D"/>
    <w:rsid w:val="00430074"/>
    <w:rsid w:val="004302CB"/>
    <w:rsid w:val="004303B9"/>
    <w:rsid w:val="00430838"/>
    <w:rsid w:val="00430FE2"/>
    <w:rsid w:val="00431BBF"/>
    <w:rsid w:val="00432B0E"/>
    <w:rsid w:val="00433CA9"/>
    <w:rsid w:val="00434EE2"/>
    <w:rsid w:val="0043521D"/>
    <w:rsid w:val="0043562F"/>
    <w:rsid w:val="00436622"/>
    <w:rsid w:val="00440EF6"/>
    <w:rsid w:val="0044138C"/>
    <w:rsid w:val="00441AA9"/>
    <w:rsid w:val="00442024"/>
    <w:rsid w:val="00442074"/>
    <w:rsid w:val="00442274"/>
    <w:rsid w:val="004424EB"/>
    <w:rsid w:val="0044254C"/>
    <w:rsid w:val="00442AFD"/>
    <w:rsid w:val="00443188"/>
    <w:rsid w:val="004431F7"/>
    <w:rsid w:val="004433CE"/>
    <w:rsid w:val="00443CFB"/>
    <w:rsid w:val="00443F6A"/>
    <w:rsid w:val="004455ED"/>
    <w:rsid w:val="0044583C"/>
    <w:rsid w:val="004458B1"/>
    <w:rsid w:val="00445A35"/>
    <w:rsid w:val="00445D3A"/>
    <w:rsid w:val="004465BF"/>
    <w:rsid w:val="004474E2"/>
    <w:rsid w:val="00447B44"/>
    <w:rsid w:val="004504E0"/>
    <w:rsid w:val="0045094F"/>
    <w:rsid w:val="00450A17"/>
    <w:rsid w:val="00450A4E"/>
    <w:rsid w:val="00450B0E"/>
    <w:rsid w:val="0045160A"/>
    <w:rsid w:val="00451615"/>
    <w:rsid w:val="00451ECC"/>
    <w:rsid w:val="0045210E"/>
    <w:rsid w:val="004523BF"/>
    <w:rsid w:val="0045295D"/>
    <w:rsid w:val="00453345"/>
    <w:rsid w:val="004535CB"/>
    <w:rsid w:val="00453B7B"/>
    <w:rsid w:val="00453F61"/>
    <w:rsid w:val="00455554"/>
    <w:rsid w:val="00456173"/>
    <w:rsid w:val="00456CA1"/>
    <w:rsid w:val="00456CF3"/>
    <w:rsid w:val="00457684"/>
    <w:rsid w:val="00460420"/>
    <w:rsid w:val="00460DFD"/>
    <w:rsid w:val="00461812"/>
    <w:rsid w:val="00461E00"/>
    <w:rsid w:val="00461F13"/>
    <w:rsid w:val="00462EB6"/>
    <w:rsid w:val="004631AA"/>
    <w:rsid w:val="00463F7F"/>
    <w:rsid w:val="00464CAB"/>
    <w:rsid w:val="00464F07"/>
    <w:rsid w:val="00466321"/>
    <w:rsid w:val="004664AA"/>
    <w:rsid w:val="00466BE5"/>
    <w:rsid w:val="00466CC7"/>
    <w:rsid w:val="004672AF"/>
    <w:rsid w:val="00470487"/>
    <w:rsid w:val="00472047"/>
    <w:rsid w:val="0047234B"/>
    <w:rsid w:val="004727B0"/>
    <w:rsid w:val="0047495F"/>
    <w:rsid w:val="00475AAE"/>
    <w:rsid w:val="00476D20"/>
    <w:rsid w:val="00477064"/>
    <w:rsid w:val="00480108"/>
    <w:rsid w:val="00480247"/>
    <w:rsid w:val="00480797"/>
    <w:rsid w:val="0048081D"/>
    <w:rsid w:val="00480F82"/>
    <w:rsid w:val="00480FCE"/>
    <w:rsid w:val="0048117E"/>
    <w:rsid w:val="004823CA"/>
    <w:rsid w:val="0048250B"/>
    <w:rsid w:val="00483047"/>
    <w:rsid w:val="00483219"/>
    <w:rsid w:val="0048322B"/>
    <w:rsid w:val="00483EEB"/>
    <w:rsid w:val="0048445F"/>
    <w:rsid w:val="004848D6"/>
    <w:rsid w:val="00485379"/>
    <w:rsid w:val="004855F6"/>
    <w:rsid w:val="004857F0"/>
    <w:rsid w:val="00485F74"/>
    <w:rsid w:val="00486F0C"/>
    <w:rsid w:val="004870E6"/>
    <w:rsid w:val="0048777C"/>
    <w:rsid w:val="004879DC"/>
    <w:rsid w:val="0049013E"/>
    <w:rsid w:val="004901AE"/>
    <w:rsid w:val="004906D3"/>
    <w:rsid w:val="004907B2"/>
    <w:rsid w:val="0049199B"/>
    <w:rsid w:val="0049368F"/>
    <w:rsid w:val="00493CC3"/>
    <w:rsid w:val="00494633"/>
    <w:rsid w:val="00494670"/>
    <w:rsid w:val="004954CD"/>
    <w:rsid w:val="0049611D"/>
    <w:rsid w:val="004A0D4C"/>
    <w:rsid w:val="004A0EB4"/>
    <w:rsid w:val="004A23FE"/>
    <w:rsid w:val="004A263E"/>
    <w:rsid w:val="004A30F2"/>
    <w:rsid w:val="004A335F"/>
    <w:rsid w:val="004A3823"/>
    <w:rsid w:val="004A4232"/>
    <w:rsid w:val="004A4421"/>
    <w:rsid w:val="004A4748"/>
    <w:rsid w:val="004A4C86"/>
    <w:rsid w:val="004A5374"/>
    <w:rsid w:val="004A59BB"/>
    <w:rsid w:val="004A5D29"/>
    <w:rsid w:val="004A68BA"/>
    <w:rsid w:val="004B0389"/>
    <w:rsid w:val="004B0DF2"/>
    <w:rsid w:val="004B13E7"/>
    <w:rsid w:val="004B16DD"/>
    <w:rsid w:val="004B175C"/>
    <w:rsid w:val="004B1E31"/>
    <w:rsid w:val="004B28A1"/>
    <w:rsid w:val="004B2BB1"/>
    <w:rsid w:val="004B2F84"/>
    <w:rsid w:val="004B41A5"/>
    <w:rsid w:val="004B41B3"/>
    <w:rsid w:val="004B43A3"/>
    <w:rsid w:val="004B45C0"/>
    <w:rsid w:val="004B4814"/>
    <w:rsid w:val="004B49AF"/>
    <w:rsid w:val="004B4B17"/>
    <w:rsid w:val="004B4C49"/>
    <w:rsid w:val="004B4E0B"/>
    <w:rsid w:val="004B522A"/>
    <w:rsid w:val="004B58A5"/>
    <w:rsid w:val="004B5C63"/>
    <w:rsid w:val="004B6260"/>
    <w:rsid w:val="004B63D9"/>
    <w:rsid w:val="004B648A"/>
    <w:rsid w:val="004B6596"/>
    <w:rsid w:val="004B6A1B"/>
    <w:rsid w:val="004B729A"/>
    <w:rsid w:val="004B7F1D"/>
    <w:rsid w:val="004C03ED"/>
    <w:rsid w:val="004C071A"/>
    <w:rsid w:val="004C0882"/>
    <w:rsid w:val="004C1267"/>
    <w:rsid w:val="004C3623"/>
    <w:rsid w:val="004C3760"/>
    <w:rsid w:val="004C55BE"/>
    <w:rsid w:val="004C5C21"/>
    <w:rsid w:val="004C6062"/>
    <w:rsid w:val="004C6D6E"/>
    <w:rsid w:val="004C6EB1"/>
    <w:rsid w:val="004C772E"/>
    <w:rsid w:val="004D072C"/>
    <w:rsid w:val="004D101C"/>
    <w:rsid w:val="004D1FD6"/>
    <w:rsid w:val="004D2823"/>
    <w:rsid w:val="004D34D8"/>
    <w:rsid w:val="004D3F34"/>
    <w:rsid w:val="004D45C6"/>
    <w:rsid w:val="004D46E0"/>
    <w:rsid w:val="004D4A84"/>
    <w:rsid w:val="004D4F85"/>
    <w:rsid w:val="004D58C5"/>
    <w:rsid w:val="004D67FB"/>
    <w:rsid w:val="004D6D83"/>
    <w:rsid w:val="004E05DA"/>
    <w:rsid w:val="004E09F7"/>
    <w:rsid w:val="004E0B48"/>
    <w:rsid w:val="004E18BA"/>
    <w:rsid w:val="004E1F35"/>
    <w:rsid w:val="004E2B0D"/>
    <w:rsid w:val="004E4E7A"/>
    <w:rsid w:val="004E526B"/>
    <w:rsid w:val="004E5B30"/>
    <w:rsid w:val="004E6B7B"/>
    <w:rsid w:val="004E6C36"/>
    <w:rsid w:val="004F05EB"/>
    <w:rsid w:val="004F06D6"/>
    <w:rsid w:val="004F0779"/>
    <w:rsid w:val="004F1230"/>
    <w:rsid w:val="004F173F"/>
    <w:rsid w:val="004F177C"/>
    <w:rsid w:val="004F2985"/>
    <w:rsid w:val="004F2DCE"/>
    <w:rsid w:val="004F3450"/>
    <w:rsid w:val="004F36B9"/>
    <w:rsid w:val="004F36DA"/>
    <w:rsid w:val="004F38CD"/>
    <w:rsid w:val="004F3C01"/>
    <w:rsid w:val="004F4F89"/>
    <w:rsid w:val="004F66C9"/>
    <w:rsid w:val="004F7E43"/>
    <w:rsid w:val="004F7FE1"/>
    <w:rsid w:val="005008B0"/>
    <w:rsid w:val="00500FD3"/>
    <w:rsid w:val="0050114A"/>
    <w:rsid w:val="0050161B"/>
    <w:rsid w:val="00501A4D"/>
    <w:rsid w:val="00501C0D"/>
    <w:rsid w:val="00501C13"/>
    <w:rsid w:val="005022FB"/>
    <w:rsid w:val="00502F67"/>
    <w:rsid w:val="005039CB"/>
    <w:rsid w:val="00503ADD"/>
    <w:rsid w:val="00504774"/>
    <w:rsid w:val="00504ADE"/>
    <w:rsid w:val="00504B9E"/>
    <w:rsid w:val="00504CFA"/>
    <w:rsid w:val="005054FB"/>
    <w:rsid w:val="0050558F"/>
    <w:rsid w:val="00505706"/>
    <w:rsid w:val="005057E0"/>
    <w:rsid w:val="00506286"/>
    <w:rsid w:val="00507AD3"/>
    <w:rsid w:val="00510695"/>
    <w:rsid w:val="00510813"/>
    <w:rsid w:val="00510955"/>
    <w:rsid w:val="00510F6B"/>
    <w:rsid w:val="00511034"/>
    <w:rsid w:val="00511DE0"/>
    <w:rsid w:val="00512FE7"/>
    <w:rsid w:val="00513F98"/>
    <w:rsid w:val="005142D4"/>
    <w:rsid w:val="005143A6"/>
    <w:rsid w:val="00515A71"/>
    <w:rsid w:val="00516003"/>
    <w:rsid w:val="00516030"/>
    <w:rsid w:val="00516513"/>
    <w:rsid w:val="0051720D"/>
    <w:rsid w:val="00517F02"/>
    <w:rsid w:val="005201D3"/>
    <w:rsid w:val="005201E7"/>
    <w:rsid w:val="00521A15"/>
    <w:rsid w:val="00521FC7"/>
    <w:rsid w:val="00522EEC"/>
    <w:rsid w:val="00523737"/>
    <w:rsid w:val="0052377E"/>
    <w:rsid w:val="00524547"/>
    <w:rsid w:val="005258A2"/>
    <w:rsid w:val="00525FFF"/>
    <w:rsid w:val="005260C0"/>
    <w:rsid w:val="0052624D"/>
    <w:rsid w:val="00526D47"/>
    <w:rsid w:val="0052755D"/>
    <w:rsid w:val="00527686"/>
    <w:rsid w:val="0052785F"/>
    <w:rsid w:val="00527DA0"/>
    <w:rsid w:val="00530126"/>
    <w:rsid w:val="0053033B"/>
    <w:rsid w:val="00530A28"/>
    <w:rsid w:val="00530F7C"/>
    <w:rsid w:val="00531423"/>
    <w:rsid w:val="00533C5A"/>
    <w:rsid w:val="00534567"/>
    <w:rsid w:val="005349F1"/>
    <w:rsid w:val="00534EF6"/>
    <w:rsid w:val="00534F43"/>
    <w:rsid w:val="005351D2"/>
    <w:rsid w:val="00535318"/>
    <w:rsid w:val="00535A84"/>
    <w:rsid w:val="00536618"/>
    <w:rsid w:val="00536889"/>
    <w:rsid w:val="005368DC"/>
    <w:rsid w:val="00536945"/>
    <w:rsid w:val="00537A73"/>
    <w:rsid w:val="00537C78"/>
    <w:rsid w:val="00540520"/>
    <w:rsid w:val="00540864"/>
    <w:rsid w:val="00540C91"/>
    <w:rsid w:val="00541747"/>
    <w:rsid w:val="00541798"/>
    <w:rsid w:val="00541A2B"/>
    <w:rsid w:val="00541AF2"/>
    <w:rsid w:val="005428D9"/>
    <w:rsid w:val="00542929"/>
    <w:rsid w:val="00542E07"/>
    <w:rsid w:val="00542F7B"/>
    <w:rsid w:val="0054311E"/>
    <w:rsid w:val="00543A04"/>
    <w:rsid w:val="00544433"/>
    <w:rsid w:val="00544B56"/>
    <w:rsid w:val="00545084"/>
    <w:rsid w:val="00545991"/>
    <w:rsid w:val="00545F12"/>
    <w:rsid w:val="00546476"/>
    <w:rsid w:val="00546B36"/>
    <w:rsid w:val="00547258"/>
    <w:rsid w:val="00550409"/>
    <w:rsid w:val="0055069A"/>
    <w:rsid w:val="00550AEC"/>
    <w:rsid w:val="005518DB"/>
    <w:rsid w:val="00552D7D"/>
    <w:rsid w:val="005544CB"/>
    <w:rsid w:val="00554A7B"/>
    <w:rsid w:val="0055572C"/>
    <w:rsid w:val="00557164"/>
    <w:rsid w:val="00557376"/>
    <w:rsid w:val="0056026B"/>
    <w:rsid w:val="0056064F"/>
    <w:rsid w:val="00561B84"/>
    <w:rsid w:val="00562513"/>
    <w:rsid w:val="0056488B"/>
    <w:rsid w:val="0056551C"/>
    <w:rsid w:val="0056678D"/>
    <w:rsid w:val="00566BB6"/>
    <w:rsid w:val="00566E14"/>
    <w:rsid w:val="00566EE0"/>
    <w:rsid w:val="0056742E"/>
    <w:rsid w:val="00567F23"/>
    <w:rsid w:val="00570465"/>
    <w:rsid w:val="0057118B"/>
    <w:rsid w:val="00571363"/>
    <w:rsid w:val="00571B0C"/>
    <w:rsid w:val="00571D98"/>
    <w:rsid w:val="00572092"/>
    <w:rsid w:val="005720AE"/>
    <w:rsid w:val="005729B0"/>
    <w:rsid w:val="0057494C"/>
    <w:rsid w:val="00575E43"/>
    <w:rsid w:val="005775F2"/>
    <w:rsid w:val="00577AF4"/>
    <w:rsid w:val="00577CA7"/>
    <w:rsid w:val="0058030D"/>
    <w:rsid w:val="005805D6"/>
    <w:rsid w:val="00580910"/>
    <w:rsid w:val="00580A51"/>
    <w:rsid w:val="00581988"/>
    <w:rsid w:val="00582045"/>
    <w:rsid w:val="005831F8"/>
    <w:rsid w:val="00584D03"/>
    <w:rsid w:val="0058521E"/>
    <w:rsid w:val="005856EC"/>
    <w:rsid w:val="0058682E"/>
    <w:rsid w:val="00587BB0"/>
    <w:rsid w:val="005903B2"/>
    <w:rsid w:val="00590AE3"/>
    <w:rsid w:val="00590AE8"/>
    <w:rsid w:val="0059138A"/>
    <w:rsid w:val="0059162D"/>
    <w:rsid w:val="005918F1"/>
    <w:rsid w:val="00592419"/>
    <w:rsid w:val="00592E80"/>
    <w:rsid w:val="00593FBC"/>
    <w:rsid w:val="00594A6C"/>
    <w:rsid w:val="00594A70"/>
    <w:rsid w:val="00594E63"/>
    <w:rsid w:val="0059550C"/>
    <w:rsid w:val="005962EA"/>
    <w:rsid w:val="005966FF"/>
    <w:rsid w:val="005968C7"/>
    <w:rsid w:val="00596D17"/>
    <w:rsid w:val="00596D7B"/>
    <w:rsid w:val="00597578"/>
    <w:rsid w:val="00597995"/>
    <w:rsid w:val="005A0103"/>
    <w:rsid w:val="005A06B7"/>
    <w:rsid w:val="005A0ACC"/>
    <w:rsid w:val="005A0FF5"/>
    <w:rsid w:val="005A13A2"/>
    <w:rsid w:val="005A1759"/>
    <w:rsid w:val="005A17B0"/>
    <w:rsid w:val="005A220F"/>
    <w:rsid w:val="005A236C"/>
    <w:rsid w:val="005A309D"/>
    <w:rsid w:val="005A4197"/>
    <w:rsid w:val="005A50C3"/>
    <w:rsid w:val="005A566F"/>
    <w:rsid w:val="005A5F46"/>
    <w:rsid w:val="005A6024"/>
    <w:rsid w:val="005A65E2"/>
    <w:rsid w:val="005A6AE6"/>
    <w:rsid w:val="005A6D2E"/>
    <w:rsid w:val="005A6D49"/>
    <w:rsid w:val="005A798F"/>
    <w:rsid w:val="005B087B"/>
    <w:rsid w:val="005B166A"/>
    <w:rsid w:val="005B26C9"/>
    <w:rsid w:val="005B3036"/>
    <w:rsid w:val="005B5422"/>
    <w:rsid w:val="005B58D9"/>
    <w:rsid w:val="005B5990"/>
    <w:rsid w:val="005B6F02"/>
    <w:rsid w:val="005B6FC1"/>
    <w:rsid w:val="005C0383"/>
    <w:rsid w:val="005C04C4"/>
    <w:rsid w:val="005C13FB"/>
    <w:rsid w:val="005C1446"/>
    <w:rsid w:val="005C36FE"/>
    <w:rsid w:val="005C4159"/>
    <w:rsid w:val="005C47D1"/>
    <w:rsid w:val="005C533D"/>
    <w:rsid w:val="005C6AF9"/>
    <w:rsid w:val="005C77D2"/>
    <w:rsid w:val="005C7AF8"/>
    <w:rsid w:val="005D0369"/>
    <w:rsid w:val="005D0AF8"/>
    <w:rsid w:val="005D0B26"/>
    <w:rsid w:val="005D106C"/>
    <w:rsid w:val="005D12E5"/>
    <w:rsid w:val="005D15B4"/>
    <w:rsid w:val="005D15FE"/>
    <w:rsid w:val="005D1818"/>
    <w:rsid w:val="005D1E78"/>
    <w:rsid w:val="005D20B4"/>
    <w:rsid w:val="005D2938"/>
    <w:rsid w:val="005D4A71"/>
    <w:rsid w:val="005D53FE"/>
    <w:rsid w:val="005D5A6E"/>
    <w:rsid w:val="005D5C3B"/>
    <w:rsid w:val="005D7A0F"/>
    <w:rsid w:val="005E0292"/>
    <w:rsid w:val="005E038C"/>
    <w:rsid w:val="005E0438"/>
    <w:rsid w:val="005E11B9"/>
    <w:rsid w:val="005E12F7"/>
    <w:rsid w:val="005E14B5"/>
    <w:rsid w:val="005E175C"/>
    <w:rsid w:val="005E1791"/>
    <w:rsid w:val="005E1CF1"/>
    <w:rsid w:val="005E2CE6"/>
    <w:rsid w:val="005E49E8"/>
    <w:rsid w:val="005E4E9D"/>
    <w:rsid w:val="005E5364"/>
    <w:rsid w:val="005E6324"/>
    <w:rsid w:val="005E63B7"/>
    <w:rsid w:val="005E6EFE"/>
    <w:rsid w:val="005F00B5"/>
    <w:rsid w:val="005F0DCD"/>
    <w:rsid w:val="005F1EEE"/>
    <w:rsid w:val="005F1F4F"/>
    <w:rsid w:val="005F228B"/>
    <w:rsid w:val="005F29BB"/>
    <w:rsid w:val="005F29CD"/>
    <w:rsid w:val="005F2DDF"/>
    <w:rsid w:val="005F2F75"/>
    <w:rsid w:val="005F3173"/>
    <w:rsid w:val="005F481D"/>
    <w:rsid w:val="005F4971"/>
    <w:rsid w:val="005F4DFB"/>
    <w:rsid w:val="005F52B9"/>
    <w:rsid w:val="005F54E3"/>
    <w:rsid w:val="005F54EF"/>
    <w:rsid w:val="005F5889"/>
    <w:rsid w:val="005F5966"/>
    <w:rsid w:val="005F5B33"/>
    <w:rsid w:val="005F5B95"/>
    <w:rsid w:val="005F6472"/>
    <w:rsid w:val="005F6CC0"/>
    <w:rsid w:val="005F778D"/>
    <w:rsid w:val="005F78A4"/>
    <w:rsid w:val="005F7BF7"/>
    <w:rsid w:val="006000BB"/>
    <w:rsid w:val="0060187B"/>
    <w:rsid w:val="0060204C"/>
    <w:rsid w:val="00602447"/>
    <w:rsid w:val="00602FF9"/>
    <w:rsid w:val="00603950"/>
    <w:rsid w:val="0060398A"/>
    <w:rsid w:val="006039CF"/>
    <w:rsid w:val="00603E5B"/>
    <w:rsid w:val="00604089"/>
    <w:rsid w:val="0060489D"/>
    <w:rsid w:val="00604B73"/>
    <w:rsid w:val="00604BC8"/>
    <w:rsid w:val="0060537D"/>
    <w:rsid w:val="00605F27"/>
    <w:rsid w:val="006065BD"/>
    <w:rsid w:val="0060660E"/>
    <w:rsid w:val="00606F30"/>
    <w:rsid w:val="00607894"/>
    <w:rsid w:val="006078C9"/>
    <w:rsid w:val="00607AAA"/>
    <w:rsid w:val="0061042E"/>
    <w:rsid w:val="0061209C"/>
    <w:rsid w:val="00612DF8"/>
    <w:rsid w:val="00613564"/>
    <w:rsid w:val="00613F34"/>
    <w:rsid w:val="006143B8"/>
    <w:rsid w:val="0061538A"/>
    <w:rsid w:val="0061552F"/>
    <w:rsid w:val="00615677"/>
    <w:rsid w:val="00615B4C"/>
    <w:rsid w:val="00615B5D"/>
    <w:rsid w:val="00615E6B"/>
    <w:rsid w:val="0061743D"/>
    <w:rsid w:val="0062080F"/>
    <w:rsid w:val="00620BA9"/>
    <w:rsid w:val="00620E84"/>
    <w:rsid w:val="0062146F"/>
    <w:rsid w:val="00621765"/>
    <w:rsid w:val="00622013"/>
    <w:rsid w:val="00622BC8"/>
    <w:rsid w:val="00622E25"/>
    <w:rsid w:val="006231ED"/>
    <w:rsid w:val="00624927"/>
    <w:rsid w:val="00624AAE"/>
    <w:rsid w:val="00624D51"/>
    <w:rsid w:val="006251D3"/>
    <w:rsid w:val="00625995"/>
    <w:rsid w:val="00625C59"/>
    <w:rsid w:val="00630291"/>
    <w:rsid w:val="00630347"/>
    <w:rsid w:val="006308FF"/>
    <w:rsid w:val="0063120A"/>
    <w:rsid w:val="006329A1"/>
    <w:rsid w:val="006336FF"/>
    <w:rsid w:val="00633820"/>
    <w:rsid w:val="006343AF"/>
    <w:rsid w:val="0063463C"/>
    <w:rsid w:val="00635F5E"/>
    <w:rsid w:val="0063634A"/>
    <w:rsid w:val="00636FCB"/>
    <w:rsid w:val="006370FE"/>
    <w:rsid w:val="00637BBD"/>
    <w:rsid w:val="006402EB"/>
    <w:rsid w:val="00641288"/>
    <w:rsid w:val="00641875"/>
    <w:rsid w:val="00641AA8"/>
    <w:rsid w:val="0064250D"/>
    <w:rsid w:val="00642E53"/>
    <w:rsid w:val="006432E4"/>
    <w:rsid w:val="00643518"/>
    <w:rsid w:val="006438D9"/>
    <w:rsid w:val="00643E10"/>
    <w:rsid w:val="00644483"/>
    <w:rsid w:val="00645E61"/>
    <w:rsid w:val="00646576"/>
    <w:rsid w:val="00646D52"/>
    <w:rsid w:val="00647FD3"/>
    <w:rsid w:val="006502F2"/>
    <w:rsid w:val="006503FB"/>
    <w:rsid w:val="00650B97"/>
    <w:rsid w:val="00650C6E"/>
    <w:rsid w:val="00650CB2"/>
    <w:rsid w:val="00651759"/>
    <w:rsid w:val="0065178F"/>
    <w:rsid w:val="00651796"/>
    <w:rsid w:val="00651D49"/>
    <w:rsid w:val="00652A9D"/>
    <w:rsid w:val="00652F08"/>
    <w:rsid w:val="006535EB"/>
    <w:rsid w:val="00653CA7"/>
    <w:rsid w:val="0065410D"/>
    <w:rsid w:val="00654417"/>
    <w:rsid w:val="00655700"/>
    <w:rsid w:val="0065696F"/>
    <w:rsid w:val="00656B41"/>
    <w:rsid w:val="006571E8"/>
    <w:rsid w:val="00657392"/>
    <w:rsid w:val="00660A31"/>
    <w:rsid w:val="006618FA"/>
    <w:rsid w:val="00663016"/>
    <w:rsid w:val="006649A2"/>
    <w:rsid w:val="00664B4B"/>
    <w:rsid w:val="00664B5C"/>
    <w:rsid w:val="00664D67"/>
    <w:rsid w:val="006655E7"/>
    <w:rsid w:val="00665CCE"/>
    <w:rsid w:val="00666F80"/>
    <w:rsid w:val="00667F76"/>
    <w:rsid w:val="00670125"/>
    <w:rsid w:val="00670D57"/>
    <w:rsid w:val="00671AA4"/>
    <w:rsid w:val="00672635"/>
    <w:rsid w:val="00672A92"/>
    <w:rsid w:val="0067340E"/>
    <w:rsid w:val="00673EA5"/>
    <w:rsid w:val="006744AD"/>
    <w:rsid w:val="00674605"/>
    <w:rsid w:val="006748B8"/>
    <w:rsid w:val="006760BF"/>
    <w:rsid w:val="00676C47"/>
    <w:rsid w:val="00677061"/>
    <w:rsid w:val="006772B4"/>
    <w:rsid w:val="00677C4B"/>
    <w:rsid w:val="00677E2D"/>
    <w:rsid w:val="0068068E"/>
    <w:rsid w:val="00681372"/>
    <w:rsid w:val="00681E6A"/>
    <w:rsid w:val="006822E3"/>
    <w:rsid w:val="006836D3"/>
    <w:rsid w:val="00684832"/>
    <w:rsid w:val="0068535B"/>
    <w:rsid w:val="00685C00"/>
    <w:rsid w:val="006860A0"/>
    <w:rsid w:val="0068699E"/>
    <w:rsid w:val="00686F1E"/>
    <w:rsid w:val="00686FF4"/>
    <w:rsid w:val="00687044"/>
    <w:rsid w:val="0068736E"/>
    <w:rsid w:val="00687AE4"/>
    <w:rsid w:val="0069057F"/>
    <w:rsid w:val="00690DD9"/>
    <w:rsid w:val="00691E70"/>
    <w:rsid w:val="0069290A"/>
    <w:rsid w:val="006932C9"/>
    <w:rsid w:val="006935D2"/>
    <w:rsid w:val="00694205"/>
    <w:rsid w:val="00694DD8"/>
    <w:rsid w:val="00695EC8"/>
    <w:rsid w:val="00696165"/>
    <w:rsid w:val="006961E5"/>
    <w:rsid w:val="006967DE"/>
    <w:rsid w:val="00696F2F"/>
    <w:rsid w:val="00697032"/>
    <w:rsid w:val="006975AC"/>
    <w:rsid w:val="006A00C3"/>
    <w:rsid w:val="006A15FB"/>
    <w:rsid w:val="006A1922"/>
    <w:rsid w:val="006A1A65"/>
    <w:rsid w:val="006A1F30"/>
    <w:rsid w:val="006A203C"/>
    <w:rsid w:val="006A2729"/>
    <w:rsid w:val="006A3CC8"/>
    <w:rsid w:val="006A48A8"/>
    <w:rsid w:val="006A513A"/>
    <w:rsid w:val="006A53F6"/>
    <w:rsid w:val="006A5422"/>
    <w:rsid w:val="006A72BF"/>
    <w:rsid w:val="006A72FF"/>
    <w:rsid w:val="006A7EB1"/>
    <w:rsid w:val="006B1036"/>
    <w:rsid w:val="006B138E"/>
    <w:rsid w:val="006B1F58"/>
    <w:rsid w:val="006B29EB"/>
    <w:rsid w:val="006B332A"/>
    <w:rsid w:val="006B33BD"/>
    <w:rsid w:val="006B3DF6"/>
    <w:rsid w:val="006B4459"/>
    <w:rsid w:val="006B4CF7"/>
    <w:rsid w:val="006B507A"/>
    <w:rsid w:val="006B5AB2"/>
    <w:rsid w:val="006B7D3B"/>
    <w:rsid w:val="006C1880"/>
    <w:rsid w:val="006C30C6"/>
    <w:rsid w:val="006C3F75"/>
    <w:rsid w:val="006C4397"/>
    <w:rsid w:val="006C4CCD"/>
    <w:rsid w:val="006C4D20"/>
    <w:rsid w:val="006C5052"/>
    <w:rsid w:val="006C5688"/>
    <w:rsid w:val="006C606B"/>
    <w:rsid w:val="006C64BA"/>
    <w:rsid w:val="006C64D1"/>
    <w:rsid w:val="006C7478"/>
    <w:rsid w:val="006C758C"/>
    <w:rsid w:val="006C78E7"/>
    <w:rsid w:val="006C7E04"/>
    <w:rsid w:val="006D078D"/>
    <w:rsid w:val="006D0B08"/>
    <w:rsid w:val="006D170E"/>
    <w:rsid w:val="006D1E5C"/>
    <w:rsid w:val="006D2793"/>
    <w:rsid w:val="006D2D65"/>
    <w:rsid w:val="006D306E"/>
    <w:rsid w:val="006D336B"/>
    <w:rsid w:val="006D3514"/>
    <w:rsid w:val="006D35BF"/>
    <w:rsid w:val="006D5146"/>
    <w:rsid w:val="006D6350"/>
    <w:rsid w:val="006D63D2"/>
    <w:rsid w:val="006D7544"/>
    <w:rsid w:val="006E06AF"/>
    <w:rsid w:val="006E0EC3"/>
    <w:rsid w:val="006E11E1"/>
    <w:rsid w:val="006E1563"/>
    <w:rsid w:val="006E2896"/>
    <w:rsid w:val="006E4FF5"/>
    <w:rsid w:val="006E5565"/>
    <w:rsid w:val="006E55EC"/>
    <w:rsid w:val="006E597A"/>
    <w:rsid w:val="006E5DB4"/>
    <w:rsid w:val="006E6C07"/>
    <w:rsid w:val="006E73FF"/>
    <w:rsid w:val="006F01B9"/>
    <w:rsid w:val="006F1789"/>
    <w:rsid w:val="006F1CCB"/>
    <w:rsid w:val="006F25CA"/>
    <w:rsid w:val="006F2EE7"/>
    <w:rsid w:val="006F37F3"/>
    <w:rsid w:val="006F382A"/>
    <w:rsid w:val="006F3A2F"/>
    <w:rsid w:val="006F47F1"/>
    <w:rsid w:val="006F485D"/>
    <w:rsid w:val="006F5073"/>
    <w:rsid w:val="006F521F"/>
    <w:rsid w:val="006F5DD6"/>
    <w:rsid w:val="006F65B4"/>
    <w:rsid w:val="006F677B"/>
    <w:rsid w:val="006F7207"/>
    <w:rsid w:val="006F7E02"/>
    <w:rsid w:val="006F7F13"/>
    <w:rsid w:val="007006B7"/>
    <w:rsid w:val="007028B7"/>
    <w:rsid w:val="00705645"/>
    <w:rsid w:val="00705B08"/>
    <w:rsid w:val="00706C5D"/>
    <w:rsid w:val="007073CE"/>
    <w:rsid w:val="007073FA"/>
    <w:rsid w:val="00707CC2"/>
    <w:rsid w:val="00707EE7"/>
    <w:rsid w:val="00710BA7"/>
    <w:rsid w:val="00711349"/>
    <w:rsid w:val="007118E6"/>
    <w:rsid w:val="00713CC3"/>
    <w:rsid w:val="00713DB4"/>
    <w:rsid w:val="00713EC5"/>
    <w:rsid w:val="00714047"/>
    <w:rsid w:val="00714F9A"/>
    <w:rsid w:val="007152D7"/>
    <w:rsid w:val="00715372"/>
    <w:rsid w:val="00715412"/>
    <w:rsid w:val="00715F4A"/>
    <w:rsid w:val="00716C8B"/>
    <w:rsid w:val="007172C1"/>
    <w:rsid w:val="0071743B"/>
    <w:rsid w:val="007213E2"/>
    <w:rsid w:val="00721DA3"/>
    <w:rsid w:val="00722015"/>
    <w:rsid w:val="007225C9"/>
    <w:rsid w:val="00722AB4"/>
    <w:rsid w:val="00723016"/>
    <w:rsid w:val="00723ECC"/>
    <w:rsid w:val="00724B08"/>
    <w:rsid w:val="00725060"/>
    <w:rsid w:val="00725528"/>
    <w:rsid w:val="007256DE"/>
    <w:rsid w:val="00726270"/>
    <w:rsid w:val="00727C72"/>
    <w:rsid w:val="00730775"/>
    <w:rsid w:val="00730A5C"/>
    <w:rsid w:val="007337F2"/>
    <w:rsid w:val="0073402C"/>
    <w:rsid w:val="007340D5"/>
    <w:rsid w:val="007341D6"/>
    <w:rsid w:val="007346DD"/>
    <w:rsid w:val="007352B1"/>
    <w:rsid w:val="007357E1"/>
    <w:rsid w:val="007357E4"/>
    <w:rsid w:val="00735CD7"/>
    <w:rsid w:val="00735D57"/>
    <w:rsid w:val="00735E03"/>
    <w:rsid w:val="00736955"/>
    <w:rsid w:val="00736986"/>
    <w:rsid w:val="007377BF"/>
    <w:rsid w:val="00737AEF"/>
    <w:rsid w:val="00737E39"/>
    <w:rsid w:val="00740159"/>
    <w:rsid w:val="00740189"/>
    <w:rsid w:val="007409D6"/>
    <w:rsid w:val="00740A19"/>
    <w:rsid w:val="00740C21"/>
    <w:rsid w:val="00741045"/>
    <w:rsid w:val="00741D2A"/>
    <w:rsid w:val="007420A3"/>
    <w:rsid w:val="007426F2"/>
    <w:rsid w:val="00742E51"/>
    <w:rsid w:val="007437CC"/>
    <w:rsid w:val="007447BF"/>
    <w:rsid w:val="0074481A"/>
    <w:rsid w:val="007458E6"/>
    <w:rsid w:val="0074652F"/>
    <w:rsid w:val="00746656"/>
    <w:rsid w:val="0074669D"/>
    <w:rsid w:val="0074728B"/>
    <w:rsid w:val="007472F1"/>
    <w:rsid w:val="007473FE"/>
    <w:rsid w:val="00750351"/>
    <w:rsid w:val="00750610"/>
    <w:rsid w:val="00750C3F"/>
    <w:rsid w:val="007510F4"/>
    <w:rsid w:val="007511B8"/>
    <w:rsid w:val="00751592"/>
    <w:rsid w:val="007518DD"/>
    <w:rsid w:val="00751DA9"/>
    <w:rsid w:val="00751DC1"/>
    <w:rsid w:val="00751FBF"/>
    <w:rsid w:val="0075214F"/>
    <w:rsid w:val="00752467"/>
    <w:rsid w:val="00752743"/>
    <w:rsid w:val="00753446"/>
    <w:rsid w:val="007534B8"/>
    <w:rsid w:val="007535A9"/>
    <w:rsid w:val="00754034"/>
    <w:rsid w:val="00754652"/>
    <w:rsid w:val="007548F9"/>
    <w:rsid w:val="00754BF1"/>
    <w:rsid w:val="0075549B"/>
    <w:rsid w:val="00755782"/>
    <w:rsid w:val="00755801"/>
    <w:rsid w:val="00755A30"/>
    <w:rsid w:val="00755E1C"/>
    <w:rsid w:val="00756556"/>
    <w:rsid w:val="007570A9"/>
    <w:rsid w:val="007574CA"/>
    <w:rsid w:val="007578BD"/>
    <w:rsid w:val="00760196"/>
    <w:rsid w:val="00760889"/>
    <w:rsid w:val="00760E0D"/>
    <w:rsid w:val="00760EB1"/>
    <w:rsid w:val="0076132B"/>
    <w:rsid w:val="007623AE"/>
    <w:rsid w:val="007636F5"/>
    <w:rsid w:val="00763A28"/>
    <w:rsid w:val="007649A6"/>
    <w:rsid w:val="00764D12"/>
    <w:rsid w:val="0076551B"/>
    <w:rsid w:val="00765AEB"/>
    <w:rsid w:val="007665AD"/>
    <w:rsid w:val="00766921"/>
    <w:rsid w:val="00767E1E"/>
    <w:rsid w:val="007705D9"/>
    <w:rsid w:val="00770B19"/>
    <w:rsid w:val="007714FC"/>
    <w:rsid w:val="00773543"/>
    <w:rsid w:val="00774BF4"/>
    <w:rsid w:val="00774C11"/>
    <w:rsid w:val="00774FA0"/>
    <w:rsid w:val="00775008"/>
    <w:rsid w:val="00775F8B"/>
    <w:rsid w:val="007764E8"/>
    <w:rsid w:val="00776530"/>
    <w:rsid w:val="00776620"/>
    <w:rsid w:val="00776B29"/>
    <w:rsid w:val="007772F5"/>
    <w:rsid w:val="00777B6D"/>
    <w:rsid w:val="00777EBC"/>
    <w:rsid w:val="007803D8"/>
    <w:rsid w:val="0078090B"/>
    <w:rsid w:val="00780D9D"/>
    <w:rsid w:val="00780F7A"/>
    <w:rsid w:val="00781DDE"/>
    <w:rsid w:val="0078250D"/>
    <w:rsid w:val="007838C4"/>
    <w:rsid w:val="00784855"/>
    <w:rsid w:val="00784F39"/>
    <w:rsid w:val="0078545C"/>
    <w:rsid w:val="0078666B"/>
    <w:rsid w:val="0078690C"/>
    <w:rsid w:val="0078753B"/>
    <w:rsid w:val="00787A12"/>
    <w:rsid w:val="00787AAF"/>
    <w:rsid w:val="00787B1A"/>
    <w:rsid w:val="007904AF"/>
    <w:rsid w:val="007905CF"/>
    <w:rsid w:val="00790629"/>
    <w:rsid w:val="007906C4"/>
    <w:rsid w:val="00792DFA"/>
    <w:rsid w:val="007940EA"/>
    <w:rsid w:val="00794FF8"/>
    <w:rsid w:val="007959CE"/>
    <w:rsid w:val="007967E8"/>
    <w:rsid w:val="00797375"/>
    <w:rsid w:val="0079755E"/>
    <w:rsid w:val="007A08A3"/>
    <w:rsid w:val="007A0997"/>
    <w:rsid w:val="007A1297"/>
    <w:rsid w:val="007A16C6"/>
    <w:rsid w:val="007A1869"/>
    <w:rsid w:val="007A19EC"/>
    <w:rsid w:val="007A3ACB"/>
    <w:rsid w:val="007A3D3C"/>
    <w:rsid w:val="007A4890"/>
    <w:rsid w:val="007A60F2"/>
    <w:rsid w:val="007A63F2"/>
    <w:rsid w:val="007A686F"/>
    <w:rsid w:val="007A6976"/>
    <w:rsid w:val="007A6BB7"/>
    <w:rsid w:val="007A7FB0"/>
    <w:rsid w:val="007A7FB3"/>
    <w:rsid w:val="007B087C"/>
    <w:rsid w:val="007B0B14"/>
    <w:rsid w:val="007B104A"/>
    <w:rsid w:val="007B1BA7"/>
    <w:rsid w:val="007B1E8D"/>
    <w:rsid w:val="007B2A94"/>
    <w:rsid w:val="007B582A"/>
    <w:rsid w:val="007B6145"/>
    <w:rsid w:val="007B68DE"/>
    <w:rsid w:val="007B71DA"/>
    <w:rsid w:val="007B7758"/>
    <w:rsid w:val="007C079F"/>
    <w:rsid w:val="007C07F3"/>
    <w:rsid w:val="007C1857"/>
    <w:rsid w:val="007C26CD"/>
    <w:rsid w:val="007C4562"/>
    <w:rsid w:val="007C45DE"/>
    <w:rsid w:val="007C4B70"/>
    <w:rsid w:val="007C5059"/>
    <w:rsid w:val="007C514F"/>
    <w:rsid w:val="007C5DF8"/>
    <w:rsid w:val="007C62DC"/>
    <w:rsid w:val="007C751C"/>
    <w:rsid w:val="007C78E8"/>
    <w:rsid w:val="007C7FB5"/>
    <w:rsid w:val="007D08A6"/>
    <w:rsid w:val="007D08D0"/>
    <w:rsid w:val="007D0A88"/>
    <w:rsid w:val="007D0F77"/>
    <w:rsid w:val="007D0F95"/>
    <w:rsid w:val="007D121E"/>
    <w:rsid w:val="007D17D7"/>
    <w:rsid w:val="007D308F"/>
    <w:rsid w:val="007D3BF5"/>
    <w:rsid w:val="007D53A3"/>
    <w:rsid w:val="007D59EB"/>
    <w:rsid w:val="007D64F3"/>
    <w:rsid w:val="007D6662"/>
    <w:rsid w:val="007D79CA"/>
    <w:rsid w:val="007D7ECB"/>
    <w:rsid w:val="007E0088"/>
    <w:rsid w:val="007E0365"/>
    <w:rsid w:val="007E10D5"/>
    <w:rsid w:val="007E18E5"/>
    <w:rsid w:val="007E20C3"/>
    <w:rsid w:val="007E224C"/>
    <w:rsid w:val="007E2570"/>
    <w:rsid w:val="007E25A1"/>
    <w:rsid w:val="007E3ED3"/>
    <w:rsid w:val="007E41BA"/>
    <w:rsid w:val="007E4883"/>
    <w:rsid w:val="007E4BD2"/>
    <w:rsid w:val="007E4C97"/>
    <w:rsid w:val="007E533E"/>
    <w:rsid w:val="007E5CF6"/>
    <w:rsid w:val="007E6876"/>
    <w:rsid w:val="007E7145"/>
    <w:rsid w:val="007E7DE7"/>
    <w:rsid w:val="007F0E19"/>
    <w:rsid w:val="007F13C4"/>
    <w:rsid w:val="007F2316"/>
    <w:rsid w:val="007F25A3"/>
    <w:rsid w:val="007F2CEE"/>
    <w:rsid w:val="007F2E38"/>
    <w:rsid w:val="007F3916"/>
    <w:rsid w:val="007F5A43"/>
    <w:rsid w:val="007F613E"/>
    <w:rsid w:val="007F62D1"/>
    <w:rsid w:val="007F649F"/>
    <w:rsid w:val="007F7082"/>
    <w:rsid w:val="008004FB"/>
    <w:rsid w:val="008004FC"/>
    <w:rsid w:val="00801179"/>
    <w:rsid w:val="00801489"/>
    <w:rsid w:val="00802479"/>
    <w:rsid w:val="0080278E"/>
    <w:rsid w:val="008030D1"/>
    <w:rsid w:val="0080425A"/>
    <w:rsid w:val="008052BA"/>
    <w:rsid w:val="00805372"/>
    <w:rsid w:val="00805B7B"/>
    <w:rsid w:val="00807AAC"/>
    <w:rsid w:val="00807EE6"/>
    <w:rsid w:val="00810060"/>
    <w:rsid w:val="00810239"/>
    <w:rsid w:val="008118B7"/>
    <w:rsid w:val="0081293E"/>
    <w:rsid w:val="00812E17"/>
    <w:rsid w:val="00812FB2"/>
    <w:rsid w:val="0081471C"/>
    <w:rsid w:val="00814B5E"/>
    <w:rsid w:val="00814FFB"/>
    <w:rsid w:val="00816298"/>
    <w:rsid w:val="00816A39"/>
    <w:rsid w:val="00816A7B"/>
    <w:rsid w:val="00816AB2"/>
    <w:rsid w:val="00816B56"/>
    <w:rsid w:val="00817800"/>
    <w:rsid w:val="00817983"/>
    <w:rsid w:val="008204C0"/>
    <w:rsid w:val="00820568"/>
    <w:rsid w:val="00820BFF"/>
    <w:rsid w:val="008218CD"/>
    <w:rsid w:val="00821BD7"/>
    <w:rsid w:val="00823B73"/>
    <w:rsid w:val="00824D1E"/>
    <w:rsid w:val="00824E9D"/>
    <w:rsid w:val="008250FD"/>
    <w:rsid w:val="00826296"/>
    <w:rsid w:val="008263D7"/>
    <w:rsid w:val="008265C9"/>
    <w:rsid w:val="008266F6"/>
    <w:rsid w:val="008277EF"/>
    <w:rsid w:val="00827A9D"/>
    <w:rsid w:val="00830179"/>
    <w:rsid w:val="008301F0"/>
    <w:rsid w:val="008306CC"/>
    <w:rsid w:val="008311D2"/>
    <w:rsid w:val="008315CF"/>
    <w:rsid w:val="00831A80"/>
    <w:rsid w:val="008321E2"/>
    <w:rsid w:val="008332C8"/>
    <w:rsid w:val="00833743"/>
    <w:rsid w:val="00833920"/>
    <w:rsid w:val="008340A4"/>
    <w:rsid w:val="0083596F"/>
    <w:rsid w:val="00836799"/>
    <w:rsid w:val="00837028"/>
    <w:rsid w:val="00837131"/>
    <w:rsid w:val="008373D2"/>
    <w:rsid w:val="00837535"/>
    <w:rsid w:val="00837625"/>
    <w:rsid w:val="008379FD"/>
    <w:rsid w:val="008402CC"/>
    <w:rsid w:val="0084050F"/>
    <w:rsid w:val="00841670"/>
    <w:rsid w:val="00841873"/>
    <w:rsid w:val="00841EEC"/>
    <w:rsid w:val="00842220"/>
    <w:rsid w:val="008422C7"/>
    <w:rsid w:val="00842E8E"/>
    <w:rsid w:val="00843CC0"/>
    <w:rsid w:val="00843EBB"/>
    <w:rsid w:val="00844164"/>
    <w:rsid w:val="008444C6"/>
    <w:rsid w:val="00844DF0"/>
    <w:rsid w:val="00845F57"/>
    <w:rsid w:val="00847855"/>
    <w:rsid w:val="00847A76"/>
    <w:rsid w:val="00847C03"/>
    <w:rsid w:val="00847E47"/>
    <w:rsid w:val="00847E89"/>
    <w:rsid w:val="00850CA5"/>
    <w:rsid w:val="00851CCE"/>
    <w:rsid w:val="008521E0"/>
    <w:rsid w:val="008523B9"/>
    <w:rsid w:val="008525B0"/>
    <w:rsid w:val="00853041"/>
    <w:rsid w:val="00853DC8"/>
    <w:rsid w:val="00854059"/>
    <w:rsid w:val="00854581"/>
    <w:rsid w:val="008555BA"/>
    <w:rsid w:val="00855EF9"/>
    <w:rsid w:val="00855F03"/>
    <w:rsid w:val="00856294"/>
    <w:rsid w:val="00860B45"/>
    <w:rsid w:val="00860E37"/>
    <w:rsid w:val="00861911"/>
    <w:rsid w:val="00864165"/>
    <w:rsid w:val="00864EB6"/>
    <w:rsid w:val="00864FED"/>
    <w:rsid w:val="008652A4"/>
    <w:rsid w:val="00865E5D"/>
    <w:rsid w:val="00866088"/>
    <w:rsid w:val="00867CBC"/>
    <w:rsid w:val="00867E02"/>
    <w:rsid w:val="008701BE"/>
    <w:rsid w:val="00870529"/>
    <w:rsid w:val="00870579"/>
    <w:rsid w:val="00871E83"/>
    <w:rsid w:val="008728DA"/>
    <w:rsid w:val="00873A6B"/>
    <w:rsid w:val="008749EF"/>
    <w:rsid w:val="00874E69"/>
    <w:rsid w:val="008751B0"/>
    <w:rsid w:val="008757B2"/>
    <w:rsid w:val="0087669A"/>
    <w:rsid w:val="00876C30"/>
    <w:rsid w:val="00877017"/>
    <w:rsid w:val="008773C0"/>
    <w:rsid w:val="008776E7"/>
    <w:rsid w:val="0087781A"/>
    <w:rsid w:val="00877A6A"/>
    <w:rsid w:val="00877CA7"/>
    <w:rsid w:val="008800DD"/>
    <w:rsid w:val="00880364"/>
    <w:rsid w:val="00880853"/>
    <w:rsid w:val="008811A9"/>
    <w:rsid w:val="008811D4"/>
    <w:rsid w:val="008811E6"/>
    <w:rsid w:val="00881788"/>
    <w:rsid w:val="008821F2"/>
    <w:rsid w:val="00882961"/>
    <w:rsid w:val="00884095"/>
    <w:rsid w:val="008850AC"/>
    <w:rsid w:val="0088529A"/>
    <w:rsid w:val="0088583F"/>
    <w:rsid w:val="008859A2"/>
    <w:rsid w:val="00885A78"/>
    <w:rsid w:val="008867E3"/>
    <w:rsid w:val="008867F1"/>
    <w:rsid w:val="00886AAA"/>
    <w:rsid w:val="00886C4C"/>
    <w:rsid w:val="0088711C"/>
    <w:rsid w:val="0088724D"/>
    <w:rsid w:val="00890422"/>
    <w:rsid w:val="0089054F"/>
    <w:rsid w:val="00890A30"/>
    <w:rsid w:val="00891986"/>
    <w:rsid w:val="00891D0B"/>
    <w:rsid w:val="008926F5"/>
    <w:rsid w:val="00892ECF"/>
    <w:rsid w:val="00892F06"/>
    <w:rsid w:val="00893129"/>
    <w:rsid w:val="00893B41"/>
    <w:rsid w:val="00894285"/>
    <w:rsid w:val="008944A8"/>
    <w:rsid w:val="0089474F"/>
    <w:rsid w:val="008949F5"/>
    <w:rsid w:val="00895A84"/>
    <w:rsid w:val="00895DCB"/>
    <w:rsid w:val="00896317"/>
    <w:rsid w:val="008977D7"/>
    <w:rsid w:val="008A1165"/>
    <w:rsid w:val="008A2470"/>
    <w:rsid w:val="008A25D5"/>
    <w:rsid w:val="008A40AE"/>
    <w:rsid w:val="008A4E19"/>
    <w:rsid w:val="008A5E49"/>
    <w:rsid w:val="008A62A9"/>
    <w:rsid w:val="008A67C5"/>
    <w:rsid w:val="008A6D53"/>
    <w:rsid w:val="008A72A7"/>
    <w:rsid w:val="008B04D6"/>
    <w:rsid w:val="008B1028"/>
    <w:rsid w:val="008B22E1"/>
    <w:rsid w:val="008B266F"/>
    <w:rsid w:val="008B2806"/>
    <w:rsid w:val="008B2887"/>
    <w:rsid w:val="008B3494"/>
    <w:rsid w:val="008B3998"/>
    <w:rsid w:val="008B3C78"/>
    <w:rsid w:val="008B42FC"/>
    <w:rsid w:val="008B4AE9"/>
    <w:rsid w:val="008B4BAE"/>
    <w:rsid w:val="008B4F61"/>
    <w:rsid w:val="008B6024"/>
    <w:rsid w:val="008B60C2"/>
    <w:rsid w:val="008B7192"/>
    <w:rsid w:val="008B77A8"/>
    <w:rsid w:val="008B78DD"/>
    <w:rsid w:val="008C0B64"/>
    <w:rsid w:val="008C1421"/>
    <w:rsid w:val="008C198D"/>
    <w:rsid w:val="008C1BD1"/>
    <w:rsid w:val="008C2845"/>
    <w:rsid w:val="008C30AD"/>
    <w:rsid w:val="008C37D1"/>
    <w:rsid w:val="008C4554"/>
    <w:rsid w:val="008C46BA"/>
    <w:rsid w:val="008C4D5D"/>
    <w:rsid w:val="008C5004"/>
    <w:rsid w:val="008C5245"/>
    <w:rsid w:val="008C537F"/>
    <w:rsid w:val="008C5499"/>
    <w:rsid w:val="008C56DD"/>
    <w:rsid w:val="008C6A7B"/>
    <w:rsid w:val="008C6EE6"/>
    <w:rsid w:val="008D0686"/>
    <w:rsid w:val="008D068E"/>
    <w:rsid w:val="008D0B06"/>
    <w:rsid w:val="008D0F7A"/>
    <w:rsid w:val="008D1219"/>
    <w:rsid w:val="008D18FA"/>
    <w:rsid w:val="008D1B46"/>
    <w:rsid w:val="008D3D87"/>
    <w:rsid w:val="008D496C"/>
    <w:rsid w:val="008D5142"/>
    <w:rsid w:val="008D51BB"/>
    <w:rsid w:val="008D54E7"/>
    <w:rsid w:val="008D59EC"/>
    <w:rsid w:val="008D63BE"/>
    <w:rsid w:val="008E0A33"/>
    <w:rsid w:val="008E0CFF"/>
    <w:rsid w:val="008E2649"/>
    <w:rsid w:val="008E2B4A"/>
    <w:rsid w:val="008E2BFD"/>
    <w:rsid w:val="008E32C1"/>
    <w:rsid w:val="008E3D3D"/>
    <w:rsid w:val="008E5D6B"/>
    <w:rsid w:val="008E60CF"/>
    <w:rsid w:val="008E6788"/>
    <w:rsid w:val="008E689B"/>
    <w:rsid w:val="008E7576"/>
    <w:rsid w:val="008E7624"/>
    <w:rsid w:val="008E76F0"/>
    <w:rsid w:val="008E7C3F"/>
    <w:rsid w:val="008E7F00"/>
    <w:rsid w:val="008F12D3"/>
    <w:rsid w:val="008F13E7"/>
    <w:rsid w:val="008F15FE"/>
    <w:rsid w:val="008F198E"/>
    <w:rsid w:val="008F19D5"/>
    <w:rsid w:val="008F1BA6"/>
    <w:rsid w:val="008F1FA8"/>
    <w:rsid w:val="008F2A94"/>
    <w:rsid w:val="008F2BF6"/>
    <w:rsid w:val="008F30E5"/>
    <w:rsid w:val="008F33CD"/>
    <w:rsid w:val="008F3BF2"/>
    <w:rsid w:val="008F4355"/>
    <w:rsid w:val="008F4378"/>
    <w:rsid w:val="008F4845"/>
    <w:rsid w:val="008F5187"/>
    <w:rsid w:val="008F519A"/>
    <w:rsid w:val="008F5B32"/>
    <w:rsid w:val="008F64ED"/>
    <w:rsid w:val="008F6691"/>
    <w:rsid w:val="008F709C"/>
    <w:rsid w:val="008F773B"/>
    <w:rsid w:val="008F7825"/>
    <w:rsid w:val="00900434"/>
    <w:rsid w:val="00900F5A"/>
    <w:rsid w:val="009017CB"/>
    <w:rsid w:val="00901BE0"/>
    <w:rsid w:val="00901C5C"/>
    <w:rsid w:val="00902319"/>
    <w:rsid w:val="00902442"/>
    <w:rsid w:val="009028B0"/>
    <w:rsid w:val="00902B2D"/>
    <w:rsid w:val="0090312B"/>
    <w:rsid w:val="00903FF7"/>
    <w:rsid w:val="0090434E"/>
    <w:rsid w:val="0090438D"/>
    <w:rsid w:val="00904961"/>
    <w:rsid w:val="00905985"/>
    <w:rsid w:val="00905D4A"/>
    <w:rsid w:val="00905F9D"/>
    <w:rsid w:val="00906CCA"/>
    <w:rsid w:val="0090785F"/>
    <w:rsid w:val="00907F23"/>
    <w:rsid w:val="009104A6"/>
    <w:rsid w:val="00911A7B"/>
    <w:rsid w:val="00911DC5"/>
    <w:rsid w:val="009128C8"/>
    <w:rsid w:val="00912C0A"/>
    <w:rsid w:val="00912C98"/>
    <w:rsid w:val="00913073"/>
    <w:rsid w:val="009146A4"/>
    <w:rsid w:val="00914E03"/>
    <w:rsid w:val="009162BF"/>
    <w:rsid w:val="00916B9B"/>
    <w:rsid w:val="009170AF"/>
    <w:rsid w:val="0091736D"/>
    <w:rsid w:val="009178FA"/>
    <w:rsid w:val="00917BE0"/>
    <w:rsid w:val="00917FA8"/>
    <w:rsid w:val="00920715"/>
    <w:rsid w:val="009229F6"/>
    <w:rsid w:val="0092312E"/>
    <w:rsid w:val="00923BFE"/>
    <w:rsid w:val="00923C45"/>
    <w:rsid w:val="00924C10"/>
    <w:rsid w:val="009255BC"/>
    <w:rsid w:val="00925648"/>
    <w:rsid w:val="00925916"/>
    <w:rsid w:val="00926AD6"/>
    <w:rsid w:val="00926C8B"/>
    <w:rsid w:val="00926FE3"/>
    <w:rsid w:val="009272E2"/>
    <w:rsid w:val="00927A79"/>
    <w:rsid w:val="00927F63"/>
    <w:rsid w:val="00930142"/>
    <w:rsid w:val="00931001"/>
    <w:rsid w:val="00931863"/>
    <w:rsid w:val="0093186F"/>
    <w:rsid w:val="009327E4"/>
    <w:rsid w:val="00932840"/>
    <w:rsid w:val="00932909"/>
    <w:rsid w:val="00933524"/>
    <w:rsid w:val="009338E9"/>
    <w:rsid w:val="009338F5"/>
    <w:rsid w:val="00933A1B"/>
    <w:rsid w:val="00933E25"/>
    <w:rsid w:val="00935362"/>
    <w:rsid w:val="009354F4"/>
    <w:rsid w:val="00935FCD"/>
    <w:rsid w:val="009371BC"/>
    <w:rsid w:val="0093789D"/>
    <w:rsid w:val="00937EFF"/>
    <w:rsid w:val="009409D9"/>
    <w:rsid w:val="0094278D"/>
    <w:rsid w:val="00942B88"/>
    <w:rsid w:val="00943F42"/>
    <w:rsid w:val="00943F9F"/>
    <w:rsid w:val="00944107"/>
    <w:rsid w:val="0094416E"/>
    <w:rsid w:val="00945AD2"/>
    <w:rsid w:val="009464F9"/>
    <w:rsid w:val="0094689B"/>
    <w:rsid w:val="00947154"/>
    <w:rsid w:val="0095025A"/>
    <w:rsid w:val="00950697"/>
    <w:rsid w:val="00951087"/>
    <w:rsid w:val="0095150A"/>
    <w:rsid w:val="009527AE"/>
    <w:rsid w:val="00952B08"/>
    <w:rsid w:val="00952F36"/>
    <w:rsid w:val="0095308A"/>
    <w:rsid w:val="00955AEE"/>
    <w:rsid w:val="009564AE"/>
    <w:rsid w:val="0095677E"/>
    <w:rsid w:val="00956F14"/>
    <w:rsid w:val="00957783"/>
    <w:rsid w:val="00957EFA"/>
    <w:rsid w:val="00957FC8"/>
    <w:rsid w:val="009608E3"/>
    <w:rsid w:val="00960D41"/>
    <w:rsid w:val="00961501"/>
    <w:rsid w:val="00961DB0"/>
    <w:rsid w:val="009620FD"/>
    <w:rsid w:val="0096247A"/>
    <w:rsid w:val="00962AF0"/>
    <w:rsid w:val="00962E61"/>
    <w:rsid w:val="009634C4"/>
    <w:rsid w:val="0096355C"/>
    <w:rsid w:val="00963BC3"/>
    <w:rsid w:val="00964BFB"/>
    <w:rsid w:val="00964F7E"/>
    <w:rsid w:val="00965210"/>
    <w:rsid w:val="0096535D"/>
    <w:rsid w:val="00965EFF"/>
    <w:rsid w:val="00965F4B"/>
    <w:rsid w:val="009664C0"/>
    <w:rsid w:val="00966C2F"/>
    <w:rsid w:val="00967720"/>
    <w:rsid w:val="00967A8E"/>
    <w:rsid w:val="00967CE7"/>
    <w:rsid w:val="009704F2"/>
    <w:rsid w:val="00970CB3"/>
    <w:rsid w:val="00970F8A"/>
    <w:rsid w:val="00971211"/>
    <w:rsid w:val="00971F22"/>
    <w:rsid w:val="00971FB5"/>
    <w:rsid w:val="009725F4"/>
    <w:rsid w:val="00972BDE"/>
    <w:rsid w:val="00972D2A"/>
    <w:rsid w:val="009736AF"/>
    <w:rsid w:val="009737BA"/>
    <w:rsid w:val="009741CB"/>
    <w:rsid w:val="0097435C"/>
    <w:rsid w:val="009758EF"/>
    <w:rsid w:val="00975CC5"/>
    <w:rsid w:val="00976328"/>
    <w:rsid w:val="00976B4E"/>
    <w:rsid w:val="00976BD3"/>
    <w:rsid w:val="00977135"/>
    <w:rsid w:val="00977444"/>
    <w:rsid w:val="009778E4"/>
    <w:rsid w:val="00981420"/>
    <w:rsid w:val="0098209C"/>
    <w:rsid w:val="009824B0"/>
    <w:rsid w:val="009839F4"/>
    <w:rsid w:val="00984458"/>
    <w:rsid w:val="00984EA6"/>
    <w:rsid w:val="00985187"/>
    <w:rsid w:val="00985283"/>
    <w:rsid w:val="009852CE"/>
    <w:rsid w:val="0098543C"/>
    <w:rsid w:val="009854DE"/>
    <w:rsid w:val="009856C5"/>
    <w:rsid w:val="009866E5"/>
    <w:rsid w:val="00986EB8"/>
    <w:rsid w:val="009872B5"/>
    <w:rsid w:val="009872FF"/>
    <w:rsid w:val="00987322"/>
    <w:rsid w:val="00987543"/>
    <w:rsid w:val="00990400"/>
    <w:rsid w:val="0099049E"/>
    <w:rsid w:val="0099056B"/>
    <w:rsid w:val="0099097C"/>
    <w:rsid w:val="00990FB3"/>
    <w:rsid w:val="0099106E"/>
    <w:rsid w:val="009910F0"/>
    <w:rsid w:val="009912F7"/>
    <w:rsid w:val="00991497"/>
    <w:rsid w:val="009918FB"/>
    <w:rsid w:val="00991F09"/>
    <w:rsid w:val="0099204D"/>
    <w:rsid w:val="009926F2"/>
    <w:rsid w:val="00992EAE"/>
    <w:rsid w:val="00993211"/>
    <w:rsid w:val="0099385F"/>
    <w:rsid w:val="00993990"/>
    <w:rsid w:val="00993B1B"/>
    <w:rsid w:val="00994862"/>
    <w:rsid w:val="00994AB4"/>
    <w:rsid w:val="00994E0E"/>
    <w:rsid w:val="0099628F"/>
    <w:rsid w:val="0099727D"/>
    <w:rsid w:val="009A01FF"/>
    <w:rsid w:val="009A09AC"/>
    <w:rsid w:val="009A0F3B"/>
    <w:rsid w:val="009A1CC4"/>
    <w:rsid w:val="009A315B"/>
    <w:rsid w:val="009A37FB"/>
    <w:rsid w:val="009A483B"/>
    <w:rsid w:val="009A4846"/>
    <w:rsid w:val="009A57DD"/>
    <w:rsid w:val="009A59ED"/>
    <w:rsid w:val="009A5CAA"/>
    <w:rsid w:val="009A5E09"/>
    <w:rsid w:val="009A6437"/>
    <w:rsid w:val="009A653B"/>
    <w:rsid w:val="009A6812"/>
    <w:rsid w:val="009A6B24"/>
    <w:rsid w:val="009A6FF4"/>
    <w:rsid w:val="009A7237"/>
    <w:rsid w:val="009A72C7"/>
    <w:rsid w:val="009A7AEC"/>
    <w:rsid w:val="009B0071"/>
    <w:rsid w:val="009B077E"/>
    <w:rsid w:val="009B0897"/>
    <w:rsid w:val="009B0AE1"/>
    <w:rsid w:val="009B0BB0"/>
    <w:rsid w:val="009B0C72"/>
    <w:rsid w:val="009B214A"/>
    <w:rsid w:val="009B2280"/>
    <w:rsid w:val="009B267F"/>
    <w:rsid w:val="009B2685"/>
    <w:rsid w:val="009B30EF"/>
    <w:rsid w:val="009B3CD8"/>
    <w:rsid w:val="009B3F5B"/>
    <w:rsid w:val="009B4308"/>
    <w:rsid w:val="009B442F"/>
    <w:rsid w:val="009B487D"/>
    <w:rsid w:val="009B4A4D"/>
    <w:rsid w:val="009B5F80"/>
    <w:rsid w:val="009B74E7"/>
    <w:rsid w:val="009B793B"/>
    <w:rsid w:val="009C005E"/>
    <w:rsid w:val="009C02BB"/>
    <w:rsid w:val="009C188D"/>
    <w:rsid w:val="009C1A10"/>
    <w:rsid w:val="009C211A"/>
    <w:rsid w:val="009C2771"/>
    <w:rsid w:val="009C2B35"/>
    <w:rsid w:val="009C2D55"/>
    <w:rsid w:val="009C343F"/>
    <w:rsid w:val="009C3568"/>
    <w:rsid w:val="009C3A95"/>
    <w:rsid w:val="009C4041"/>
    <w:rsid w:val="009C4773"/>
    <w:rsid w:val="009C62DD"/>
    <w:rsid w:val="009C6D33"/>
    <w:rsid w:val="009C6E5F"/>
    <w:rsid w:val="009D005F"/>
    <w:rsid w:val="009D0852"/>
    <w:rsid w:val="009D0B66"/>
    <w:rsid w:val="009D139F"/>
    <w:rsid w:val="009D18F6"/>
    <w:rsid w:val="009D1FBF"/>
    <w:rsid w:val="009D26CA"/>
    <w:rsid w:val="009D3A44"/>
    <w:rsid w:val="009D3EC8"/>
    <w:rsid w:val="009D3EE5"/>
    <w:rsid w:val="009D3FC5"/>
    <w:rsid w:val="009D6316"/>
    <w:rsid w:val="009D725A"/>
    <w:rsid w:val="009D79DE"/>
    <w:rsid w:val="009E0C59"/>
    <w:rsid w:val="009E0C69"/>
    <w:rsid w:val="009E1BBE"/>
    <w:rsid w:val="009E1D07"/>
    <w:rsid w:val="009E244E"/>
    <w:rsid w:val="009E399C"/>
    <w:rsid w:val="009E3C37"/>
    <w:rsid w:val="009E4118"/>
    <w:rsid w:val="009E416C"/>
    <w:rsid w:val="009E43C1"/>
    <w:rsid w:val="009E5127"/>
    <w:rsid w:val="009E5588"/>
    <w:rsid w:val="009E61E1"/>
    <w:rsid w:val="009E63EC"/>
    <w:rsid w:val="009E66BD"/>
    <w:rsid w:val="009E6E4F"/>
    <w:rsid w:val="009E7E95"/>
    <w:rsid w:val="009F01B0"/>
    <w:rsid w:val="009F0B1F"/>
    <w:rsid w:val="009F116F"/>
    <w:rsid w:val="009F1DBB"/>
    <w:rsid w:val="009F329E"/>
    <w:rsid w:val="009F3467"/>
    <w:rsid w:val="009F369A"/>
    <w:rsid w:val="009F392F"/>
    <w:rsid w:val="009F426A"/>
    <w:rsid w:val="009F5BCD"/>
    <w:rsid w:val="009F629B"/>
    <w:rsid w:val="009F6494"/>
    <w:rsid w:val="009F672D"/>
    <w:rsid w:val="009F7490"/>
    <w:rsid w:val="009F75A9"/>
    <w:rsid w:val="009F7D87"/>
    <w:rsid w:val="009F7ED3"/>
    <w:rsid w:val="00A00659"/>
    <w:rsid w:val="00A00AE7"/>
    <w:rsid w:val="00A020B7"/>
    <w:rsid w:val="00A0211D"/>
    <w:rsid w:val="00A022F4"/>
    <w:rsid w:val="00A02512"/>
    <w:rsid w:val="00A02A77"/>
    <w:rsid w:val="00A02C93"/>
    <w:rsid w:val="00A03046"/>
    <w:rsid w:val="00A03607"/>
    <w:rsid w:val="00A03693"/>
    <w:rsid w:val="00A03963"/>
    <w:rsid w:val="00A03CAE"/>
    <w:rsid w:val="00A03D7E"/>
    <w:rsid w:val="00A047FF"/>
    <w:rsid w:val="00A04FEF"/>
    <w:rsid w:val="00A05DD2"/>
    <w:rsid w:val="00A062DF"/>
    <w:rsid w:val="00A068BC"/>
    <w:rsid w:val="00A0705F"/>
    <w:rsid w:val="00A074A6"/>
    <w:rsid w:val="00A105FD"/>
    <w:rsid w:val="00A111D4"/>
    <w:rsid w:val="00A118F7"/>
    <w:rsid w:val="00A11993"/>
    <w:rsid w:val="00A122CD"/>
    <w:rsid w:val="00A12A32"/>
    <w:rsid w:val="00A12C03"/>
    <w:rsid w:val="00A1322D"/>
    <w:rsid w:val="00A13D1A"/>
    <w:rsid w:val="00A14206"/>
    <w:rsid w:val="00A14248"/>
    <w:rsid w:val="00A14947"/>
    <w:rsid w:val="00A15279"/>
    <w:rsid w:val="00A154D7"/>
    <w:rsid w:val="00A15FF9"/>
    <w:rsid w:val="00A166AD"/>
    <w:rsid w:val="00A17B1A"/>
    <w:rsid w:val="00A2091E"/>
    <w:rsid w:val="00A209E4"/>
    <w:rsid w:val="00A220B8"/>
    <w:rsid w:val="00A221B4"/>
    <w:rsid w:val="00A22212"/>
    <w:rsid w:val="00A23DC5"/>
    <w:rsid w:val="00A254BB"/>
    <w:rsid w:val="00A255E7"/>
    <w:rsid w:val="00A25896"/>
    <w:rsid w:val="00A26A5E"/>
    <w:rsid w:val="00A26D83"/>
    <w:rsid w:val="00A26DA0"/>
    <w:rsid w:val="00A26F22"/>
    <w:rsid w:val="00A27B7D"/>
    <w:rsid w:val="00A27C6D"/>
    <w:rsid w:val="00A27CF4"/>
    <w:rsid w:val="00A309AE"/>
    <w:rsid w:val="00A30A89"/>
    <w:rsid w:val="00A313D9"/>
    <w:rsid w:val="00A31EA1"/>
    <w:rsid w:val="00A3297D"/>
    <w:rsid w:val="00A34028"/>
    <w:rsid w:val="00A35568"/>
    <w:rsid w:val="00A35D59"/>
    <w:rsid w:val="00A37056"/>
    <w:rsid w:val="00A373CF"/>
    <w:rsid w:val="00A37FF2"/>
    <w:rsid w:val="00A403B6"/>
    <w:rsid w:val="00A41398"/>
    <w:rsid w:val="00A4184D"/>
    <w:rsid w:val="00A42691"/>
    <w:rsid w:val="00A42DF8"/>
    <w:rsid w:val="00A4358F"/>
    <w:rsid w:val="00A4378F"/>
    <w:rsid w:val="00A43D38"/>
    <w:rsid w:val="00A43D51"/>
    <w:rsid w:val="00A441C1"/>
    <w:rsid w:val="00A448CB"/>
    <w:rsid w:val="00A44E62"/>
    <w:rsid w:val="00A44FA3"/>
    <w:rsid w:val="00A4572D"/>
    <w:rsid w:val="00A460D8"/>
    <w:rsid w:val="00A4656D"/>
    <w:rsid w:val="00A4687A"/>
    <w:rsid w:val="00A46F67"/>
    <w:rsid w:val="00A4784B"/>
    <w:rsid w:val="00A47969"/>
    <w:rsid w:val="00A50FF1"/>
    <w:rsid w:val="00A513A3"/>
    <w:rsid w:val="00A5145B"/>
    <w:rsid w:val="00A51C6D"/>
    <w:rsid w:val="00A54049"/>
    <w:rsid w:val="00A54AA1"/>
    <w:rsid w:val="00A554CA"/>
    <w:rsid w:val="00A554D1"/>
    <w:rsid w:val="00A55F7E"/>
    <w:rsid w:val="00A568FF"/>
    <w:rsid w:val="00A57538"/>
    <w:rsid w:val="00A57D4F"/>
    <w:rsid w:val="00A6038D"/>
    <w:rsid w:val="00A61496"/>
    <w:rsid w:val="00A61833"/>
    <w:rsid w:val="00A61DBA"/>
    <w:rsid w:val="00A621B3"/>
    <w:rsid w:val="00A624C6"/>
    <w:rsid w:val="00A6276A"/>
    <w:rsid w:val="00A637B1"/>
    <w:rsid w:val="00A63CEC"/>
    <w:rsid w:val="00A64090"/>
    <w:rsid w:val="00A64684"/>
    <w:rsid w:val="00A6563E"/>
    <w:rsid w:val="00A65A8D"/>
    <w:rsid w:val="00A7031E"/>
    <w:rsid w:val="00A70A5E"/>
    <w:rsid w:val="00A71BBF"/>
    <w:rsid w:val="00A71CA1"/>
    <w:rsid w:val="00A725D2"/>
    <w:rsid w:val="00A728B1"/>
    <w:rsid w:val="00A733DB"/>
    <w:rsid w:val="00A73985"/>
    <w:rsid w:val="00A73A90"/>
    <w:rsid w:val="00A7612A"/>
    <w:rsid w:val="00A763DE"/>
    <w:rsid w:val="00A7743E"/>
    <w:rsid w:val="00A80059"/>
    <w:rsid w:val="00A803D6"/>
    <w:rsid w:val="00A804E4"/>
    <w:rsid w:val="00A81282"/>
    <w:rsid w:val="00A818D4"/>
    <w:rsid w:val="00A8469E"/>
    <w:rsid w:val="00A848BA"/>
    <w:rsid w:val="00A84E97"/>
    <w:rsid w:val="00A85567"/>
    <w:rsid w:val="00A855D3"/>
    <w:rsid w:val="00A85789"/>
    <w:rsid w:val="00A859CE"/>
    <w:rsid w:val="00A861A0"/>
    <w:rsid w:val="00A86724"/>
    <w:rsid w:val="00A86F14"/>
    <w:rsid w:val="00A86F5C"/>
    <w:rsid w:val="00A8713F"/>
    <w:rsid w:val="00A87ACF"/>
    <w:rsid w:val="00A909A0"/>
    <w:rsid w:val="00A90A1C"/>
    <w:rsid w:val="00A90A79"/>
    <w:rsid w:val="00A90D9E"/>
    <w:rsid w:val="00A91167"/>
    <w:rsid w:val="00A91547"/>
    <w:rsid w:val="00A9171C"/>
    <w:rsid w:val="00A92FFD"/>
    <w:rsid w:val="00A931E5"/>
    <w:rsid w:val="00A93DA4"/>
    <w:rsid w:val="00A941A7"/>
    <w:rsid w:val="00A94608"/>
    <w:rsid w:val="00A94956"/>
    <w:rsid w:val="00A95263"/>
    <w:rsid w:val="00A95975"/>
    <w:rsid w:val="00A96EFB"/>
    <w:rsid w:val="00A9708D"/>
    <w:rsid w:val="00A97B5C"/>
    <w:rsid w:val="00AA0ADD"/>
    <w:rsid w:val="00AA27CE"/>
    <w:rsid w:val="00AA2A3C"/>
    <w:rsid w:val="00AA2C17"/>
    <w:rsid w:val="00AA2EBE"/>
    <w:rsid w:val="00AA34EC"/>
    <w:rsid w:val="00AA4172"/>
    <w:rsid w:val="00AA457C"/>
    <w:rsid w:val="00AA48D3"/>
    <w:rsid w:val="00AA4F7B"/>
    <w:rsid w:val="00AA7299"/>
    <w:rsid w:val="00AA7F09"/>
    <w:rsid w:val="00AB01B5"/>
    <w:rsid w:val="00AB1452"/>
    <w:rsid w:val="00AB1914"/>
    <w:rsid w:val="00AB1EB9"/>
    <w:rsid w:val="00AB30E9"/>
    <w:rsid w:val="00AB48BB"/>
    <w:rsid w:val="00AB5330"/>
    <w:rsid w:val="00AB5578"/>
    <w:rsid w:val="00AB588D"/>
    <w:rsid w:val="00AB6191"/>
    <w:rsid w:val="00AB6485"/>
    <w:rsid w:val="00AB662F"/>
    <w:rsid w:val="00AB690E"/>
    <w:rsid w:val="00AB6CD3"/>
    <w:rsid w:val="00AB6DEA"/>
    <w:rsid w:val="00AB7747"/>
    <w:rsid w:val="00AC07F4"/>
    <w:rsid w:val="00AC091D"/>
    <w:rsid w:val="00AC161A"/>
    <w:rsid w:val="00AC2532"/>
    <w:rsid w:val="00AC336B"/>
    <w:rsid w:val="00AC3483"/>
    <w:rsid w:val="00AC4419"/>
    <w:rsid w:val="00AC5818"/>
    <w:rsid w:val="00AC71E8"/>
    <w:rsid w:val="00AC7801"/>
    <w:rsid w:val="00AD03F1"/>
    <w:rsid w:val="00AD0C48"/>
    <w:rsid w:val="00AD1507"/>
    <w:rsid w:val="00AD15A6"/>
    <w:rsid w:val="00AD1DE8"/>
    <w:rsid w:val="00AD1F34"/>
    <w:rsid w:val="00AD21C3"/>
    <w:rsid w:val="00AD253B"/>
    <w:rsid w:val="00AD418A"/>
    <w:rsid w:val="00AD4EFF"/>
    <w:rsid w:val="00AD52E6"/>
    <w:rsid w:val="00AD5941"/>
    <w:rsid w:val="00AD5A70"/>
    <w:rsid w:val="00AD694B"/>
    <w:rsid w:val="00AD738B"/>
    <w:rsid w:val="00AD751F"/>
    <w:rsid w:val="00AD777F"/>
    <w:rsid w:val="00AD7A41"/>
    <w:rsid w:val="00AE0353"/>
    <w:rsid w:val="00AE084A"/>
    <w:rsid w:val="00AE08CC"/>
    <w:rsid w:val="00AE115A"/>
    <w:rsid w:val="00AE14B1"/>
    <w:rsid w:val="00AE1BF4"/>
    <w:rsid w:val="00AE2D71"/>
    <w:rsid w:val="00AE2E5D"/>
    <w:rsid w:val="00AE3B01"/>
    <w:rsid w:val="00AE3C5C"/>
    <w:rsid w:val="00AE4F4B"/>
    <w:rsid w:val="00AE5D73"/>
    <w:rsid w:val="00AE5D97"/>
    <w:rsid w:val="00AE5DDF"/>
    <w:rsid w:val="00AE5E46"/>
    <w:rsid w:val="00AE66DF"/>
    <w:rsid w:val="00AE6794"/>
    <w:rsid w:val="00AE7691"/>
    <w:rsid w:val="00AF00B7"/>
    <w:rsid w:val="00AF042F"/>
    <w:rsid w:val="00AF1516"/>
    <w:rsid w:val="00AF2F20"/>
    <w:rsid w:val="00AF349B"/>
    <w:rsid w:val="00AF3D9B"/>
    <w:rsid w:val="00AF5034"/>
    <w:rsid w:val="00AF59FA"/>
    <w:rsid w:val="00AF6B89"/>
    <w:rsid w:val="00AF7790"/>
    <w:rsid w:val="00AF7942"/>
    <w:rsid w:val="00AF7B71"/>
    <w:rsid w:val="00AF7B9D"/>
    <w:rsid w:val="00B00231"/>
    <w:rsid w:val="00B0057D"/>
    <w:rsid w:val="00B00FB4"/>
    <w:rsid w:val="00B01110"/>
    <w:rsid w:val="00B02262"/>
    <w:rsid w:val="00B0354E"/>
    <w:rsid w:val="00B03871"/>
    <w:rsid w:val="00B03CEC"/>
    <w:rsid w:val="00B040FF"/>
    <w:rsid w:val="00B04281"/>
    <w:rsid w:val="00B044AC"/>
    <w:rsid w:val="00B04BFC"/>
    <w:rsid w:val="00B05FF7"/>
    <w:rsid w:val="00B06191"/>
    <w:rsid w:val="00B061A6"/>
    <w:rsid w:val="00B07207"/>
    <w:rsid w:val="00B076DB"/>
    <w:rsid w:val="00B0787F"/>
    <w:rsid w:val="00B10AF8"/>
    <w:rsid w:val="00B10C31"/>
    <w:rsid w:val="00B117D7"/>
    <w:rsid w:val="00B12004"/>
    <w:rsid w:val="00B1209F"/>
    <w:rsid w:val="00B121CB"/>
    <w:rsid w:val="00B12AD0"/>
    <w:rsid w:val="00B13E40"/>
    <w:rsid w:val="00B14424"/>
    <w:rsid w:val="00B14997"/>
    <w:rsid w:val="00B14E8C"/>
    <w:rsid w:val="00B15337"/>
    <w:rsid w:val="00B159F3"/>
    <w:rsid w:val="00B15ACD"/>
    <w:rsid w:val="00B21E14"/>
    <w:rsid w:val="00B22B19"/>
    <w:rsid w:val="00B238B6"/>
    <w:rsid w:val="00B23949"/>
    <w:rsid w:val="00B23A1B"/>
    <w:rsid w:val="00B23D9A"/>
    <w:rsid w:val="00B243FA"/>
    <w:rsid w:val="00B24F30"/>
    <w:rsid w:val="00B250DA"/>
    <w:rsid w:val="00B2532A"/>
    <w:rsid w:val="00B25420"/>
    <w:rsid w:val="00B25874"/>
    <w:rsid w:val="00B25F5E"/>
    <w:rsid w:val="00B271DC"/>
    <w:rsid w:val="00B27AFC"/>
    <w:rsid w:val="00B27BED"/>
    <w:rsid w:val="00B27DFE"/>
    <w:rsid w:val="00B30046"/>
    <w:rsid w:val="00B31568"/>
    <w:rsid w:val="00B3156C"/>
    <w:rsid w:val="00B31ABF"/>
    <w:rsid w:val="00B335AE"/>
    <w:rsid w:val="00B34855"/>
    <w:rsid w:val="00B354AE"/>
    <w:rsid w:val="00B35C5F"/>
    <w:rsid w:val="00B3615A"/>
    <w:rsid w:val="00B365CB"/>
    <w:rsid w:val="00B36E9F"/>
    <w:rsid w:val="00B371C9"/>
    <w:rsid w:val="00B37CE1"/>
    <w:rsid w:val="00B40776"/>
    <w:rsid w:val="00B40ACF"/>
    <w:rsid w:val="00B40B1E"/>
    <w:rsid w:val="00B40E8C"/>
    <w:rsid w:val="00B41C1B"/>
    <w:rsid w:val="00B41C24"/>
    <w:rsid w:val="00B41EB9"/>
    <w:rsid w:val="00B42012"/>
    <w:rsid w:val="00B42956"/>
    <w:rsid w:val="00B43565"/>
    <w:rsid w:val="00B43C37"/>
    <w:rsid w:val="00B43C49"/>
    <w:rsid w:val="00B43EF6"/>
    <w:rsid w:val="00B44CFD"/>
    <w:rsid w:val="00B46B9E"/>
    <w:rsid w:val="00B46BAA"/>
    <w:rsid w:val="00B46DFF"/>
    <w:rsid w:val="00B47D55"/>
    <w:rsid w:val="00B500A9"/>
    <w:rsid w:val="00B50B5F"/>
    <w:rsid w:val="00B50C7B"/>
    <w:rsid w:val="00B50CF7"/>
    <w:rsid w:val="00B50F00"/>
    <w:rsid w:val="00B51249"/>
    <w:rsid w:val="00B51525"/>
    <w:rsid w:val="00B524CE"/>
    <w:rsid w:val="00B52EBA"/>
    <w:rsid w:val="00B54128"/>
    <w:rsid w:val="00B545A1"/>
    <w:rsid w:val="00B55826"/>
    <w:rsid w:val="00B55F7F"/>
    <w:rsid w:val="00B561ED"/>
    <w:rsid w:val="00B57D53"/>
    <w:rsid w:val="00B60146"/>
    <w:rsid w:val="00B602DC"/>
    <w:rsid w:val="00B60426"/>
    <w:rsid w:val="00B605F2"/>
    <w:rsid w:val="00B611E0"/>
    <w:rsid w:val="00B622DD"/>
    <w:rsid w:val="00B63522"/>
    <w:rsid w:val="00B642B6"/>
    <w:rsid w:val="00B64682"/>
    <w:rsid w:val="00B64DD7"/>
    <w:rsid w:val="00B66AC0"/>
    <w:rsid w:val="00B66C0F"/>
    <w:rsid w:val="00B671C4"/>
    <w:rsid w:val="00B67599"/>
    <w:rsid w:val="00B70331"/>
    <w:rsid w:val="00B714FD"/>
    <w:rsid w:val="00B718BE"/>
    <w:rsid w:val="00B73AAF"/>
    <w:rsid w:val="00B73AB3"/>
    <w:rsid w:val="00B747A1"/>
    <w:rsid w:val="00B7568D"/>
    <w:rsid w:val="00B76055"/>
    <w:rsid w:val="00B76BF4"/>
    <w:rsid w:val="00B76DB0"/>
    <w:rsid w:val="00B76F1D"/>
    <w:rsid w:val="00B7725D"/>
    <w:rsid w:val="00B7736F"/>
    <w:rsid w:val="00B77EC8"/>
    <w:rsid w:val="00B8083E"/>
    <w:rsid w:val="00B80C5B"/>
    <w:rsid w:val="00B81000"/>
    <w:rsid w:val="00B81405"/>
    <w:rsid w:val="00B82C4E"/>
    <w:rsid w:val="00B83560"/>
    <w:rsid w:val="00B843B5"/>
    <w:rsid w:val="00B85308"/>
    <w:rsid w:val="00B85347"/>
    <w:rsid w:val="00B85402"/>
    <w:rsid w:val="00B872AD"/>
    <w:rsid w:val="00B872F1"/>
    <w:rsid w:val="00B8778B"/>
    <w:rsid w:val="00B91023"/>
    <w:rsid w:val="00B91279"/>
    <w:rsid w:val="00B91AC0"/>
    <w:rsid w:val="00B91AE5"/>
    <w:rsid w:val="00B92A19"/>
    <w:rsid w:val="00B92C8E"/>
    <w:rsid w:val="00B92E7D"/>
    <w:rsid w:val="00B930FD"/>
    <w:rsid w:val="00B939BC"/>
    <w:rsid w:val="00B94E23"/>
    <w:rsid w:val="00B9544C"/>
    <w:rsid w:val="00B95981"/>
    <w:rsid w:val="00BA0A05"/>
    <w:rsid w:val="00BA0B4A"/>
    <w:rsid w:val="00BA1189"/>
    <w:rsid w:val="00BA26DC"/>
    <w:rsid w:val="00BA29E9"/>
    <w:rsid w:val="00BA32C7"/>
    <w:rsid w:val="00BA46F8"/>
    <w:rsid w:val="00BA5CE4"/>
    <w:rsid w:val="00BA5E34"/>
    <w:rsid w:val="00BA693E"/>
    <w:rsid w:val="00BB0A49"/>
    <w:rsid w:val="00BB35B7"/>
    <w:rsid w:val="00BB3618"/>
    <w:rsid w:val="00BB4937"/>
    <w:rsid w:val="00BB4DF3"/>
    <w:rsid w:val="00BB5077"/>
    <w:rsid w:val="00BB526A"/>
    <w:rsid w:val="00BB7B35"/>
    <w:rsid w:val="00BB7E49"/>
    <w:rsid w:val="00BC0C9E"/>
    <w:rsid w:val="00BC282B"/>
    <w:rsid w:val="00BC319F"/>
    <w:rsid w:val="00BC32DC"/>
    <w:rsid w:val="00BC36D9"/>
    <w:rsid w:val="00BC39B5"/>
    <w:rsid w:val="00BC4918"/>
    <w:rsid w:val="00BC521C"/>
    <w:rsid w:val="00BC5239"/>
    <w:rsid w:val="00BC5A92"/>
    <w:rsid w:val="00BC683A"/>
    <w:rsid w:val="00BC7A9C"/>
    <w:rsid w:val="00BD0571"/>
    <w:rsid w:val="00BD097E"/>
    <w:rsid w:val="00BD0D50"/>
    <w:rsid w:val="00BD11FD"/>
    <w:rsid w:val="00BD1564"/>
    <w:rsid w:val="00BD1855"/>
    <w:rsid w:val="00BD1B51"/>
    <w:rsid w:val="00BD207A"/>
    <w:rsid w:val="00BD23CA"/>
    <w:rsid w:val="00BD2882"/>
    <w:rsid w:val="00BD2FA2"/>
    <w:rsid w:val="00BD3385"/>
    <w:rsid w:val="00BD4730"/>
    <w:rsid w:val="00BD47F6"/>
    <w:rsid w:val="00BD4C0A"/>
    <w:rsid w:val="00BD5075"/>
    <w:rsid w:val="00BD5985"/>
    <w:rsid w:val="00BD65BF"/>
    <w:rsid w:val="00BD6999"/>
    <w:rsid w:val="00BD6A1D"/>
    <w:rsid w:val="00BD6AF7"/>
    <w:rsid w:val="00BD6DC9"/>
    <w:rsid w:val="00BE165C"/>
    <w:rsid w:val="00BE2200"/>
    <w:rsid w:val="00BE2304"/>
    <w:rsid w:val="00BE2992"/>
    <w:rsid w:val="00BE300B"/>
    <w:rsid w:val="00BE312D"/>
    <w:rsid w:val="00BE3603"/>
    <w:rsid w:val="00BE3FCA"/>
    <w:rsid w:val="00BE40CB"/>
    <w:rsid w:val="00BE434B"/>
    <w:rsid w:val="00BE5133"/>
    <w:rsid w:val="00BE5DFA"/>
    <w:rsid w:val="00BE6038"/>
    <w:rsid w:val="00BE65F5"/>
    <w:rsid w:val="00BE75E6"/>
    <w:rsid w:val="00BE7BC8"/>
    <w:rsid w:val="00BF096B"/>
    <w:rsid w:val="00BF0A62"/>
    <w:rsid w:val="00BF1145"/>
    <w:rsid w:val="00BF1A71"/>
    <w:rsid w:val="00BF2299"/>
    <w:rsid w:val="00BF2A93"/>
    <w:rsid w:val="00BF3522"/>
    <w:rsid w:val="00BF3621"/>
    <w:rsid w:val="00BF3D1B"/>
    <w:rsid w:val="00BF44AB"/>
    <w:rsid w:val="00BF4CEA"/>
    <w:rsid w:val="00BF5459"/>
    <w:rsid w:val="00BF626A"/>
    <w:rsid w:val="00BF7FC1"/>
    <w:rsid w:val="00C01205"/>
    <w:rsid w:val="00C012D1"/>
    <w:rsid w:val="00C014FF"/>
    <w:rsid w:val="00C0250A"/>
    <w:rsid w:val="00C02780"/>
    <w:rsid w:val="00C028BC"/>
    <w:rsid w:val="00C02FD1"/>
    <w:rsid w:val="00C03BE1"/>
    <w:rsid w:val="00C03D66"/>
    <w:rsid w:val="00C04141"/>
    <w:rsid w:val="00C05420"/>
    <w:rsid w:val="00C05719"/>
    <w:rsid w:val="00C103FC"/>
    <w:rsid w:val="00C10578"/>
    <w:rsid w:val="00C10EBA"/>
    <w:rsid w:val="00C1220D"/>
    <w:rsid w:val="00C13001"/>
    <w:rsid w:val="00C14171"/>
    <w:rsid w:val="00C15332"/>
    <w:rsid w:val="00C15F1A"/>
    <w:rsid w:val="00C1629A"/>
    <w:rsid w:val="00C168D9"/>
    <w:rsid w:val="00C17422"/>
    <w:rsid w:val="00C17A27"/>
    <w:rsid w:val="00C17D62"/>
    <w:rsid w:val="00C17E88"/>
    <w:rsid w:val="00C207E4"/>
    <w:rsid w:val="00C213D9"/>
    <w:rsid w:val="00C21894"/>
    <w:rsid w:val="00C21B4C"/>
    <w:rsid w:val="00C21FDC"/>
    <w:rsid w:val="00C228C7"/>
    <w:rsid w:val="00C234F7"/>
    <w:rsid w:val="00C23E56"/>
    <w:rsid w:val="00C24A58"/>
    <w:rsid w:val="00C24AD7"/>
    <w:rsid w:val="00C24EE7"/>
    <w:rsid w:val="00C24F44"/>
    <w:rsid w:val="00C253C8"/>
    <w:rsid w:val="00C2596A"/>
    <w:rsid w:val="00C25DA1"/>
    <w:rsid w:val="00C26554"/>
    <w:rsid w:val="00C271BE"/>
    <w:rsid w:val="00C27425"/>
    <w:rsid w:val="00C3024B"/>
    <w:rsid w:val="00C30929"/>
    <w:rsid w:val="00C30C3E"/>
    <w:rsid w:val="00C31FA2"/>
    <w:rsid w:val="00C328FE"/>
    <w:rsid w:val="00C33023"/>
    <w:rsid w:val="00C33A05"/>
    <w:rsid w:val="00C34E13"/>
    <w:rsid w:val="00C3628D"/>
    <w:rsid w:val="00C37285"/>
    <w:rsid w:val="00C37360"/>
    <w:rsid w:val="00C373B8"/>
    <w:rsid w:val="00C4028F"/>
    <w:rsid w:val="00C4054E"/>
    <w:rsid w:val="00C405D1"/>
    <w:rsid w:val="00C415F9"/>
    <w:rsid w:val="00C41610"/>
    <w:rsid w:val="00C41A9D"/>
    <w:rsid w:val="00C41BB9"/>
    <w:rsid w:val="00C41CE6"/>
    <w:rsid w:val="00C421FA"/>
    <w:rsid w:val="00C42500"/>
    <w:rsid w:val="00C437A0"/>
    <w:rsid w:val="00C43A51"/>
    <w:rsid w:val="00C43F02"/>
    <w:rsid w:val="00C4409D"/>
    <w:rsid w:val="00C455BE"/>
    <w:rsid w:val="00C45D16"/>
    <w:rsid w:val="00C466B9"/>
    <w:rsid w:val="00C46996"/>
    <w:rsid w:val="00C4725A"/>
    <w:rsid w:val="00C4761E"/>
    <w:rsid w:val="00C507FE"/>
    <w:rsid w:val="00C510EB"/>
    <w:rsid w:val="00C51D86"/>
    <w:rsid w:val="00C51E5F"/>
    <w:rsid w:val="00C51FCC"/>
    <w:rsid w:val="00C52452"/>
    <w:rsid w:val="00C54A46"/>
    <w:rsid w:val="00C54EBF"/>
    <w:rsid w:val="00C5578A"/>
    <w:rsid w:val="00C55FFF"/>
    <w:rsid w:val="00C567F3"/>
    <w:rsid w:val="00C572D6"/>
    <w:rsid w:val="00C57E0D"/>
    <w:rsid w:val="00C57E6D"/>
    <w:rsid w:val="00C610F2"/>
    <w:rsid w:val="00C61132"/>
    <w:rsid w:val="00C6120E"/>
    <w:rsid w:val="00C61E4B"/>
    <w:rsid w:val="00C62500"/>
    <w:rsid w:val="00C629D9"/>
    <w:rsid w:val="00C62E3A"/>
    <w:rsid w:val="00C63CF2"/>
    <w:rsid w:val="00C6417B"/>
    <w:rsid w:val="00C64503"/>
    <w:rsid w:val="00C64A1F"/>
    <w:rsid w:val="00C64BFF"/>
    <w:rsid w:val="00C654CA"/>
    <w:rsid w:val="00C65B83"/>
    <w:rsid w:val="00C65CD8"/>
    <w:rsid w:val="00C65F3C"/>
    <w:rsid w:val="00C66A83"/>
    <w:rsid w:val="00C66BA7"/>
    <w:rsid w:val="00C66C0A"/>
    <w:rsid w:val="00C67298"/>
    <w:rsid w:val="00C67450"/>
    <w:rsid w:val="00C6773A"/>
    <w:rsid w:val="00C67E1F"/>
    <w:rsid w:val="00C7011A"/>
    <w:rsid w:val="00C70FD1"/>
    <w:rsid w:val="00C71962"/>
    <w:rsid w:val="00C721F3"/>
    <w:rsid w:val="00C730C0"/>
    <w:rsid w:val="00C738BF"/>
    <w:rsid w:val="00C73968"/>
    <w:rsid w:val="00C74A20"/>
    <w:rsid w:val="00C75D89"/>
    <w:rsid w:val="00C763C9"/>
    <w:rsid w:val="00C771B1"/>
    <w:rsid w:val="00C77519"/>
    <w:rsid w:val="00C77C51"/>
    <w:rsid w:val="00C80057"/>
    <w:rsid w:val="00C80815"/>
    <w:rsid w:val="00C80A17"/>
    <w:rsid w:val="00C8268C"/>
    <w:rsid w:val="00C827E0"/>
    <w:rsid w:val="00C82C79"/>
    <w:rsid w:val="00C82DAD"/>
    <w:rsid w:val="00C836D6"/>
    <w:rsid w:val="00C83F81"/>
    <w:rsid w:val="00C84753"/>
    <w:rsid w:val="00C85009"/>
    <w:rsid w:val="00C857ED"/>
    <w:rsid w:val="00C85E29"/>
    <w:rsid w:val="00C90D15"/>
    <w:rsid w:val="00C90DD5"/>
    <w:rsid w:val="00C91005"/>
    <w:rsid w:val="00C91611"/>
    <w:rsid w:val="00C919B1"/>
    <w:rsid w:val="00C92AB9"/>
    <w:rsid w:val="00C93E8E"/>
    <w:rsid w:val="00C94378"/>
    <w:rsid w:val="00C948BA"/>
    <w:rsid w:val="00C94C8C"/>
    <w:rsid w:val="00C95ABD"/>
    <w:rsid w:val="00C95E7E"/>
    <w:rsid w:val="00C9682D"/>
    <w:rsid w:val="00C97EC9"/>
    <w:rsid w:val="00CA0358"/>
    <w:rsid w:val="00CA14A7"/>
    <w:rsid w:val="00CA1605"/>
    <w:rsid w:val="00CA2CF1"/>
    <w:rsid w:val="00CA3098"/>
    <w:rsid w:val="00CA337E"/>
    <w:rsid w:val="00CA346C"/>
    <w:rsid w:val="00CA34AC"/>
    <w:rsid w:val="00CA3585"/>
    <w:rsid w:val="00CA38D3"/>
    <w:rsid w:val="00CA3D5A"/>
    <w:rsid w:val="00CA411A"/>
    <w:rsid w:val="00CA4936"/>
    <w:rsid w:val="00CA4C7C"/>
    <w:rsid w:val="00CA6B6F"/>
    <w:rsid w:val="00CA6F81"/>
    <w:rsid w:val="00CA7A77"/>
    <w:rsid w:val="00CB0183"/>
    <w:rsid w:val="00CB1046"/>
    <w:rsid w:val="00CB1D5E"/>
    <w:rsid w:val="00CB1EA3"/>
    <w:rsid w:val="00CB3670"/>
    <w:rsid w:val="00CB468A"/>
    <w:rsid w:val="00CB552C"/>
    <w:rsid w:val="00CB58FE"/>
    <w:rsid w:val="00CB626A"/>
    <w:rsid w:val="00CB640C"/>
    <w:rsid w:val="00CB6A9E"/>
    <w:rsid w:val="00CB7459"/>
    <w:rsid w:val="00CB7745"/>
    <w:rsid w:val="00CB7BC0"/>
    <w:rsid w:val="00CC0A7A"/>
    <w:rsid w:val="00CC0B5F"/>
    <w:rsid w:val="00CC1A54"/>
    <w:rsid w:val="00CC5D2C"/>
    <w:rsid w:val="00CC5D43"/>
    <w:rsid w:val="00CC6181"/>
    <w:rsid w:val="00CC61B7"/>
    <w:rsid w:val="00CC6979"/>
    <w:rsid w:val="00CC6DC5"/>
    <w:rsid w:val="00CD0A86"/>
    <w:rsid w:val="00CD0EBE"/>
    <w:rsid w:val="00CD0ED3"/>
    <w:rsid w:val="00CD1685"/>
    <w:rsid w:val="00CD1EB6"/>
    <w:rsid w:val="00CD220B"/>
    <w:rsid w:val="00CD2802"/>
    <w:rsid w:val="00CD2A8F"/>
    <w:rsid w:val="00CD2BCD"/>
    <w:rsid w:val="00CD36AA"/>
    <w:rsid w:val="00CD3791"/>
    <w:rsid w:val="00CD3A42"/>
    <w:rsid w:val="00CD3C77"/>
    <w:rsid w:val="00CD4417"/>
    <w:rsid w:val="00CD45D7"/>
    <w:rsid w:val="00CD5715"/>
    <w:rsid w:val="00CD5EF7"/>
    <w:rsid w:val="00CD6205"/>
    <w:rsid w:val="00CD62ED"/>
    <w:rsid w:val="00CD651A"/>
    <w:rsid w:val="00CD65B0"/>
    <w:rsid w:val="00CD65E7"/>
    <w:rsid w:val="00CD6F9B"/>
    <w:rsid w:val="00CD7449"/>
    <w:rsid w:val="00CE0241"/>
    <w:rsid w:val="00CE02CD"/>
    <w:rsid w:val="00CE06F7"/>
    <w:rsid w:val="00CE0A10"/>
    <w:rsid w:val="00CE10E9"/>
    <w:rsid w:val="00CE24E8"/>
    <w:rsid w:val="00CE2992"/>
    <w:rsid w:val="00CE3D99"/>
    <w:rsid w:val="00CE4495"/>
    <w:rsid w:val="00CE5546"/>
    <w:rsid w:val="00CE586C"/>
    <w:rsid w:val="00CE5A7B"/>
    <w:rsid w:val="00CE5B66"/>
    <w:rsid w:val="00CE72AE"/>
    <w:rsid w:val="00CE73C2"/>
    <w:rsid w:val="00CE74B0"/>
    <w:rsid w:val="00CE7D92"/>
    <w:rsid w:val="00CE7E4B"/>
    <w:rsid w:val="00CF00A3"/>
    <w:rsid w:val="00CF0409"/>
    <w:rsid w:val="00CF12D5"/>
    <w:rsid w:val="00CF1B2C"/>
    <w:rsid w:val="00CF220E"/>
    <w:rsid w:val="00CF22CB"/>
    <w:rsid w:val="00CF2572"/>
    <w:rsid w:val="00CF26F2"/>
    <w:rsid w:val="00CF3A0C"/>
    <w:rsid w:val="00CF4112"/>
    <w:rsid w:val="00CF559E"/>
    <w:rsid w:val="00CF5DD5"/>
    <w:rsid w:val="00CF69F3"/>
    <w:rsid w:val="00CF7F2D"/>
    <w:rsid w:val="00D0072E"/>
    <w:rsid w:val="00D00D84"/>
    <w:rsid w:val="00D00E17"/>
    <w:rsid w:val="00D019A1"/>
    <w:rsid w:val="00D019AE"/>
    <w:rsid w:val="00D019E4"/>
    <w:rsid w:val="00D01AA0"/>
    <w:rsid w:val="00D0250D"/>
    <w:rsid w:val="00D02977"/>
    <w:rsid w:val="00D03860"/>
    <w:rsid w:val="00D039EE"/>
    <w:rsid w:val="00D03C4B"/>
    <w:rsid w:val="00D03F31"/>
    <w:rsid w:val="00D043AC"/>
    <w:rsid w:val="00D04729"/>
    <w:rsid w:val="00D0479C"/>
    <w:rsid w:val="00D04E27"/>
    <w:rsid w:val="00D04E65"/>
    <w:rsid w:val="00D04FA5"/>
    <w:rsid w:val="00D052B4"/>
    <w:rsid w:val="00D07E49"/>
    <w:rsid w:val="00D07F0B"/>
    <w:rsid w:val="00D103BF"/>
    <w:rsid w:val="00D108A8"/>
    <w:rsid w:val="00D10B2B"/>
    <w:rsid w:val="00D11B7B"/>
    <w:rsid w:val="00D11CF2"/>
    <w:rsid w:val="00D12271"/>
    <w:rsid w:val="00D1270E"/>
    <w:rsid w:val="00D1300F"/>
    <w:rsid w:val="00D139C0"/>
    <w:rsid w:val="00D13BED"/>
    <w:rsid w:val="00D13FBD"/>
    <w:rsid w:val="00D15727"/>
    <w:rsid w:val="00D16332"/>
    <w:rsid w:val="00D1655F"/>
    <w:rsid w:val="00D17B29"/>
    <w:rsid w:val="00D2005B"/>
    <w:rsid w:val="00D21ABF"/>
    <w:rsid w:val="00D21CF8"/>
    <w:rsid w:val="00D21EF1"/>
    <w:rsid w:val="00D21F0B"/>
    <w:rsid w:val="00D22703"/>
    <w:rsid w:val="00D22866"/>
    <w:rsid w:val="00D23A5D"/>
    <w:rsid w:val="00D23EF6"/>
    <w:rsid w:val="00D2472B"/>
    <w:rsid w:val="00D24972"/>
    <w:rsid w:val="00D2515E"/>
    <w:rsid w:val="00D2549B"/>
    <w:rsid w:val="00D25721"/>
    <w:rsid w:val="00D259AD"/>
    <w:rsid w:val="00D27CF8"/>
    <w:rsid w:val="00D30488"/>
    <w:rsid w:val="00D305C7"/>
    <w:rsid w:val="00D308ED"/>
    <w:rsid w:val="00D30DC0"/>
    <w:rsid w:val="00D3136F"/>
    <w:rsid w:val="00D31B09"/>
    <w:rsid w:val="00D31C21"/>
    <w:rsid w:val="00D31FBE"/>
    <w:rsid w:val="00D32919"/>
    <w:rsid w:val="00D33A83"/>
    <w:rsid w:val="00D33B5C"/>
    <w:rsid w:val="00D35260"/>
    <w:rsid w:val="00D35307"/>
    <w:rsid w:val="00D35607"/>
    <w:rsid w:val="00D356AA"/>
    <w:rsid w:val="00D36B1B"/>
    <w:rsid w:val="00D4009C"/>
    <w:rsid w:val="00D40160"/>
    <w:rsid w:val="00D4087C"/>
    <w:rsid w:val="00D40A98"/>
    <w:rsid w:val="00D40FCE"/>
    <w:rsid w:val="00D4150A"/>
    <w:rsid w:val="00D41C1F"/>
    <w:rsid w:val="00D41C21"/>
    <w:rsid w:val="00D41CBA"/>
    <w:rsid w:val="00D42542"/>
    <w:rsid w:val="00D4303E"/>
    <w:rsid w:val="00D44FA6"/>
    <w:rsid w:val="00D455C6"/>
    <w:rsid w:val="00D45948"/>
    <w:rsid w:val="00D462CE"/>
    <w:rsid w:val="00D46431"/>
    <w:rsid w:val="00D465AB"/>
    <w:rsid w:val="00D468F4"/>
    <w:rsid w:val="00D46B87"/>
    <w:rsid w:val="00D46B88"/>
    <w:rsid w:val="00D47D92"/>
    <w:rsid w:val="00D5092B"/>
    <w:rsid w:val="00D50F3B"/>
    <w:rsid w:val="00D5164F"/>
    <w:rsid w:val="00D5302A"/>
    <w:rsid w:val="00D535BE"/>
    <w:rsid w:val="00D5365F"/>
    <w:rsid w:val="00D54A1E"/>
    <w:rsid w:val="00D54E5E"/>
    <w:rsid w:val="00D55858"/>
    <w:rsid w:val="00D5605B"/>
    <w:rsid w:val="00D56178"/>
    <w:rsid w:val="00D56CF0"/>
    <w:rsid w:val="00D56D7C"/>
    <w:rsid w:val="00D56F5C"/>
    <w:rsid w:val="00D5725F"/>
    <w:rsid w:val="00D57DA9"/>
    <w:rsid w:val="00D60D36"/>
    <w:rsid w:val="00D61834"/>
    <w:rsid w:val="00D61EF2"/>
    <w:rsid w:val="00D620A8"/>
    <w:rsid w:val="00D621F6"/>
    <w:rsid w:val="00D62B9E"/>
    <w:rsid w:val="00D62F20"/>
    <w:rsid w:val="00D63070"/>
    <w:rsid w:val="00D63A36"/>
    <w:rsid w:val="00D63F3A"/>
    <w:rsid w:val="00D67271"/>
    <w:rsid w:val="00D673AF"/>
    <w:rsid w:val="00D67EA0"/>
    <w:rsid w:val="00D70427"/>
    <w:rsid w:val="00D704B1"/>
    <w:rsid w:val="00D70B63"/>
    <w:rsid w:val="00D70E95"/>
    <w:rsid w:val="00D7122D"/>
    <w:rsid w:val="00D72529"/>
    <w:rsid w:val="00D726C4"/>
    <w:rsid w:val="00D729C7"/>
    <w:rsid w:val="00D72B92"/>
    <w:rsid w:val="00D72D2C"/>
    <w:rsid w:val="00D72ED4"/>
    <w:rsid w:val="00D73503"/>
    <w:rsid w:val="00D739D3"/>
    <w:rsid w:val="00D73F61"/>
    <w:rsid w:val="00D742B8"/>
    <w:rsid w:val="00D74544"/>
    <w:rsid w:val="00D754C0"/>
    <w:rsid w:val="00D7654C"/>
    <w:rsid w:val="00D76E8C"/>
    <w:rsid w:val="00D776A2"/>
    <w:rsid w:val="00D801C4"/>
    <w:rsid w:val="00D81A62"/>
    <w:rsid w:val="00D81CB6"/>
    <w:rsid w:val="00D81E2D"/>
    <w:rsid w:val="00D83CA8"/>
    <w:rsid w:val="00D856D3"/>
    <w:rsid w:val="00D859CB"/>
    <w:rsid w:val="00D85BAC"/>
    <w:rsid w:val="00D90632"/>
    <w:rsid w:val="00D90836"/>
    <w:rsid w:val="00D90B12"/>
    <w:rsid w:val="00D90F9D"/>
    <w:rsid w:val="00D9155D"/>
    <w:rsid w:val="00D91C65"/>
    <w:rsid w:val="00D92058"/>
    <w:rsid w:val="00D92240"/>
    <w:rsid w:val="00D9257C"/>
    <w:rsid w:val="00D9294B"/>
    <w:rsid w:val="00D93593"/>
    <w:rsid w:val="00D937E6"/>
    <w:rsid w:val="00D95733"/>
    <w:rsid w:val="00D95896"/>
    <w:rsid w:val="00D95C99"/>
    <w:rsid w:val="00D95CC6"/>
    <w:rsid w:val="00D95F73"/>
    <w:rsid w:val="00D9711E"/>
    <w:rsid w:val="00D97348"/>
    <w:rsid w:val="00DA046A"/>
    <w:rsid w:val="00DA2828"/>
    <w:rsid w:val="00DA28E7"/>
    <w:rsid w:val="00DA2CE7"/>
    <w:rsid w:val="00DA2DA3"/>
    <w:rsid w:val="00DA3B5E"/>
    <w:rsid w:val="00DA5C76"/>
    <w:rsid w:val="00DA6615"/>
    <w:rsid w:val="00DA6ECC"/>
    <w:rsid w:val="00DA76AE"/>
    <w:rsid w:val="00DB0E86"/>
    <w:rsid w:val="00DB0F11"/>
    <w:rsid w:val="00DB181E"/>
    <w:rsid w:val="00DB1C7A"/>
    <w:rsid w:val="00DB221C"/>
    <w:rsid w:val="00DB2613"/>
    <w:rsid w:val="00DB2720"/>
    <w:rsid w:val="00DB2983"/>
    <w:rsid w:val="00DB2BC0"/>
    <w:rsid w:val="00DB31E5"/>
    <w:rsid w:val="00DB343D"/>
    <w:rsid w:val="00DB3BB4"/>
    <w:rsid w:val="00DB4B71"/>
    <w:rsid w:val="00DB4F87"/>
    <w:rsid w:val="00DB5243"/>
    <w:rsid w:val="00DB5579"/>
    <w:rsid w:val="00DB57FE"/>
    <w:rsid w:val="00DB5C17"/>
    <w:rsid w:val="00DB5CFE"/>
    <w:rsid w:val="00DB5EFD"/>
    <w:rsid w:val="00DB6005"/>
    <w:rsid w:val="00DB6045"/>
    <w:rsid w:val="00DB67F6"/>
    <w:rsid w:val="00DB6B34"/>
    <w:rsid w:val="00DB7180"/>
    <w:rsid w:val="00DB76DF"/>
    <w:rsid w:val="00DC0A1D"/>
    <w:rsid w:val="00DC0C44"/>
    <w:rsid w:val="00DC12BC"/>
    <w:rsid w:val="00DC4545"/>
    <w:rsid w:val="00DC541C"/>
    <w:rsid w:val="00DC5687"/>
    <w:rsid w:val="00DC56AC"/>
    <w:rsid w:val="00DC57B6"/>
    <w:rsid w:val="00DC5861"/>
    <w:rsid w:val="00DC5E8E"/>
    <w:rsid w:val="00DC60C7"/>
    <w:rsid w:val="00DC72A6"/>
    <w:rsid w:val="00DC7AB8"/>
    <w:rsid w:val="00DC7E66"/>
    <w:rsid w:val="00DD07C5"/>
    <w:rsid w:val="00DD0823"/>
    <w:rsid w:val="00DD0A42"/>
    <w:rsid w:val="00DD0B54"/>
    <w:rsid w:val="00DD0E7C"/>
    <w:rsid w:val="00DD1FA6"/>
    <w:rsid w:val="00DD2113"/>
    <w:rsid w:val="00DD22CC"/>
    <w:rsid w:val="00DD254A"/>
    <w:rsid w:val="00DD265E"/>
    <w:rsid w:val="00DD2CDD"/>
    <w:rsid w:val="00DD3715"/>
    <w:rsid w:val="00DD43D5"/>
    <w:rsid w:val="00DD49EC"/>
    <w:rsid w:val="00DD53B0"/>
    <w:rsid w:val="00DD54A5"/>
    <w:rsid w:val="00DD563F"/>
    <w:rsid w:val="00DD5C09"/>
    <w:rsid w:val="00DD5C76"/>
    <w:rsid w:val="00DD6C2E"/>
    <w:rsid w:val="00DD6D88"/>
    <w:rsid w:val="00DD7484"/>
    <w:rsid w:val="00DD79F7"/>
    <w:rsid w:val="00DD7B0E"/>
    <w:rsid w:val="00DE08D2"/>
    <w:rsid w:val="00DE0F87"/>
    <w:rsid w:val="00DE1C8F"/>
    <w:rsid w:val="00DE1D23"/>
    <w:rsid w:val="00DE2BB2"/>
    <w:rsid w:val="00DE3437"/>
    <w:rsid w:val="00DE4075"/>
    <w:rsid w:val="00DE512B"/>
    <w:rsid w:val="00DE53FC"/>
    <w:rsid w:val="00DE59C3"/>
    <w:rsid w:val="00DE6727"/>
    <w:rsid w:val="00DE68DD"/>
    <w:rsid w:val="00DE6924"/>
    <w:rsid w:val="00DE6FC5"/>
    <w:rsid w:val="00DF0A02"/>
    <w:rsid w:val="00DF13A1"/>
    <w:rsid w:val="00DF1900"/>
    <w:rsid w:val="00DF1930"/>
    <w:rsid w:val="00DF234B"/>
    <w:rsid w:val="00DF322D"/>
    <w:rsid w:val="00DF3250"/>
    <w:rsid w:val="00DF327B"/>
    <w:rsid w:val="00DF330E"/>
    <w:rsid w:val="00DF38A5"/>
    <w:rsid w:val="00DF4E7F"/>
    <w:rsid w:val="00DF514A"/>
    <w:rsid w:val="00DF5BAB"/>
    <w:rsid w:val="00DF5C8D"/>
    <w:rsid w:val="00DF6003"/>
    <w:rsid w:val="00DF6AFD"/>
    <w:rsid w:val="00DF6E71"/>
    <w:rsid w:val="00DF7491"/>
    <w:rsid w:val="00DF7494"/>
    <w:rsid w:val="00E00207"/>
    <w:rsid w:val="00E0051B"/>
    <w:rsid w:val="00E0072F"/>
    <w:rsid w:val="00E00C9D"/>
    <w:rsid w:val="00E00DBA"/>
    <w:rsid w:val="00E011B6"/>
    <w:rsid w:val="00E02309"/>
    <w:rsid w:val="00E02985"/>
    <w:rsid w:val="00E029E3"/>
    <w:rsid w:val="00E0358D"/>
    <w:rsid w:val="00E054F2"/>
    <w:rsid w:val="00E05970"/>
    <w:rsid w:val="00E06327"/>
    <w:rsid w:val="00E073D4"/>
    <w:rsid w:val="00E119DC"/>
    <w:rsid w:val="00E11A58"/>
    <w:rsid w:val="00E122C7"/>
    <w:rsid w:val="00E13233"/>
    <w:rsid w:val="00E13B94"/>
    <w:rsid w:val="00E13C1D"/>
    <w:rsid w:val="00E13C7D"/>
    <w:rsid w:val="00E14508"/>
    <w:rsid w:val="00E14C5A"/>
    <w:rsid w:val="00E15D84"/>
    <w:rsid w:val="00E15E47"/>
    <w:rsid w:val="00E16CB9"/>
    <w:rsid w:val="00E170C5"/>
    <w:rsid w:val="00E17114"/>
    <w:rsid w:val="00E200D8"/>
    <w:rsid w:val="00E2064B"/>
    <w:rsid w:val="00E207A6"/>
    <w:rsid w:val="00E21277"/>
    <w:rsid w:val="00E214D4"/>
    <w:rsid w:val="00E22E66"/>
    <w:rsid w:val="00E233D1"/>
    <w:rsid w:val="00E23E87"/>
    <w:rsid w:val="00E24C1F"/>
    <w:rsid w:val="00E24CFB"/>
    <w:rsid w:val="00E25239"/>
    <w:rsid w:val="00E25758"/>
    <w:rsid w:val="00E2650D"/>
    <w:rsid w:val="00E265B1"/>
    <w:rsid w:val="00E26AF6"/>
    <w:rsid w:val="00E26C58"/>
    <w:rsid w:val="00E26E6C"/>
    <w:rsid w:val="00E27393"/>
    <w:rsid w:val="00E275B0"/>
    <w:rsid w:val="00E309C2"/>
    <w:rsid w:val="00E30E14"/>
    <w:rsid w:val="00E318BC"/>
    <w:rsid w:val="00E3194A"/>
    <w:rsid w:val="00E33B6D"/>
    <w:rsid w:val="00E34595"/>
    <w:rsid w:val="00E353E5"/>
    <w:rsid w:val="00E36174"/>
    <w:rsid w:val="00E36652"/>
    <w:rsid w:val="00E3679C"/>
    <w:rsid w:val="00E368AE"/>
    <w:rsid w:val="00E36A6E"/>
    <w:rsid w:val="00E36FD4"/>
    <w:rsid w:val="00E37025"/>
    <w:rsid w:val="00E40B15"/>
    <w:rsid w:val="00E40BFD"/>
    <w:rsid w:val="00E40D53"/>
    <w:rsid w:val="00E40DE0"/>
    <w:rsid w:val="00E412D0"/>
    <w:rsid w:val="00E4198E"/>
    <w:rsid w:val="00E41B34"/>
    <w:rsid w:val="00E41C96"/>
    <w:rsid w:val="00E42092"/>
    <w:rsid w:val="00E425DE"/>
    <w:rsid w:val="00E42C55"/>
    <w:rsid w:val="00E43165"/>
    <w:rsid w:val="00E43170"/>
    <w:rsid w:val="00E435C7"/>
    <w:rsid w:val="00E44A64"/>
    <w:rsid w:val="00E45757"/>
    <w:rsid w:val="00E4712E"/>
    <w:rsid w:val="00E4732A"/>
    <w:rsid w:val="00E479A4"/>
    <w:rsid w:val="00E47CDB"/>
    <w:rsid w:val="00E50416"/>
    <w:rsid w:val="00E505B4"/>
    <w:rsid w:val="00E51BD9"/>
    <w:rsid w:val="00E520BB"/>
    <w:rsid w:val="00E52DCA"/>
    <w:rsid w:val="00E532DE"/>
    <w:rsid w:val="00E53340"/>
    <w:rsid w:val="00E53414"/>
    <w:rsid w:val="00E53B02"/>
    <w:rsid w:val="00E53C68"/>
    <w:rsid w:val="00E54F4E"/>
    <w:rsid w:val="00E566BC"/>
    <w:rsid w:val="00E568C0"/>
    <w:rsid w:val="00E57C44"/>
    <w:rsid w:val="00E601F8"/>
    <w:rsid w:val="00E602EE"/>
    <w:rsid w:val="00E60504"/>
    <w:rsid w:val="00E60982"/>
    <w:rsid w:val="00E60B28"/>
    <w:rsid w:val="00E60C8D"/>
    <w:rsid w:val="00E6162F"/>
    <w:rsid w:val="00E6187D"/>
    <w:rsid w:val="00E626F6"/>
    <w:rsid w:val="00E6311B"/>
    <w:rsid w:val="00E63187"/>
    <w:rsid w:val="00E637A8"/>
    <w:rsid w:val="00E64541"/>
    <w:rsid w:val="00E65334"/>
    <w:rsid w:val="00E65A79"/>
    <w:rsid w:val="00E65C35"/>
    <w:rsid w:val="00E65D97"/>
    <w:rsid w:val="00E66629"/>
    <w:rsid w:val="00E6725E"/>
    <w:rsid w:val="00E672FF"/>
    <w:rsid w:val="00E6779A"/>
    <w:rsid w:val="00E677D1"/>
    <w:rsid w:val="00E67860"/>
    <w:rsid w:val="00E67ACB"/>
    <w:rsid w:val="00E67EFD"/>
    <w:rsid w:val="00E7019B"/>
    <w:rsid w:val="00E702DC"/>
    <w:rsid w:val="00E707A9"/>
    <w:rsid w:val="00E70C09"/>
    <w:rsid w:val="00E7105A"/>
    <w:rsid w:val="00E71F43"/>
    <w:rsid w:val="00E71FFB"/>
    <w:rsid w:val="00E72067"/>
    <w:rsid w:val="00E72B8B"/>
    <w:rsid w:val="00E73203"/>
    <w:rsid w:val="00E73449"/>
    <w:rsid w:val="00E73BF4"/>
    <w:rsid w:val="00E7435A"/>
    <w:rsid w:val="00E7512E"/>
    <w:rsid w:val="00E75C9F"/>
    <w:rsid w:val="00E76D1D"/>
    <w:rsid w:val="00E77514"/>
    <w:rsid w:val="00E8050C"/>
    <w:rsid w:val="00E806F8"/>
    <w:rsid w:val="00E80C98"/>
    <w:rsid w:val="00E812C0"/>
    <w:rsid w:val="00E8173D"/>
    <w:rsid w:val="00E81922"/>
    <w:rsid w:val="00E81B4B"/>
    <w:rsid w:val="00E81C3A"/>
    <w:rsid w:val="00E8213E"/>
    <w:rsid w:val="00E8243F"/>
    <w:rsid w:val="00E82CEF"/>
    <w:rsid w:val="00E82DCD"/>
    <w:rsid w:val="00E82F33"/>
    <w:rsid w:val="00E8417A"/>
    <w:rsid w:val="00E8456B"/>
    <w:rsid w:val="00E8464D"/>
    <w:rsid w:val="00E84729"/>
    <w:rsid w:val="00E847FD"/>
    <w:rsid w:val="00E85C5E"/>
    <w:rsid w:val="00E85C76"/>
    <w:rsid w:val="00E85E87"/>
    <w:rsid w:val="00E85F6F"/>
    <w:rsid w:val="00E86F15"/>
    <w:rsid w:val="00E8746B"/>
    <w:rsid w:val="00E87752"/>
    <w:rsid w:val="00E8793B"/>
    <w:rsid w:val="00E87BDA"/>
    <w:rsid w:val="00E90F81"/>
    <w:rsid w:val="00E91A6D"/>
    <w:rsid w:val="00E91D86"/>
    <w:rsid w:val="00E9242D"/>
    <w:rsid w:val="00E9249E"/>
    <w:rsid w:val="00E92C0D"/>
    <w:rsid w:val="00E92EAA"/>
    <w:rsid w:val="00E936A1"/>
    <w:rsid w:val="00E93C44"/>
    <w:rsid w:val="00E93EAE"/>
    <w:rsid w:val="00E94E45"/>
    <w:rsid w:val="00E953CD"/>
    <w:rsid w:val="00E9581B"/>
    <w:rsid w:val="00E95E12"/>
    <w:rsid w:val="00E969C2"/>
    <w:rsid w:val="00E9701B"/>
    <w:rsid w:val="00E9732A"/>
    <w:rsid w:val="00EA0B82"/>
    <w:rsid w:val="00EA0C40"/>
    <w:rsid w:val="00EA0CF0"/>
    <w:rsid w:val="00EA1E4F"/>
    <w:rsid w:val="00EA22F6"/>
    <w:rsid w:val="00EA336A"/>
    <w:rsid w:val="00EA3537"/>
    <w:rsid w:val="00EA3632"/>
    <w:rsid w:val="00EA3696"/>
    <w:rsid w:val="00EA53C3"/>
    <w:rsid w:val="00EA5890"/>
    <w:rsid w:val="00EA5896"/>
    <w:rsid w:val="00EA66B4"/>
    <w:rsid w:val="00EA6BA8"/>
    <w:rsid w:val="00EA6BC1"/>
    <w:rsid w:val="00EA7F39"/>
    <w:rsid w:val="00EB041C"/>
    <w:rsid w:val="00EB0508"/>
    <w:rsid w:val="00EB06DE"/>
    <w:rsid w:val="00EB1C08"/>
    <w:rsid w:val="00EB249F"/>
    <w:rsid w:val="00EB25EA"/>
    <w:rsid w:val="00EB3D2B"/>
    <w:rsid w:val="00EB3E69"/>
    <w:rsid w:val="00EB5689"/>
    <w:rsid w:val="00EB5B9C"/>
    <w:rsid w:val="00EB60B2"/>
    <w:rsid w:val="00EB6199"/>
    <w:rsid w:val="00EB620D"/>
    <w:rsid w:val="00EC011D"/>
    <w:rsid w:val="00EC0902"/>
    <w:rsid w:val="00EC0A00"/>
    <w:rsid w:val="00EC0A9C"/>
    <w:rsid w:val="00EC0D74"/>
    <w:rsid w:val="00EC0E7B"/>
    <w:rsid w:val="00EC1320"/>
    <w:rsid w:val="00EC13C1"/>
    <w:rsid w:val="00EC2284"/>
    <w:rsid w:val="00EC2DA9"/>
    <w:rsid w:val="00EC4983"/>
    <w:rsid w:val="00EC55A2"/>
    <w:rsid w:val="00EC5874"/>
    <w:rsid w:val="00EC5A4B"/>
    <w:rsid w:val="00EC6A84"/>
    <w:rsid w:val="00EC6FE5"/>
    <w:rsid w:val="00EC734C"/>
    <w:rsid w:val="00EC7634"/>
    <w:rsid w:val="00ED06E2"/>
    <w:rsid w:val="00ED0B38"/>
    <w:rsid w:val="00ED0DA0"/>
    <w:rsid w:val="00ED0FE5"/>
    <w:rsid w:val="00ED192D"/>
    <w:rsid w:val="00ED2581"/>
    <w:rsid w:val="00ED2D5F"/>
    <w:rsid w:val="00ED30B4"/>
    <w:rsid w:val="00ED31F5"/>
    <w:rsid w:val="00ED363C"/>
    <w:rsid w:val="00ED385C"/>
    <w:rsid w:val="00ED4105"/>
    <w:rsid w:val="00ED49F1"/>
    <w:rsid w:val="00ED4F59"/>
    <w:rsid w:val="00ED6274"/>
    <w:rsid w:val="00ED656B"/>
    <w:rsid w:val="00ED6F99"/>
    <w:rsid w:val="00EE104C"/>
    <w:rsid w:val="00EE1340"/>
    <w:rsid w:val="00EE16AB"/>
    <w:rsid w:val="00EE17A2"/>
    <w:rsid w:val="00EE1B33"/>
    <w:rsid w:val="00EE284E"/>
    <w:rsid w:val="00EE2C28"/>
    <w:rsid w:val="00EE59DB"/>
    <w:rsid w:val="00EE66A4"/>
    <w:rsid w:val="00EE691E"/>
    <w:rsid w:val="00EE6E20"/>
    <w:rsid w:val="00EE7175"/>
    <w:rsid w:val="00EE7220"/>
    <w:rsid w:val="00EE738F"/>
    <w:rsid w:val="00EF0933"/>
    <w:rsid w:val="00EF146A"/>
    <w:rsid w:val="00EF175A"/>
    <w:rsid w:val="00EF183E"/>
    <w:rsid w:val="00EF1A88"/>
    <w:rsid w:val="00EF1F66"/>
    <w:rsid w:val="00EF21DF"/>
    <w:rsid w:val="00EF2759"/>
    <w:rsid w:val="00EF28E3"/>
    <w:rsid w:val="00EF29E2"/>
    <w:rsid w:val="00EF2BAC"/>
    <w:rsid w:val="00EF2DEE"/>
    <w:rsid w:val="00EF2FEA"/>
    <w:rsid w:val="00EF41D5"/>
    <w:rsid w:val="00EF4596"/>
    <w:rsid w:val="00EF45EB"/>
    <w:rsid w:val="00EF4A69"/>
    <w:rsid w:val="00EF5099"/>
    <w:rsid w:val="00EF552A"/>
    <w:rsid w:val="00EF598F"/>
    <w:rsid w:val="00EF5E33"/>
    <w:rsid w:val="00EF6708"/>
    <w:rsid w:val="00EF6B1F"/>
    <w:rsid w:val="00EF6CD9"/>
    <w:rsid w:val="00EF6FC0"/>
    <w:rsid w:val="00F0005E"/>
    <w:rsid w:val="00F00075"/>
    <w:rsid w:val="00F006C2"/>
    <w:rsid w:val="00F00FE8"/>
    <w:rsid w:val="00F0256F"/>
    <w:rsid w:val="00F02C9D"/>
    <w:rsid w:val="00F02EBA"/>
    <w:rsid w:val="00F03DD9"/>
    <w:rsid w:val="00F0432C"/>
    <w:rsid w:val="00F0445A"/>
    <w:rsid w:val="00F04469"/>
    <w:rsid w:val="00F068E8"/>
    <w:rsid w:val="00F06CC2"/>
    <w:rsid w:val="00F06F19"/>
    <w:rsid w:val="00F07822"/>
    <w:rsid w:val="00F10018"/>
    <w:rsid w:val="00F100AF"/>
    <w:rsid w:val="00F104CB"/>
    <w:rsid w:val="00F10D16"/>
    <w:rsid w:val="00F10D8A"/>
    <w:rsid w:val="00F11A5B"/>
    <w:rsid w:val="00F11CE8"/>
    <w:rsid w:val="00F11E52"/>
    <w:rsid w:val="00F135CC"/>
    <w:rsid w:val="00F142FA"/>
    <w:rsid w:val="00F14C73"/>
    <w:rsid w:val="00F14F9F"/>
    <w:rsid w:val="00F15C95"/>
    <w:rsid w:val="00F15D0F"/>
    <w:rsid w:val="00F169E4"/>
    <w:rsid w:val="00F16BA0"/>
    <w:rsid w:val="00F16DE1"/>
    <w:rsid w:val="00F17628"/>
    <w:rsid w:val="00F20324"/>
    <w:rsid w:val="00F2091E"/>
    <w:rsid w:val="00F21977"/>
    <w:rsid w:val="00F21DAB"/>
    <w:rsid w:val="00F22568"/>
    <w:rsid w:val="00F22985"/>
    <w:rsid w:val="00F22BE0"/>
    <w:rsid w:val="00F2351D"/>
    <w:rsid w:val="00F237AE"/>
    <w:rsid w:val="00F23BEB"/>
    <w:rsid w:val="00F23F51"/>
    <w:rsid w:val="00F241AB"/>
    <w:rsid w:val="00F241B3"/>
    <w:rsid w:val="00F26FBC"/>
    <w:rsid w:val="00F3077D"/>
    <w:rsid w:val="00F31382"/>
    <w:rsid w:val="00F31E8E"/>
    <w:rsid w:val="00F32319"/>
    <w:rsid w:val="00F329F9"/>
    <w:rsid w:val="00F32D7D"/>
    <w:rsid w:val="00F3390E"/>
    <w:rsid w:val="00F33BFA"/>
    <w:rsid w:val="00F33F72"/>
    <w:rsid w:val="00F34D6A"/>
    <w:rsid w:val="00F3509B"/>
    <w:rsid w:val="00F35829"/>
    <w:rsid w:val="00F36145"/>
    <w:rsid w:val="00F374B0"/>
    <w:rsid w:val="00F374B6"/>
    <w:rsid w:val="00F400F2"/>
    <w:rsid w:val="00F41BA7"/>
    <w:rsid w:val="00F42426"/>
    <w:rsid w:val="00F42868"/>
    <w:rsid w:val="00F429F3"/>
    <w:rsid w:val="00F4398A"/>
    <w:rsid w:val="00F448CF"/>
    <w:rsid w:val="00F44E02"/>
    <w:rsid w:val="00F45279"/>
    <w:rsid w:val="00F452B2"/>
    <w:rsid w:val="00F45D45"/>
    <w:rsid w:val="00F465A7"/>
    <w:rsid w:val="00F466A4"/>
    <w:rsid w:val="00F47E8B"/>
    <w:rsid w:val="00F501FF"/>
    <w:rsid w:val="00F50B7C"/>
    <w:rsid w:val="00F50E47"/>
    <w:rsid w:val="00F50F40"/>
    <w:rsid w:val="00F513AE"/>
    <w:rsid w:val="00F51701"/>
    <w:rsid w:val="00F51AD6"/>
    <w:rsid w:val="00F51DD7"/>
    <w:rsid w:val="00F52016"/>
    <w:rsid w:val="00F5202D"/>
    <w:rsid w:val="00F5243C"/>
    <w:rsid w:val="00F52600"/>
    <w:rsid w:val="00F527F7"/>
    <w:rsid w:val="00F52BCE"/>
    <w:rsid w:val="00F52CF6"/>
    <w:rsid w:val="00F52DF3"/>
    <w:rsid w:val="00F53FF2"/>
    <w:rsid w:val="00F54194"/>
    <w:rsid w:val="00F54496"/>
    <w:rsid w:val="00F551A1"/>
    <w:rsid w:val="00F55262"/>
    <w:rsid w:val="00F55CBA"/>
    <w:rsid w:val="00F562C9"/>
    <w:rsid w:val="00F576BE"/>
    <w:rsid w:val="00F57A23"/>
    <w:rsid w:val="00F57F50"/>
    <w:rsid w:val="00F6008D"/>
    <w:rsid w:val="00F61097"/>
    <w:rsid w:val="00F61465"/>
    <w:rsid w:val="00F616CA"/>
    <w:rsid w:val="00F61830"/>
    <w:rsid w:val="00F619D4"/>
    <w:rsid w:val="00F61E3D"/>
    <w:rsid w:val="00F61EA4"/>
    <w:rsid w:val="00F62712"/>
    <w:rsid w:val="00F62D20"/>
    <w:rsid w:val="00F62EA5"/>
    <w:rsid w:val="00F63381"/>
    <w:rsid w:val="00F6435B"/>
    <w:rsid w:val="00F643B2"/>
    <w:rsid w:val="00F653CB"/>
    <w:rsid w:val="00F65ECE"/>
    <w:rsid w:val="00F66529"/>
    <w:rsid w:val="00F669A0"/>
    <w:rsid w:val="00F66D5B"/>
    <w:rsid w:val="00F70533"/>
    <w:rsid w:val="00F70F6B"/>
    <w:rsid w:val="00F7214F"/>
    <w:rsid w:val="00F72D3E"/>
    <w:rsid w:val="00F74056"/>
    <w:rsid w:val="00F74345"/>
    <w:rsid w:val="00F74441"/>
    <w:rsid w:val="00F744F0"/>
    <w:rsid w:val="00F7550A"/>
    <w:rsid w:val="00F770EF"/>
    <w:rsid w:val="00F77C01"/>
    <w:rsid w:val="00F77F30"/>
    <w:rsid w:val="00F800A2"/>
    <w:rsid w:val="00F8142B"/>
    <w:rsid w:val="00F8145C"/>
    <w:rsid w:val="00F82589"/>
    <w:rsid w:val="00F827A3"/>
    <w:rsid w:val="00F82B19"/>
    <w:rsid w:val="00F82B76"/>
    <w:rsid w:val="00F83B11"/>
    <w:rsid w:val="00F842B4"/>
    <w:rsid w:val="00F84444"/>
    <w:rsid w:val="00F84716"/>
    <w:rsid w:val="00F84C62"/>
    <w:rsid w:val="00F84ED7"/>
    <w:rsid w:val="00F8502D"/>
    <w:rsid w:val="00F8619B"/>
    <w:rsid w:val="00F878B4"/>
    <w:rsid w:val="00F87BA1"/>
    <w:rsid w:val="00F90AA7"/>
    <w:rsid w:val="00F90B73"/>
    <w:rsid w:val="00F9123D"/>
    <w:rsid w:val="00F91670"/>
    <w:rsid w:val="00F9212D"/>
    <w:rsid w:val="00F92565"/>
    <w:rsid w:val="00F93E1B"/>
    <w:rsid w:val="00F95D1C"/>
    <w:rsid w:val="00F95F2E"/>
    <w:rsid w:val="00F9670E"/>
    <w:rsid w:val="00F96AA9"/>
    <w:rsid w:val="00FA03E6"/>
    <w:rsid w:val="00FA0476"/>
    <w:rsid w:val="00FA092F"/>
    <w:rsid w:val="00FA09D3"/>
    <w:rsid w:val="00FA1475"/>
    <w:rsid w:val="00FA182C"/>
    <w:rsid w:val="00FA19AA"/>
    <w:rsid w:val="00FA24FC"/>
    <w:rsid w:val="00FA2537"/>
    <w:rsid w:val="00FA301A"/>
    <w:rsid w:val="00FA32CA"/>
    <w:rsid w:val="00FA4039"/>
    <w:rsid w:val="00FA406A"/>
    <w:rsid w:val="00FA45C1"/>
    <w:rsid w:val="00FA5CB6"/>
    <w:rsid w:val="00FA642C"/>
    <w:rsid w:val="00FA7515"/>
    <w:rsid w:val="00FA79C7"/>
    <w:rsid w:val="00FA7F6A"/>
    <w:rsid w:val="00FB00A8"/>
    <w:rsid w:val="00FB0CCE"/>
    <w:rsid w:val="00FB0F12"/>
    <w:rsid w:val="00FB2970"/>
    <w:rsid w:val="00FB3922"/>
    <w:rsid w:val="00FB4332"/>
    <w:rsid w:val="00FB4FC8"/>
    <w:rsid w:val="00FB5175"/>
    <w:rsid w:val="00FB5858"/>
    <w:rsid w:val="00FB78FD"/>
    <w:rsid w:val="00FB7F5A"/>
    <w:rsid w:val="00FC0B7B"/>
    <w:rsid w:val="00FC1044"/>
    <w:rsid w:val="00FC1127"/>
    <w:rsid w:val="00FC3191"/>
    <w:rsid w:val="00FC44E7"/>
    <w:rsid w:val="00FC4B86"/>
    <w:rsid w:val="00FC503C"/>
    <w:rsid w:val="00FC5606"/>
    <w:rsid w:val="00FC5ACC"/>
    <w:rsid w:val="00FC66AC"/>
    <w:rsid w:val="00FC6EEB"/>
    <w:rsid w:val="00FC6F31"/>
    <w:rsid w:val="00FD0C3B"/>
    <w:rsid w:val="00FD18F4"/>
    <w:rsid w:val="00FD19C6"/>
    <w:rsid w:val="00FD2102"/>
    <w:rsid w:val="00FD2861"/>
    <w:rsid w:val="00FD2AD3"/>
    <w:rsid w:val="00FD3BCA"/>
    <w:rsid w:val="00FD4986"/>
    <w:rsid w:val="00FD5A75"/>
    <w:rsid w:val="00FD5C04"/>
    <w:rsid w:val="00FD6873"/>
    <w:rsid w:val="00FD69E7"/>
    <w:rsid w:val="00FD6B29"/>
    <w:rsid w:val="00FD74B4"/>
    <w:rsid w:val="00FD7911"/>
    <w:rsid w:val="00FD7917"/>
    <w:rsid w:val="00FE0AC3"/>
    <w:rsid w:val="00FE1B24"/>
    <w:rsid w:val="00FE3D2D"/>
    <w:rsid w:val="00FE4125"/>
    <w:rsid w:val="00FE468B"/>
    <w:rsid w:val="00FE4F05"/>
    <w:rsid w:val="00FE5B69"/>
    <w:rsid w:val="00FE5FE8"/>
    <w:rsid w:val="00FE6387"/>
    <w:rsid w:val="00FE7325"/>
    <w:rsid w:val="00FE7596"/>
    <w:rsid w:val="00FF07F7"/>
    <w:rsid w:val="00FF0DE6"/>
    <w:rsid w:val="00FF103D"/>
    <w:rsid w:val="00FF1139"/>
    <w:rsid w:val="00FF15B6"/>
    <w:rsid w:val="00FF1E6C"/>
    <w:rsid w:val="00FF2B68"/>
    <w:rsid w:val="00FF2F2D"/>
    <w:rsid w:val="00FF35DC"/>
    <w:rsid w:val="00FF3938"/>
    <w:rsid w:val="00FF3C72"/>
    <w:rsid w:val="00FF45C4"/>
    <w:rsid w:val="00FF4C16"/>
    <w:rsid w:val="00FF645E"/>
    <w:rsid w:val="00FF6A1D"/>
    <w:rsid w:val="00FF6A33"/>
    <w:rsid w:val="00FF6DCC"/>
    <w:rsid w:val="00FF6FCE"/>
    <w:rsid w:val="00FF7518"/>
    <w:rsid w:val="00FF7FD8"/>
    <w:rsid w:val="010E4768"/>
    <w:rsid w:val="011D2710"/>
    <w:rsid w:val="01213882"/>
    <w:rsid w:val="01227446"/>
    <w:rsid w:val="01473274"/>
    <w:rsid w:val="0154258E"/>
    <w:rsid w:val="01545A05"/>
    <w:rsid w:val="01626374"/>
    <w:rsid w:val="017974A0"/>
    <w:rsid w:val="017F2242"/>
    <w:rsid w:val="01A46FD7"/>
    <w:rsid w:val="01A5756C"/>
    <w:rsid w:val="01AD5116"/>
    <w:rsid w:val="01B10E26"/>
    <w:rsid w:val="01B5355D"/>
    <w:rsid w:val="01BC3B7D"/>
    <w:rsid w:val="01BF6E5C"/>
    <w:rsid w:val="01D06AE7"/>
    <w:rsid w:val="01D7446A"/>
    <w:rsid w:val="01D84626"/>
    <w:rsid w:val="01E40897"/>
    <w:rsid w:val="01E773D7"/>
    <w:rsid w:val="02056D00"/>
    <w:rsid w:val="02087FA9"/>
    <w:rsid w:val="02197358"/>
    <w:rsid w:val="021E7AC7"/>
    <w:rsid w:val="021F55F6"/>
    <w:rsid w:val="022E1342"/>
    <w:rsid w:val="022F31F5"/>
    <w:rsid w:val="023B4376"/>
    <w:rsid w:val="024E4B4B"/>
    <w:rsid w:val="025F28B4"/>
    <w:rsid w:val="026B07D4"/>
    <w:rsid w:val="026F4272"/>
    <w:rsid w:val="027619AC"/>
    <w:rsid w:val="02907891"/>
    <w:rsid w:val="029937F8"/>
    <w:rsid w:val="02BC0DC9"/>
    <w:rsid w:val="02BE3A7E"/>
    <w:rsid w:val="02BE79EA"/>
    <w:rsid w:val="02C97C01"/>
    <w:rsid w:val="02DA1FB0"/>
    <w:rsid w:val="02EA3BED"/>
    <w:rsid w:val="02EE76E8"/>
    <w:rsid w:val="02F40391"/>
    <w:rsid w:val="02F72AEC"/>
    <w:rsid w:val="031A1F95"/>
    <w:rsid w:val="032C7E00"/>
    <w:rsid w:val="034D095E"/>
    <w:rsid w:val="035C732C"/>
    <w:rsid w:val="039019C5"/>
    <w:rsid w:val="03975AC9"/>
    <w:rsid w:val="03C055D4"/>
    <w:rsid w:val="03DA1516"/>
    <w:rsid w:val="03FE171B"/>
    <w:rsid w:val="040669D1"/>
    <w:rsid w:val="040F3E66"/>
    <w:rsid w:val="041B2008"/>
    <w:rsid w:val="04403ACC"/>
    <w:rsid w:val="045D1D1D"/>
    <w:rsid w:val="046A0196"/>
    <w:rsid w:val="049C10A3"/>
    <w:rsid w:val="04CB4BDD"/>
    <w:rsid w:val="051171FD"/>
    <w:rsid w:val="05435DE9"/>
    <w:rsid w:val="05436474"/>
    <w:rsid w:val="055F2BCB"/>
    <w:rsid w:val="05642768"/>
    <w:rsid w:val="05742AC8"/>
    <w:rsid w:val="05874064"/>
    <w:rsid w:val="05D500EA"/>
    <w:rsid w:val="05EA1D49"/>
    <w:rsid w:val="05FE0636"/>
    <w:rsid w:val="06025962"/>
    <w:rsid w:val="061A35D5"/>
    <w:rsid w:val="062449FC"/>
    <w:rsid w:val="06335C5F"/>
    <w:rsid w:val="06352F05"/>
    <w:rsid w:val="063E7D85"/>
    <w:rsid w:val="06514EE9"/>
    <w:rsid w:val="065169B7"/>
    <w:rsid w:val="065D535C"/>
    <w:rsid w:val="068762D2"/>
    <w:rsid w:val="06B471C5"/>
    <w:rsid w:val="06B5358E"/>
    <w:rsid w:val="06C46E50"/>
    <w:rsid w:val="070875E0"/>
    <w:rsid w:val="07091040"/>
    <w:rsid w:val="070E6F52"/>
    <w:rsid w:val="07287718"/>
    <w:rsid w:val="07293586"/>
    <w:rsid w:val="07295285"/>
    <w:rsid w:val="072B0FB7"/>
    <w:rsid w:val="07410C17"/>
    <w:rsid w:val="07770C56"/>
    <w:rsid w:val="07A1396F"/>
    <w:rsid w:val="07CC0B06"/>
    <w:rsid w:val="07E5385B"/>
    <w:rsid w:val="07FD24AE"/>
    <w:rsid w:val="080122F8"/>
    <w:rsid w:val="08031E65"/>
    <w:rsid w:val="082A7192"/>
    <w:rsid w:val="08413E84"/>
    <w:rsid w:val="084376A1"/>
    <w:rsid w:val="084831C5"/>
    <w:rsid w:val="08536A17"/>
    <w:rsid w:val="086C5D2B"/>
    <w:rsid w:val="088A2819"/>
    <w:rsid w:val="08A529A3"/>
    <w:rsid w:val="08DD53BC"/>
    <w:rsid w:val="08E42CD4"/>
    <w:rsid w:val="08EA6DE1"/>
    <w:rsid w:val="08FF094D"/>
    <w:rsid w:val="09105A88"/>
    <w:rsid w:val="09141773"/>
    <w:rsid w:val="092217DD"/>
    <w:rsid w:val="09332672"/>
    <w:rsid w:val="093A7294"/>
    <w:rsid w:val="09444D47"/>
    <w:rsid w:val="09570B18"/>
    <w:rsid w:val="09571EDD"/>
    <w:rsid w:val="096867E1"/>
    <w:rsid w:val="0972111F"/>
    <w:rsid w:val="097A309B"/>
    <w:rsid w:val="09905A49"/>
    <w:rsid w:val="099217C1"/>
    <w:rsid w:val="099634C9"/>
    <w:rsid w:val="099E1F14"/>
    <w:rsid w:val="09D73678"/>
    <w:rsid w:val="0A110938"/>
    <w:rsid w:val="0A1A1C85"/>
    <w:rsid w:val="0A776340"/>
    <w:rsid w:val="0A9B45AE"/>
    <w:rsid w:val="0A9D041D"/>
    <w:rsid w:val="0AC27E20"/>
    <w:rsid w:val="0AD607BA"/>
    <w:rsid w:val="0ADF0293"/>
    <w:rsid w:val="0AED21F9"/>
    <w:rsid w:val="0AF56034"/>
    <w:rsid w:val="0B0B182B"/>
    <w:rsid w:val="0B112BA2"/>
    <w:rsid w:val="0B2E7C12"/>
    <w:rsid w:val="0B3841BC"/>
    <w:rsid w:val="0B603C52"/>
    <w:rsid w:val="0B6158EF"/>
    <w:rsid w:val="0B690AE4"/>
    <w:rsid w:val="0B864A5C"/>
    <w:rsid w:val="0BAB6B6A"/>
    <w:rsid w:val="0BB02CEF"/>
    <w:rsid w:val="0BC92760"/>
    <w:rsid w:val="0BD27BF6"/>
    <w:rsid w:val="0BDB59C3"/>
    <w:rsid w:val="0BE856C8"/>
    <w:rsid w:val="0BEB2D30"/>
    <w:rsid w:val="0C29239D"/>
    <w:rsid w:val="0C504C35"/>
    <w:rsid w:val="0C512A32"/>
    <w:rsid w:val="0C547621"/>
    <w:rsid w:val="0C57284E"/>
    <w:rsid w:val="0C6F7B97"/>
    <w:rsid w:val="0C954619"/>
    <w:rsid w:val="0CAE6912"/>
    <w:rsid w:val="0CB11F5E"/>
    <w:rsid w:val="0CB35BFE"/>
    <w:rsid w:val="0CEE6149"/>
    <w:rsid w:val="0D046532"/>
    <w:rsid w:val="0D2328AC"/>
    <w:rsid w:val="0D4C7ED9"/>
    <w:rsid w:val="0D884979"/>
    <w:rsid w:val="0D9C29B3"/>
    <w:rsid w:val="0DC115BD"/>
    <w:rsid w:val="0DC65083"/>
    <w:rsid w:val="0DDF2AFB"/>
    <w:rsid w:val="0DE325EB"/>
    <w:rsid w:val="0DE623D0"/>
    <w:rsid w:val="0DF2282E"/>
    <w:rsid w:val="0DFE7425"/>
    <w:rsid w:val="0E110D06"/>
    <w:rsid w:val="0E1E0331"/>
    <w:rsid w:val="0E296156"/>
    <w:rsid w:val="0E2B1624"/>
    <w:rsid w:val="0E2F5830"/>
    <w:rsid w:val="0E3D2534"/>
    <w:rsid w:val="0E5636AF"/>
    <w:rsid w:val="0E586104"/>
    <w:rsid w:val="0EA02AA8"/>
    <w:rsid w:val="0EBB37EE"/>
    <w:rsid w:val="0EBF032A"/>
    <w:rsid w:val="0EC532D1"/>
    <w:rsid w:val="0F13775A"/>
    <w:rsid w:val="0F184516"/>
    <w:rsid w:val="0F577D49"/>
    <w:rsid w:val="0F5D0F03"/>
    <w:rsid w:val="0F637E53"/>
    <w:rsid w:val="0F7B73EE"/>
    <w:rsid w:val="0F8B0483"/>
    <w:rsid w:val="0F97377A"/>
    <w:rsid w:val="0F9A112B"/>
    <w:rsid w:val="0FD37D58"/>
    <w:rsid w:val="0FDD363C"/>
    <w:rsid w:val="0FE22E5A"/>
    <w:rsid w:val="0FEB7439"/>
    <w:rsid w:val="100B5E29"/>
    <w:rsid w:val="101738C1"/>
    <w:rsid w:val="10392996"/>
    <w:rsid w:val="103A670E"/>
    <w:rsid w:val="1041267E"/>
    <w:rsid w:val="106D2F64"/>
    <w:rsid w:val="10A47358"/>
    <w:rsid w:val="10B63710"/>
    <w:rsid w:val="10E5389E"/>
    <w:rsid w:val="1102637D"/>
    <w:rsid w:val="11140D0D"/>
    <w:rsid w:val="111C2F7A"/>
    <w:rsid w:val="111D7BC2"/>
    <w:rsid w:val="113013DE"/>
    <w:rsid w:val="11431086"/>
    <w:rsid w:val="11566BEB"/>
    <w:rsid w:val="11820065"/>
    <w:rsid w:val="11970999"/>
    <w:rsid w:val="11AA7FD1"/>
    <w:rsid w:val="122B06C2"/>
    <w:rsid w:val="123B2A31"/>
    <w:rsid w:val="12565EFA"/>
    <w:rsid w:val="125A31CA"/>
    <w:rsid w:val="129541AD"/>
    <w:rsid w:val="129760C0"/>
    <w:rsid w:val="129D161A"/>
    <w:rsid w:val="12A367ED"/>
    <w:rsid w:val="12C41F90"/>
    <w:rsid w:val="12CC12F4"/>
    <w:rsid w:val="12DB1683"/>
    <w:rsid w:val="12E25511"/>
    <w:rsid w:val="13053004"/>
    <w:rsid w:val="132E34FB"/>
    <w:rsid w:val="13317B67"/>
    <w:rsid w:val="133E1B96"/>
    <w:rsid w:val="13546CF4"/>
    <w:rsid w:val="138043D7"/>
    <w:rsid w:val="1390019C"/>
    <w:rsid w:val="13951726"/>
    <w:rsid w:val="139B434F"/>
    <w:rsid w:val="139D3726"/>
    <w:rsid w:val="13AA0B9D"/>
    <w:rsid w:val="13C3617E"/>
    <w:rsid w:val="13D824C1"/>
    <w:rsid w:val="13E50359"/>
    <w:rsid w:val="13E75B04"/>
    <w:rsid w:val="14396509"/>
    <w:rsid w:val="143C2786"/>
    <w:rsid w:val="1447165C"/>
    <w:rsid w:val="14751CF1"/>
    <w:rsid w:val="1488393A"/>
    <w:rsid w:val="14966978"/>
    <w:rsid w:val="14AD259B"/>
    <w:rsid w:val="14D27EAB"/>
    <w:rsid w:val="14EE1963"/>
    <w:rsid w:val="152F1CE8"/>
    <w:rsid w:val="1555056B"/>
    <w:rsid w:val="157A4D07"/>
    <w:rsid w:val="15871191"/>
    <w:rsid w:val="15942652"/>
    <w:rsid w:val="159B19FD"/>
    <w:rsid w:val="15A76263"/>
    <w:rsid w:val="15AC57A3"/>
    <w:rsid w:val="15BB7539"/>
    <w:rsid w:val="15D41DB5"/>
    <w:rsid w:val="15E65140"/>
    <w:rsid w:val="15FF4C99"/>
    <w:rsid w:val="162645DF"/>
    <w:rsid w:val="16423FC8"/>
    <w:rsid w:val="164A7743"/>
    <w:rsid w:val="16523E00"/>
    <w:rsid w:val="16551CB8"/>
    <w:rsid w:val="1657194B"/>
    <w:rsid w:val="1686445B"/>
    <w:rsid w:val="169326D4"/>
    <w:rsid w:val="16A668AC"/>
    <w:rsid w:val="16AA387D"/>
    <w:rsid w:val="16B13091"/>
    <w:rsid w:val="16B26FFE"/>
    <w:rsid w:val="16BA4105"/>
    <w:rsid w:val="16BF3F35"/>
    <w:rsid w:val="16C17B49"/>
    <w:rsid w:val="16D70A12"/>
    <w:rsid w:val="16DE50D7"/>
    <w:rsid w:val="16E92044"/>
    <w:rsid w:val="1703785A"/>
    <w:rsid w:val="171C5F72"/>
    <w:rsid w:val="17251F3E"/>
    <w:rsid w:val="1761662F"/>
    <w:rsid w:val="17735226"/>
    <w:rsid w:val="177B3894"/>
    <w:rsid w:val="179B0C15"/>
    <w:rsid w:val="17A025AC"/>
    <w:rsid w:val="17A075C3"/>
    <w:rsid w:val="17CB5B7B"/>
    <w:rsid w:val="17D14953"/>
    <w:rsid w:val="17E172DE"/>
    <w:rsid w:val="17F416E2"/>
    <w:rsid w:val="18165CC8"/>
    <w:rsid w:val="181674CA"/>
    <w:rsid w:val="182328E0"/>
    <w:rsid w:val="18321504"/>
    <w:rsid w:val="186364ED"/>
    <w:rsid w:val="1872143A"/>
    <w:rsid w:val="187E47A8"/>
    <w:rsid w:val="188136F9"/>
    <w:rsid w:val="189C6D31"/>
    <w:rsid w:val="189E6879"/>
    <w:rsid w:val="18BA6608"/>
    <w:rsid w:val="18BF1EA7"/>
    <w:rsid w:val="18D07C10"/>
    <w:rsid w:val="18E97101"/>
    <w:rsid w:val="18EB167C"/>
    <w:rsid w:val="191F4AA9"/>
    <w:rsid w:val="195A27CD"/>
    <w:rsid w:val="19720CC7"/>
    <w:rsid w:val="19762560"/>
    <w:rsid w:val="19A86F85"/>
    <w:rsid w:val="19CC2E99"/>
    <w:rsid w:val="19DC5635"/>
    <w:rsid w:val="1A0874E1"/>
    <w:rsid w:val="1A1C66C0"/>
    <w:rsid w:val="1A42393B"/>
    <w:rsid w:val="1A585142"/>
    <w:rsid w:val="1A592F7D"/>
    <w:rsid w:val="1A703458"/>
    <w:rsid w:val="1A73453E"/>
    <w:rsid w:val="1A8206C2"/>
    <w:rsid w:val="1A8E7D82"/>
    <w:rsid w:val="1A9223BA"/>
    <w:rsid w:val="1A960147"/>
    <w:rsid w:val="1AB32536"/>
    <w:rsid w:val="1ACA28D2"/>
    <w:rsid w:val="1AD37EE4"/>
    <w:rsid w:val="1AE5328E"/>
    <w:rsid w:val="1AE85E71"/>
    <w:rsid w:val="1AFF3E97"/>
    <w:rsid w:val="1B046F80"/>
    <w:rsid w:val="1B065C4D"/>
    <w:rsid w:val="1B0700AB"/>
    <w:rsid w:val="1B0B3181"/>
    <w:rsid w:val="1B20508D"/>
    <w:rsid w:val="1B2D4292"/>
    <w:rsid w:val="1B3267B5"/>
    <w:rsid w:val="1B780D70"/>
    <w:rsid w:val="1BA01A61"/>
    <w:rsid w:val="1BC014A9"/>
    <w:rsid w:val="1BC25DC8"/>
    <w:rsid w:val="1C054506"/>
    <w:rsid w:val="1C1F016D"/>
    <w:rsid w:val="1C3128DA"/>
    <w:rsid w:val="1C5E7925"/>
    <w:rsid w:val="1C6504EF"/>
    <w:rsid w:val="1C687431"/>
    <w:rsid w:val="1C71170A"/>
    <w:rsid w:val="1C83462D"/>
    <w:rsid w:val="1C887FC8"/>
    <w:rsid w:val="1C94069B"/>
    <w:rsid w:val="1CC30E77"/>
    <w:rsid w:val="1CC47F14"/>
    <w:rsid w:val="1D0460DA"/>
    <w:rsid w:val="1D0F143B"/>
    <w:rsid w:val="1D132287"/>
    <w:rsid w:val="1D3E23CA"/>
    <w:rsid w:val="1D4209B0"/>
    <w:rsid w:val="1D4D5C84"/>
    <w:rsid w:val="1D5F6196"/>
    <w:rsid w:val="1D6132A5"/>
    <w:rsid w:val="1D735878"/>
    <w:rsid w:val="1D8E56D5"/>
    <w:rsid w:val="1D906954"/>
    <w:rsid w:val="1D9C6F32"/>
    <w:rsid w:val="1DA62689"/>
    <w:rsid w:val="1DAD33DB"/>
    <w:rsid w:val="1DBB15E6"/>
    <w:rsid w:val="1DC65830"/>
    <w:rsid w:val="1E051276"/>
    <w:rsid w:val="1E0D0514"/>
    <w:rsid w:val="1E1E77F6"/>
    <w:rsid w:val="1E202C67"/>
    <w:rsid w:val="1E2F362A"/>
    <w:rsid w:val="1E5324C3"/>
    <w:rsid w:val="1E7A43DA"/>
    <w:rsid w:val="1EA71413"/>
    <w:rsid w:val="1EA74763"/>
    <w:rsid w:val="1EB277FE"/>
    <w:rsid w:val="1EF87EC0"/>
    <w:rsid w:val="1F1D7927"/>
    <w:rsid w:val="1F3E000F"/>
    <w:rsid w:val="1F5E5154"/>
    <w:rsid w:val="1F616E1E"/>
    <w:rsid w:val="1F6319C3"/>
    <w:rsid w:val="1F8F6F25"/>
    <w:rsid w:val="1F9A55BB"/>
    <w:rsid w:val="1FB060A5"/>
    <w:rsid w:val="1FBE44E9"/>
    <w:rsid w:val="1FDB0899"/>
    <w:rsid w:val="1FE7539E"/>
    <w:rsid w:val="1FFA7D37"/>
    <w:rsid w:val="200859E1"/>
    <w:rsid w:val="203767C6"/>
    <w:rsid w:val="205D447F"/>
    <w:rsid w:val="206F285C"/>
    <w:rsid w:val="20862913"/>
    <w:rsid w:val="208D2BC6"/>
    <w:rsid w:val="20963CB8"/>
    <w:rsid w:val="20AE6A78"/>
    <w:rsid w:val="20B07FB6"/>
    <w:rsid w:val="20B1342A"/>
    <w:rsid w:val="20B53DFF"/>
    <w:rsid w:val="20C548AE"/>
    <w:rsid w:val="20CC4A16"/>
    <w:rsid w:val="20DA5ACF"/>
    <w:rsid w:val="21155786"/>
    <w:rsid w:val="21317F31"/>
    <w:rsid w:val="213279B0"/>
    <w:rsid w:val="213B74B1"/>
    <w:rsid w:val="21535DBC"/>
    <w:rsid w:val="215521F6"/>
    <w:rsid w:val="215A2310"/>
    <w:rsid w:val="216D2C68"/>
    <w:rsid w:val="21725D08"/>
    <w:rsid w:val="219464A4"/>
    <w:rsid w:val="21A8172A"/>
    <w:rsid w:val="21AD2413"/>
    <w:rsid w:val="21B87493"/>
    <w:rsid w:val="21C127EB"/>
    <w:rsid w:val="21C43F98"/>
    <w:rsid w:val="21C642F6"/>
    <w:rsid w:val="21CA2889"/>
    <w:rsid w:val="21CC6B18"/>
    <w:rsid w:val="21D2413D"/>
    <w:rsid w:val="21DE318A"/>
    <w:rsid w:val="21E2290D"/>
    <w:rsid w:val="21EF5B80"/>
    <w:rsid w:val="21F63C41"/>
    <w:rsid w:val="22081B04"/>
    <w:rsid w:val="220B78C3"/>
    <w:rsid w:val="22195562"/>
    <w:rsid w:val="22310478"/>
    <w:rsid w:val="22325497"/>
    <w:rsid w:val="223A701D"/>
    <w:rsid w:val="223C4689"/>
    <w:rsid w:val="223F2106"/>
    <w:rsid w:val="22531874"/>
    <w:rsid w:val="22544D97"/>
    <w:rsid w:val="22556E39"/>
    <w:rsid w:val="22576990"/>
    <w:rsid w:val="228D79B4"/>
    <w:rsid w:val="229659A6"/>
    <w:rsid w:val="229C4EAB"/>
    <w:rsid w:val="22B81ACA"/>
    <w:rsid w:val="22C26507"/>
    <w:rsid w:val="22DD08EB"/>
    <w:rsid w:val="22F610D4"/>
    <w:rsid w:val="22FF51E2"/>
    <w:rsid w:val="230D7BC7"/>
    <w:rsid w:val="231921B3"/>
    <w:rsid w:val="2329689A"/>
    <w:rsid w:val="232F1E79"/>
    <w:rsid w:val="23392073"/>
    <w:rsid w:val="236553F8"/>
    <w:rsid w:val="23774AE1"/>
    <w:rsid w:val="2383694F"/>
    <w:rsid w:val="23A723A0"/>
    <w:rsid w:val="23A800D1"/>
    <w:rsid w:val="23D070B1"/>
    <w:rsid w:val="23D305B4"/>
    <w:rsid w:val="23EC181B"/>
    <w:rsid w:val="23EF1892"/>
    <w:rsid w:val="241734A1"/>
    <w:rsid w:val="241B52AE"/>
    <w:rsid w:val="2422439F"/>
    <w:rsid w:val="24264E97"/>
    <w:rsid w:val="24525B8A"/>
    <w:rsid w:val="24547947"/>
    <w:rsid w:val="24822706"/>
    <w:rsid w:val="249F46BE"/>
    <w:rsid w:val="24A04D29"/>
    <w:rsid w:val="24C06D8A"/>
    <w:rsid w:val="24D676CE"/>
    <w:rsid w:val="25054EE4"/>
    <w:rsid w:val="2524556B"/>
    <w:rsid w:val="252C72A3"/>
    <w:rsid w:val="252D53FE"/>
    <w:rsid w:val="25423C43"/>
    <w:rsid w:val="25506360"/>
    <w:rsid w:val="2561056D"/>
    <w:rsid w:val="256911D0"/>
    <w:rsid w:val="256C4164"/>
    <w:rsid w:val="25724088"/>
    <w:rsid w:val="25875771"/>
    <w:rsid w:val="258D5FED"/>
    <w:rsid w:val="25A14A69"/>
    <w:rsid w:val="25AD76E0"/>
    <w:rsid w:val="25AF576B"/>
    <w:rsid w:val="25D03BD0"/>
    <w:rsid w:val="25D92FAC"/>
    <w:rsid w:val="25D97230"/>
    <w:rsid w:val="25DB06E1"/>
    <w:rsid w:val="25DD7D90"/>
    <w:rsid w:val="25E40032"/>
    <w:rsid w:val="25E450F5"/>
    <w:rsid w:val="25EC2D81"/>
    <w:rsid w:val="25FD21F1"/>
    <w:rsid w:val="260357AC"/>
    <w:rsid w:val="26035CC8"/>
    <w:rsid w:val="26060902"/>
    <w:rsid w:val="26292AFE"/>
    <w:rsid w:val="26323CB8"/>
    <w:rsid w:val="264528BD"/>
    <w:rsid w:val="265C5899"/>
    <w:rsid w:val="266E2653"/>
    <w:rsid w:val="26754128"/>
    <w:rsid w:val="269E7F7B"/>
    <w:rsid w:val="26B4291F"/>
    <w:rsid w:val="26C37263"/>
    <w:rsid w:val="26E04053"/>
    <w:rsid w:val="270A6E69"/>
    <w:rsid w:val="270D6739"/>
    <w:rsid w:val="27127645"/>
    <w:rsid w:val="271C2272"/>
    <w:rsid w:val="271D04C4"/>
    <w:rsid w:val="279E66DD"/>
    <w:rsid w:val="27BD5803"/>
    <w:rsid w:val="27BF56D9"/>
    <w:rsid w:val="27D15DD1"/>
    <w:rsid w:val="27D72D69"/>
    <w:rsid w:val="27DD0881"/>
    <w:rsid w:val="27FD10E1"/>
    <w:rsid w:val="28504CA3"/>
    <w:rsid w:val="28534277"/>
    <w:rsid w:val="285919D0"/>
    <w:rsid w:val="2860352B"/>
    <w:rsid w:val="28615DEC"/>
    <w:rsid w:val="28663183"/>
    <w:rsid w:val="28786E47"/>
    <w:rsid w:val="2886598D"/>
    <w:rsid w:val="28A76295"/>
    <w:rsid w:val="28B34613"/>
    <w:rsid w:val="28BE0964"/>
    <w:rsid w:val="28C11F60"/>
    <w:rsid w:val="28C35B79"/>
    <w:rsid w:val="28C50E13"/>
    <w:rsid w:val="28C70A20"/>
    <w:rsid w:val="28C8445F"/>
    <w:rsid w:val="28CD1B01"/>
    <w:rsid w:val="28EC1355"/>
    <w:rsid w:val="2900059C"/>
    <w:rsid w:val="290053A3"/>
    <w:rsid w:val="29127DD1"/>
    <w:rsid w:val="291C26A7"/>
    <w:rsid w:val="29206EB8"/>
    <w:rsid w:val="294377C6"/>
    <w:rsid w:val="296D5007"/>
    <w:rsid w:val="29831590"/>
    <w:rsid w:val="29A3217A"/>
    <w:rsid w:val="29AC6EB1"/>
    <w:rsid w:val="29C35C8B"/>
    <w:rsid w:val="29D44611"/>
    <w:rsid w:val="29D4796F"/>
    <w:rsid w:val="29D568E6"/>
    <w:rsid w:val="29D94A08"/>
    <w:rsid w:val="29E325E0"/>
    <w:rsid w:val="29F6324E"/>
    <w:rsid w:val="2A115EE0"/>
    <w:rsid w:val="2A116580"/>
    <w:rsid w:val="2A1A6F3D"/>
    <w:rsid w:val="2A233427"/>
    <w:rsid w:val="2A303588"/>
    <w:rsid w:val="2A306DB6"/>
    <w:rsid w:val="2A452503"/>
    <w:rsid w:val="2A6A10EE"/>
    <w:rsid w:val="2A7E1A56"/>
    <w:rsid w:val="2AB27479"/>
    <w:rsid w:val="2AB729DE"/>
    <w:rsid w:val="2AB85A20"/>
    <w:rsid w:val="2ABB0720"/>
    <w:rsid w:val="2AC62C21"/>
    <w:rsid w:val="2ACE347E"/>
    <w:rsid w:val="2AD57308"/>
    <w:rsid w:val="2AE21897"/>
    <w:rsid w:val="2AE830F1"/>
    <w:rsid w:val="2B133327"/>
    <w:rsid w:val="2B28067D"/>
    <w:rsid w:val="2B421532"/>
    <w:rsid w:val="2B85488A"/>
    <w:rsid w:val="2B8946CD"/>
    <w:rsid w:val="2B943ED6"/>
    <w:rsid w:val="2BA936A8"/>
    <w:rsid w:val="2BB419E0"/>
    <w:rsid w:val="2BC07F66"/>
    <w:rsid w:val="2BDD3B41"/>
    <w:rsid w:val="2C1C51EE"/>
    <w:rsid w:val="2C2266CC"/>
    <w:rsid w:val="2C315A5A"/>
    <w:rsid w:val="2C362EE2"/>
    <w:rsid w:val="2C3B5479"/>
    <w:rsid w:val="2C4B4DA3"/>
    <w:rsid w:val="2C4C53A8"/>
    <w:rsid w:val="2C5A06D1"/>
    <w:rsid w:val="2C620C30"/>
    <w:rsid w:val="2C9805ED"/>
    <w:rsid w:val="2CA23219"/>
    <w:rsid w:val="2CAD5535"/>
    <w:rsid w:val="2CB167D9"/>
    <w:rsid w:val="2CC32CB2"/>
    <w:rsid w:val="2CD51841"/>
    <w:rsid w:val="2CDE2177"/>
    <w:rsid w:val="2CE06D1E"/>
    <w:rsid w:val="2CF37A4F"/>
    <w:rsid w:val="2CFC0B7C"/>
    <w:rsid w:val="2D045FEB"/>
    <w:rsid w:val="2D783141"/>
    <w:rsid w:val="2D825424"/>
    <w:rsid w:val="2D9B1C9C"/>
    <w:rsid w:val="2D9E56F5"/>
    <w:rsid w:val="2DD2105E"/>
    <w:rsid w:val="2DFE48E4"/>
    <w:rsid w:val="2E057F04"/>
    <w:rsid w:val="2E5521EA"/>
    <w:rsid w:val="2E554212"/>
    <w:rsid w:val="2E5833B3"/>
    <w:rsid w:val="2E667F96"/>
    <w:rsid w:val="2E6B5C4D"/>
    <w:rsid w:val="2E734774"/>
    <w:rsid w:val="2E8226AB"/>
    <w:rsid w:val="2E936FE3"/>
    <w:rsid w:val="2EB74EDA"/>
    <w:rsid w:val="2EB97693"/>
    <w:rsid w:val="2ECD473B"/>
    <w:rsid w:val="2ECD508B"/>
    <w:rsid w:val="2EDB4EE9"/>
    <w:rsid w:val="2F273F4D"/>
    <w:rsid w:val="2F3B2B02"/>
    <w:rsid w:val="2F4C10DE"/>
    <w:rsid w:val="2F503401"/>
    <w:rsid w:val="2F832C79"/>
    <w:rsid w:val="2F862216"/>
    <w:rsid w:val="2F883E37"/>
    <w:rsid w:val="2F921C13"/>
    <w:rsid w:val="2FBB2402"/>
    <w:rsid w:val="2FE04785"/>
    <w:rsid w:val="2FE12344"/>
    <w:rsid w:val="2FEF2D58"/>
    <w:rsid w:val="2FFA2F2D"/>
    <w:rsid w:val="30473135"/>
    <w:rsid w:val="304B77C7"/>
    <w:rsid w:val="30580BC9"/>
    <w:rsid w:val="309B06AC"/>
    <w:rsid w:val="30DA4A91"/>
    <w:rsid w:val="30F85AFE"/>
    <w:rsid w:val="310F2CE0"/>
    <w:rsid w:val="31103171"/>
    <w:rsid w:val="311E2ED7"/>
    <w:rsid w:val="311E6B02"/>
    <w:rsid w:val="312759D2"/>
    <w:rsid w:val="31466869"/>
    <w:rsid w:val="31490108"/>
    <w:rsid w:val="315C449C"/>
    <w:rsid w:val="31627A93"/>
    <w:rsid w:val="31647AB4"/>
    <w:rsid w:val="31A07731"/>
    <w:rsid w:val="31A6555A"/>
    <w:rsid w:val="31B50DE8"/>
    <w:rsid w:val="31B76F51"/>
    <w:rsid w:val="31B82709"/>
    <w:rsid w:val="31CB6D6E"/>
    <w:rsid w:val="31D91E2D"/>
    <w:rsid w:val="31FE7144"/>
    <w:rsid w:val="320C391D"/>
    <w:rsid w:val="322A1E2D"/>
    <w:rsid w:val="322A6639"/>
    <w:rsid w:val="32372F21"/>
    <w:rsid w:val="323E277C"/>
    <w:rsid w:val="32400B34"/>
    <w:rsid w:val="3268280A"/>
    <w:rsid w:val="326B676C"/>
    <w:rsid w:val="32806966"/>
    <w:rsid w:val="32935A2E"/>
    <w:rsid w:val="329E6876"/>
    <w:rsid w:val="32C959A4"/>
    <w:rsid w:val="32D65578"/>
    <w:rsid w:val="32DD4741"/>
    <w:rsid w:val="32F50547"/>
    <w:rsid w:val="32F551A9"/>
    <w:rsid w:val="32FD11AA"/>
    <w:rsid w:val="330F50AA"/>
    <w:rsid w:val="33183F80"/>
    <w:rsid w:val="333F5C8F"/>
    <w:rsid w:val="334674BA"/>
    <w:rsid w:val="33702811"/>
    <w:rsid w:val="339E0BDF"/>
    <w:rsid w:val="33B45D0C"/>
    <w:rsid w:val="33B52366"/>
    <w:rsid w:val="33CD0C7D"/>
    <w:rsid w:val="33D934D4"/>
    <w:rsid w:val="33DF4AA3"/>
    <w:rsid w:val="33EA211C"/>
    <w:rsid w:val="33EF053A"/>
    <w:rsid w:val="33F41206"/>
    <w:rsid w:val="33F61BC9"/>
    <w:rsid w:val="33FE2F6A"/>
    <w:rsid w:val="340F3C54"/>
    <w:rsid w:val="34233BB8"/>
    <w:rsid w:val="342F7ADE"/>
    <w:rsid w:val="34303C0B"/>
    <w:rsid w:val="34710811"/>
    <w:rsid w:val="347C4A5E"/>
    <w:rsid w:val="348E47AF"/>
    <w:rsid w:val="349D2C44"/>
    <w:rsid w:val="34B32F80"/>
    <w:rsid w:val="34E33C07"/>
    <w:rsid w:val="3518589F"/>
    <w:rsid w:val="35220C33"/>
    <w:rsid w:val="352E5F92"/>
    <w:rsid w:val="35386C07"/>
    <w:rsid w:val="35402E70"/>
    <w:rsid w:val="35543FC7"/>
    <w:rsid w:val="356D0868"/>
    <w:rsid w:val="358613FE"/>
    <w:rsid w:val="358F73E1"/>
    <w:rsid w:val="359A136B"/>
    <w:rsid w:val="35CF1F03"/>
    <w:rsid w:val="35D54660"/>
    <w:rsid w:val="35DB6891"/>
    <w:rsid w:val="35DF64BD"/>
    <w:rsid w:val="35EB7CF5"/>
    <w:rsid w:val="35F07A71"/>
    <w:rsid w:val="36074A7F"/>
    <w:rsid w:val="361C403D"/>
    <w:rsid w:val="362B41D9"/>
    <w:rsid w:val="364C5817"/>
    <w:rsid w:val="36533F86"/>
    <w:rsid w:val="3676199F"/>
    <w:rsid w:val="369210AA"/>
    <w:rsid w:val="36923549"/>
    <w:rsid w:val="36B75FBF"/>
    <w:rsid w:val="36BA5D2F"/>
    <w:rsid w:val="36BB4CF2"/>
    <w:rsid w:val="36D2377C"/>
    <w:rsid w:val="36DA0180"/>
    <w:rsid w:val="36E36908"/>
    <w:rsid w:val="36FB4891"/>
    <w:rsid w:val="372D6C67"/>
    <w:rsid w:val="3749391C"/>
    <w:rsid w:val="374E46CA"/>
    <w:rsid w:val="37632311"/>
    <w:rsid w:val="376E32DC"/>
    <w:rsid w:val="37737C8C"/>
    <w:rsid w:val="37774822"/>
    <w:rsid w:val="37852EA4"/>
    <w:rsid w:val="37AC5BB4"/>
    <w:rsid w:val="37CE1367"/>
    <w:rsid w:val="38165490"/>
    <w:rsid w:val="381C47C8"/>
    <w:rsid w:val="381E22EE"/>
    <w:rsid w:val="382B205C"/>
    <w:rsid w:val="38437BF7"/>
    <w:rsid w:val="3844172D"/>
    <w:rsid w:val="386F1CF1"/>
    <w:rsid w:val="38A81D6D"/>
    <w:rsid w:val="38A904E9"/>
    <w:rsid w:val="38DB01DF"/>
    <w:rsid w:val="38DD7AB3"/>
    <w:rsid w:val="38E06A0F"/>
    <w:rsid w:val="38F12CD3"/>
    <w:rsid w:val="38F94775"/>
    <w:rsid w:val="39245CCA"/>
    <w:rsid w:val="392971ED"/>
    <w:rsid w:val="392B222A"/>
    <w:rsid w:val="393A4BBC"/>
    <w:rsid w:val="394929E9"/>
    <w:rsid w:val="39515CD4"/>
    <w:rsid w:val="39567866"/>
    <w:rsid w:val="396D266B"/>
    <w:rsid w:val="397E0A16"/>
    <w:rsid w:val="39811605"/>
    <w:rsid w:val="3984353C"/>
    <w:rsid w:val="39854EB5"/>
    <w:rsid w:val="398723C3"/>
    <w:rsid w:val="39935882"/>
    <w:rsid w:val="39981C2C"/>
    <w:rsid w:val="39B42EA5"/>
    <w:rsid w:val="39BC1544"/>
    <w:rsid w:val="39CF0B21"/>
    <w:rsid w:val="39EA56E2"/>
    <w:rsid w:val="39F11616"/>
    <w:rsid w:val="39F84595"/>
    <w:rsid w:val="3A005C64"/>
    <w:rsid w:val="3A3C6A5B"/>
    <w:rsid w:val="3A484E6F"/>
    <w:rsid w:val="3A5203B5"/>
    <w:rsid w:val="3A60442C"/>
    <w:rsid w:val="3A6E6A9F"/>
    <w:rsid w:val="3A8D5B0C"/>
    <w:rsid w:val="3AB47B7B"/>
    <w:rsid w:val="3AC3657F"/>
    <w:rsid w:val="3ACD3AF2"/>
    <w:rsid w:val="3AD7395D"/>
    <w:rsid w:val="3AFF33B9"/>
    <w:rsid w:val="3B0361D7"/>
    <w:rsid w:val="3B0759D3"/>
    <w:rsid w:val="3B0B0F8B"/>
    <w:rsid w:val="3B274F17"/>
    <w:rsid w:val="3B2E100D"/>
    <w:rsid w:val="3B332724"/>
    <w:rsid w:val="3B3763D1"/>
    <w:rsid w:val="3B4543FC"/>
    <w:rsid w:val="3B673FAC"/>
    <w:rsid w:val="3B8A0A4E"/>
    <w:rsid w:val="3B8A268B"/>
    <w:rsid w:val="3BAD2329"/>
    <w:rsid w:val="3BB16FD5"/>
    <w:rsid w:val="3BBF5B96"/>
    <w:rsid w:val="3BCC6C63"/>
    <w:rsid w:val="3BDF1D94"/>
    <w:rsid w:val="3BF21AC7"/>
    <w:rsid w:val="3BFB4ED2"/>
    <w:rsid w:val="3C0E04A6"/>
    <w:rsid w:val="3C2105FF"/>
    <w:rsid w:val="3C2459F9"/>
    <w:rsid w:val="3C2C0FDD"/>
    <w:rsid w:val="3C385050"/>
    <w:rsid w:val="3C3A6D79"/>
    <w:rsid w:val="3C3C1CDF"/>
    <w:rsid w:val="3C3C7EA1"/>
    <w:rsid w:val="3C596335"/>
    <w:rsid w:val="3C611D07"/>
    <w:rsid w:val="3C6B75FD"/>
    <w:rsid w:val="3C8B2F8F"/>
    <w:rsid w:val="3CB52AF5"/>
    <w:rsid w:val="3CCB1DA2"/>
    <w:rsid w:val="3CDA245A"/>
    <w:rsid w:val="3CEE0A37"/>
    <w:rsid w:val="3CF31956"/>
    <w:rsid w:val="3D0106F2"/>
    <w:rsid w:val="3D071780"/>
    <w:rsid w:val="3D1F72F5"/>
    <w:rsid w:val="3D3A58D7"/>
    <w:rsid w:val="3D3F4027"/>
    <w:rsid w:val="3D575838"/>
    <w:rsid w:val="3D5B18EE"/>
    <w:rsid w:val="3D6F7BF9"/>
    <w:rsid w:val="3D9630BD"/>
    <w:rsid w:val="3DD875EE"/>
    <w:rsid w:val="3DE624DD"/>
    <w:rsid w:val="3DF7194C"/>
    <w:rsid w:val="3DF7565F"/>
    <w:rsid w:val="3DFF7B39"/>
    <w:rsid w:val="3E03620E"/>
    <w:rsid w:val="3E0C2BE9"/>
    <w:rsid w:val="3E190930"/>
    <w:rsid w:val="3E3C34CE"/>
    <w:rsid w:val="3E86299B"/>
    <w:rsid w:val="3E8B5257"/>
    <w:rsid w:val="3EA630B6"/>
    <w:rsid w:val="3ED02F20"/>
    <w:rsid w:val="3ED9341F"/>
    <w:rsid w:val="3F275F2C"/>
    <w:rsid w:val="3F373ECE"/>
    <w:rsid w:val="3F660E74"/>
    <w:rsid w:val="3F7171A7"/>
    <w:rsid w:val="3F7B55BA"/>
    <w:rsid w:val="3F7E33EB"/>
    <w:rsid w:val="3F7F2BE0"/>
    <w:rsid w:val="3FB90EC7"/>
    <w:rsid w:val="3FB93253"/>
    <w:rsid w:val="3FBD4FCD"/>
    <w:rsid w:val="3FFB0D42"/>
    <w:rsid w:val="40444FBC"/>
    <w:rsid w:val="404605CF"/>
    <w:rsid w:val="405C39B3"/>
    <w:rsid w:val="40610FCA"/>
    <w:rsid w:val="406A429C"/>
    <w:rsid w:val="407A6407"/>
    <w:rsid w:val="40A801F6"/>
    <w:rsid w:val="40CC4E74"/>
    <w:rsid w:val="40D306EA"/>
    <w:rsid w:val="40EF2859"/>
    <w:rsid w:val="40FD3E45"/>
    <w:rsid w:val="411A79FD"/>
    <w:rsid w:val="41214D61"/>
    <w:rsid w:val="415E745E"/>
    <w:rsid w:val="418418AD"/>
    <w:rsid w:val="418E6DA8"/>
    <w:rsid w:val="41986C6D"/>
    <w:rsid w:val="41BB55A3"/>
    <w:rsid w:val="41C061C4"/>
    <w:rsid w:val="41DC56CF"/>
    <w:rsid w:val="41ED6D1D"/>
    <w:rsid w:val="42064F0C"/>
    <w:rsid w:val="42072045"/>
    <w:rsid w:val="421B3994"/>
    <w:rsid w:val="422E137F"/>
    <w:rsid w:val="42300255"/>
    <w:rsid w:val="42302E6E"/>
    <w:rsid w:val="423A3BCC"/>
    <w:rsid w:val="42503F9B"/>
    <w:rsid w:val="42554EE6"/>
    <w:rsid w:val="427E5608"/>
    <w:rsid w:val="42B72CD1"/>
    <w:rsid w:val="42C27D1A"/>
    <w:rsid w:val="42CA1D5D"/>
    <w:rsid w:val="42FB1A21"/>
    <w:rsid w:val="432A0659"/>
    <w:rsid w:val="43301127"/>
    <w:rsid w:val="433A6FE6"/>
    <w:rsid w:val="4350713C"/>
    <w:rsid w:val="43621403"/>
    <w:rsid w:val="436653E0"/>
    <w:rsid w:val="4367317F"/>
    <w:rsid w:val="437D25BE"/>
    <w:rsid w:val="43902423"/>
    <w:rsid w:val="43C35982"/>
    <w:rsid w:val="43E3619A"/>
    <w:rsid w:val="43E60FC0"/>
    <w:rsid w:val="44061E3D"/>
    <w:rsid w:val="44106525"/>
    <w:rsid w:val="444E4668"/>
    <w:rsid w:val="44540D62"/>
    <w:rsid w:val="445769C9"/>
    <w:rsid w:val="4468449E"/>
    <w:rsid w:val="447119F7"/>
    <w:rsid w:val="44957A28"/>
    <w:rsid w:val="44AF6F53"/>
    <w:rsid w:val="44B03E47"/>
    <w:rsid w:val="44BB1170"/>
    <w:rsid w:val="44C349AC"/>
    <w:rsid w:val="44C95CDE"/>
    <w:rsid w:val="44CD14E0"/>
    <w:rsid w:val="44F74458"/>
    <w:rsid w:val="4518343C"/>
    <w:rsid w:val="45240818"/>
    <w:rsid w:val="452D1C54"/>
    <w:rsid w:val="452D7C98"/>
    <w:rsid w:val="453615CA"/>
    <w:rsid w:val="454912EA"/>
    <w:rsid w:val="454D39F9"/>
    <w:rsid w:val="45586ED7"/>
    <w:rsid w:val="455A42A9"/>
    <w:rsid w:val="455B10DF"/>
    <w:rsid w:val="455C6CA3"/>
    <w:rsid w:val="458169B1"/>
    <w:rsid w:val="458946E9"/>
    <w:rsid w:val="45A44C85"/>
    <w:rsid w:val="45AA3413"/>
    <w:rsid w:val="45AD256B"/>
    <w:rsid w:val="45C10B4B"/>
    <w:rsid w:val="45DF6C52"/>
    <w:rsid w:val="45FE72BB"/>
    <w:rsid w:val="46077326"/>
    <w:rsid w:val="4609255E"/>
    <w:rsid w:val="461C2918"/>
    <w:rsid w:val="46627685"/>
    <w:rsid w:val="466F44FC"/>
    <w:rsid w:val="46796421"/>
    <w:rsid w:val="468E6D5F"/>
    <w:rsid w:val="46A14816"/>
    <w:rsid w:val="46CA3945"/>
    <w:rsid w:val="46D110ED"/>
    <w:rsid w:val="46D955A7"/>
    <w:rsid w:val="46DB6532"/>
    <w:rsid w:val="46F24027"/>
    <w:rsid w:val="46F60393"/>
    <w:rsid w:val="46FD0A18"/>
    <w:rsid w:val="47044DA5"/>
    <w:rsid w:val="47133957"/>
    <w:rsid w:val="47462BC7"/>
    <w:rsid w:val="47565ABD"/>
    <w:rsid w:val="4756712C"/>
    <w:rsid w:val="47620967"/>
    <w:rsid w:val="476475F1"/>
    <w:rsid w:val="4779329E"/>
    <w:rsid w:val="479F2B67"/>
    <w:rsid w:val="47A07E0C"/>
    <w:rsid w:val="47B35635"/>
    <w:rsid w:val="47D23AB8"/>
    <w:rsid w:val="47E10372"/>
    <w:rsid w:val="48074B4D"/>
    <w:rsid w:val="481F65CC"/>
    <w:rsid w:val="4862688C"/>
    <w:rsid w:val="486A6E89"/>
    <w:rsid w:val="4870272E"/>
    <w:rsid w:val="48B17A94"/>
    <w:rsid w:val="48BE1890"/>
    <w:rsid w:val="48E409EA"/>
    <w:rsid w:val="48F951C2"/>
    <w:rsid w:val="49070FF8"/>
    <w:rsid w:val="490B047E"/>
    <w:rsid w:val="49127CF1"/>
    <w:rsid w:val="491F5EC6"/>
    <w:rsid w:val="4958156F"/>
    <w:rsid w:val="49601C00"/>
    <w:rsid w:val="4991312E"/>
    <w:rsid w:val="49957989"/>
    <w:rsid w:val="49967D64"/>
    <w:rsid w:val="49AC17CE"/>
    <w:rsid w:val="49AE0D0E"/>
    <w:rsid w:val="49BA590F"/>
    <w:rsid w:val="49D43DE3"/>
    <w:rsid w:val="49D80708"/>
    <w:rsid w:val="49DC0ABF"/>
    <w:rsid w:val="49DC7715"/>
    <w:rsid w:val="49E1767B"/>
    <w:rsid w:val="49E82BA1"/>
    <w:rsid w:val="49F922F7"/>
    <w:rsid w:val="49FC4D26"/>
    <w:rsid w:val="4A023139"/>
    <w:rsid w:val="4A1470AD"/>
    <w:rsid w:val="4A282C93"/>
    <w:rsid w:val="4A340672"/>
    <w:rsid w:val="4A3F5A09"/>
    <w:rsid w:val="4A535E37"/>
    <w:rsid w:val="4A553981"/>
    <w:rsid w:val="4A6130DB"/>
    <w:rsid w:val="4A650310"/>
    <w:rsid w:val="4A780EDF"/>
    <w:rsid w:val="4A7B576F"/>
    <w:rsid w:val="4AAD0812"/>
    <w:rsid w:val="4AED380A"/>
    <w:rsid w:val="4B386DCB"/>
    <w:rsid w:val="4B643645"/>
    <w:rsid w:val="4B7E2C99"/>
    <w:rsid w:val="4B9A682F"/>
    <w:rsid w:val="4BBC5244"/>
    <w:rsid w:val="4BC0523C"/>
    <w:rsid w:val="4BD216B2"/>
    <w:rsid w:val="4BD6590E"/>
    <w:rsid w:val="4BDC4385"/>
    <w:rsid w:val="4BEF3035"/>
    <w:rsid w:val="4C006BC2"/>
    <w:rsid w:val="4C133784"/>
    <w:rsid w:val="4C435492"/>
    <w:rsid w:val="4C4A0649"/>
    <w:rsid w:val="4C4E5D68"/>
    <w:rsid w:val="4C54093C"/>
    <w:rsid w:val="4C746529"/>
    <w:rsid w:val="4CB7701E"/>
    <w:rsid w:val="4CBD487A"/>
    <w:rsid w:val="4CC26500"/>
    <w:rsid w:val="4CCD360B"/>
    <w:rsid w:val="4CE21099"/>
    <w:rsid w:val="4CE470D3"/>
    <w:rsid w:val="4CED7641"/>
    <w:rsid w:val="4D323589"/>
    <w:rsid w:val="4D7C38E7"/>
    <w:rsid w:val="4D853292"/>
    <w:rsid w:val="4D985BFA"/>
    <w:rsid w:val="4D9B0CF0"/>
    <w:rsid w:val="4DA924B3"/>
    <w:rsid w:val="4DC21A1F"/>
    <w:rsid w:val="4DE35714"/>
    <w:rsid w:val="4DE65204"/>
    <w:rsid w:val="4DEC4FB0"/>
    <w:rsid w:val="4DFE0BEC"/>
    <w:rsid w:val="4E075D8A"/>
    <w:rsid w:val="4E5F7C25"/>
    <w:rsid w:val="4E760336"/>
    <w:rsid w:val="4EC0201B"/>
    <w:rsid w:val="4EC16584"/>
    <w:rsid w:val="4ED11A10"/>
    <w:rsid w:val="4ED70B1F"/>
    <w:rsid w:val="4EDA2F0D"/>
    <w:rsid w:val="4EDE054F"/>
    <w:rsid w:val="4F0A23CC"/>
    <w:rsid w:val="4F1813ED"/>
    <w:rsid w:val="4F196269"/>
    <w:rsid w:val="4F2032BA"/>
    <w:rsid w:val="4F2333BD"/>
    <w:rsid w:val="4F27739E"/>
    <w:rsid w:val="4F3B1580"/>
    <w:rsid w:val="4F527945"/>
    <w:rsid w:val="4F86575F"/>
    <w:rsid w:val="4F9A304F"/>
    <w:rsid w:val="4FA40797"/>
    <w:rsid w:val="4FC62A8C"/>
    <w:rsid w:val="4FD711BE"/>
    <w:rsid w:val="4FE20F0D"/>
    <w:rsid w:val="502C3574"/>
    <w:rsid w:val="50487D45"/>
    <w:rsid w:val="504F0E3F"/>
    <w:rsid w:val="50504C4B"/>
    <w:rsid w:val="50592CAB"/>
    <w:rsid w:val="507E7E42"/>
    <w:rsid w:val="50873656"/>
    <w:rsid w:val="5087591C"/>
    <w:rsid w:val="509554AF"/>
    <w:rsid w:val="509C4439"/>
    <w:rsid w:val="509C6E7C"/>
    <w:rsid w:val="50A70C7B"/>
    <w:rsid w:val="50AA3380"/>
    <w:rsid w:val="50C03AEB"/>
    <w:rsid w:val="50C151EB"/>
    <w:rsid w:val="50C80BF1"/>
    <w:rsid w:val="50D122D8"/>
    <w:rsid w:val="50D560B9"/>
    <w:rsid w:val="50E81B28"/>
    <w:rsid w:val="50F24E95"/>
    <w:rsid w:val="514A534B"/>
    <w:rsid w:val="515D57DD"/>
    <w:rsid w:val="5162104E"/>
    <w:rsid w:val="518E78C7"/>
    <w:rsid w:val="519102D0"/>
    <w:rsid w:val="519136D9"/>
    <w:rsid w:val="519877FA"/>
    <w:rsid w:val="51C242FE"/>
    <w:rsid w:val="51F577C4"/>
    <w:rsid w:val="523A7901"/>
    <w:rsid w:val="523B1AC2"/>
    <w:rsid w:val="525C5A95"/>
    <w:rsid w:val="526B5584"/>
    <w:rsid w:val="52742E1D"/>
    <w:rsid w:val="528A0854"/>
    <w:rsid w:val="52914BD9"/>
    <w:rsid w:val="52BB7DFA"/>
    <w:rsid w:val="52D10231"/>
    <w:rsid w:val="52E55A8A"/>
    <w:rsid w:val="53002BA7"/>
    <w:rsid w:val="5305612D"/>
    <w:rsid w:val="532317F1"/>
    <w:rsid w:val="53601DBA"/>
    <w:rsid w:val="53643DDF"/>
    <w:rsid w:val="538A03E0"/>
    <w:rsid w:val="53A039CC"/>
    <w:rsid w:val="53A1505A"/>
    <w:rsid w:val="53A52D0B"/>
    <w:rsid w:val="53A63401"/>
    <w:rsid w:val="53C93B0F"/>
    <w:rsid w:val="53E95F37"/>
    <w:rsid w:val="53F115D7"/>
    <w:rsid w:val="54063E08"/>
    <w:rsid w:val="54183C77"/>
    <w:rsid w:val="54211353"/>
    <w:rsid w:val="542A296A"/>
    <w:rsid w:val="542E3461"/>
    <w:rsid w:val="543437E8"/>
    <w:rsid w:val="54446FC0"/>
    <w:rsid w:val="54540FA3"/>
    <w:rsid w:val="54576514"/>
    <w:rsid w:val="546E3B53"/>
    <w:rsid w:val="549D36D1"/>
    <w:rsid w:val="54A67B88"/>
    <w:rsid w:val="54A76C63"/>
    <w:rsid w:val="54AF0D1D"/>
    <w:rsid w:val="54BA5BC4"/>
    <w:rsid w:val="5526623B"/>
    <w:rsid w:val="55325CA9"/>
    <w:rsid w:val="55500A9D"/>
    <w:rsid w:val="5566562C"/>
    <w:rsid w:val="5593401E"/>
    <w:rsid w:val="559B174B"/>
    <w:rsid w:val="559D6355"/>
    <w:rsid w:val="55AC28F1"/>
    <w:rsid w:val="55CE0CF4"/>
    <w:rsid w:val="55CF2FB6"/>
    <w:rsid w:val="55D144C4"/>
    <w:rsid w:val="55ED159A"/>
    <w:rsid w:val="55FB72F5"/>
    <w:rsid w:val="55FC48A9"/>
    <w:rsid w:val="561A7C09"/>
    <w:rsid w:val="56290384"/>
    <w:rsid w:val="563A3BB0"/>
    <w:rsid w:val="565F35CD"/>
    <w:rsid w:val="566B44F9"/>
    <w:rsid w:val="566C1B34"/>
    <w:rsid w:val="567D162B"/>
    <w:rsid w:val="56B22A9C"/>
    <w:rsid w:val="56E85B49"/>
    <w:rsid w:val="56F12916"/>
    <w:rsid w:val="56F64D1D"/>
    <w:rsid w:val="570F367A"/>
    <w:rsid w:val="57172442"/>
    <w:rsid w:val="5717642E"/>
    <w:rsid w:val="57304F35"/>
    <w:rsid w:val="5742242B"/>
    <w:rsid w:val="574879CF"/>
    <w:rsid w:val="57633966"/>
    <w:rsid w:val="57714095"/>
    <w:rsid w:val="57797B01"/>
    <w:rsid w:val="579715D8"/>
    <w:rsid w:val="57B36157"/>
    <w:rsid w:val="57B72A76"/>
    <w:rsid w:val="57D55843"/>
    <w:rsid w:val="57EC7962"/>
    <w:rsid w:val="57EE45EF"/>
    <w:rsid w:val="57F56770"/>
    <w:rsid w:val="57F961BC"/>
    <w:rsid w:val="58275A97"/>
    <w:rsid w:val="582B61DA"/>
    <w:rsid w:val="583A4BC4"/>
    <w:rsid w:val="585520DB"/>
    <w:rsid w:val="585A2A77"/>
    <w:rsid w:val="58625BCC"/>
    <w:rsid w:val="5865577B"/>
    <w:rsid w:val="588D3D56"/>
    <w:rsid w:val="58952D40"/>
    <w:rsid w:val="58CB7624"/>
    <w:rsid w:val="58D16B27"/>
    <w:rsid w:val="58DD7C32"/>
    <w:rsid w:val="591F0C10"/>
    <w:rsid w:val="597315DC"/>
    <w:rsid w:val="599C7F9A"/>
    <w:rsid w:val="59A907B0"/>
    <w:rsid w:val="59B12B6A"/>
    <w:rsid w:val="59B470DD"/>
    <w:rsid w:val="59BB3564"/>
    <w:rsid w:val="59D90810"/>
    <w:rsid w:val="59EF71EF"/>
    <w:rsid w:val="5A0C7DA1"/>
    <w:rsid w:val="5A1229CE"/>
    <w:rsid w:val="5A252ED1"/>
    <w:rsid w:val="5A2D7A91"/>
    <w:rsid w:val="5A3C747D"/>
    <w:rsid w:val="5A616558"/>
    <w:rsid w:val="5A625530"/>
    <w:rsid w:val="5A70225C"/>
    <w:rsid w:val="5A940DCF"/>
    <w:rsid w:val="5AB30489"/>
    <w:rsid w:val="5ABC5348"/>
    <w:rsid w:val="5ABE2233"/>
    <w:rsid w:val="5AD23818"/>
    <w:rsid w:val="5AE91E90"/>
    <w:rsid w:val="5AF42279"/>
    <w:rsid w:val="5B276D18"/>
    <w:rsid w:val="5B70435F"/>
    <w:rsid w:val="5B9A0F5B"/>
    <w:rsid w:val="5BA647C5"/>
    <w:rsid w:val="5BB14BD8"/>
    <w:rsid w:val="5BC63301"/>
    <w:rsid w:val="5BC8029C"/>
    <w:rsid w:val="5BC870A9"/>
    <w:rsid w:val="5BDF5D95"/>
    <w:rsid w:val="5BF31218"/>
    <w:rsid w:val="5C351686"/>
    <w:rsid w:val="5C3B671B"/>
    <w:rsid w:val="5C4F5D2B"/>
    <w:rsid w:val="5C7A0927"/>
    <w:rsid w:val="5C826B51"/>
    <w:rsid w:val="5C976ED0"/>
    <w:rsid w:val="5CA644DC"/>
    <w:rsid w:val="5CB1027B"/>
    <w:rsid w:val="5CE7781B"/>
    <w:rsid w:val="5D0350FC"/>
    <w:rsid w:val="5D26561D"/>
    <w:rsid w:val="5D277D98"/>
    <w:rsid w:val="5D3E1161"/>
    <w:rsid w:val="5D663912"/>
    <w:rsid w:val="5D6D6DA8"/>
    <w:rsid w:val="5D72299B"/>
    <w:rsid w:val="5D742C9C"/>
    <w:rsid w:val="5D7C5710"/>
    <w:rsid w:val="5D881E34"/>
    <w:rsid w:val="5D976FFC"/>
    <w:rsid w:val="5DAE5021"/>
    <w:rsid w:val="5DB25ED5"/>
    <w:rsid w:val="5DB90FAA"/>
    <w:rsid w:val="5DC76A50"/>
    <w:rsid w:val="5DD90EA3"/>
    <w:rsid w:val="5DD97AA9"/>
    <w:rsid w:val="5DEE2048"/>
    <w:rsid w:val="5DF65098"/>
    <w:rsid w:val="5DF87A0F"/>
    <w:rsid w:val="5E1F6E39"/>
    <w:rsid w:val="5E2977F0"/>
    <w:rsid w:val="5E3264E7"/>
    <w:rsid w:val="5E3C4BD7"/>
    <w:rsid w:val="5E3C57FB"/>
    <w:rsid w:val="5E440DD9"/>
    <w:rsid w:val="5E57216C"/>
    <w:rsid w:val="5E60690D"/>
    <w:rsid w:val="5E770774"/>
    <w:rsid w:val="5E8048B9"/>
    <w:rsid w:val="5E8A398A"/>
    <w:rsid w:val="5EEA6DDC"/>
    <w:rsid w:val="5EFD6B5E"/>
    <w:rsid w:val="5F0A6A95"/>
    <w:rsid w:val="5F1A2B43"/>
    <w:rsid w:val="5F29730F"/>
    <w:rsid w:val="5F31540F"/>
    <w:rsid w:val="5F4C3971"/>
    <w:rsid w:val="5F5D3118"/>
    <w:rsid w:val="5F7E310E"/>
    <w:rsid w:val="5FB54A36"/>
    <w:rsid w:val="5FB837BB"/>
    <w:rsid w:val="5FBD0CFB"/>
    <w:rsid w:val="5FE86DB6"/>
    <w:rsid w:val="5FFB4B3F"/>
    <w:rsid w:val="60234553"/>
    <w:rsid w:val="602D281F"/>
    <w:rsid w:val="60335942"/>
    <w:rsid w:val="603B7C2C"/>
    <w:rsid w:val="60470F4A"/>
    <w:rsid w:val="60607BB3"/>
    <w:rsid w:val="60636F96"/>
    <w:rsid w:val="607D065B"/>
    <w:rsid w:val="60897F5A"/>
    <w:rsid w:val="608C4F49"/>
    <w:rsid w:val="60AA20C1"/>
    <w:rsid w:val="60CF5E19"/>
    <w:rsid w:val="60D31D71"/>
    <w:rsid w:val="60E35B5F"/>
    <w:rsid w:val="615C785F"/>
    <w:rsid w:val="61671D60"/>
    <w:rsid w:val="618162DA"/>
    <w:rsid w:val="6186668A"/>
    <w:rsid w:val="61952D71"/>
    <w:rsid w:val="61990BF7"/>
    <w:rsid w:val="619D3CFE"/>
    <w:rsid w:val="61D64503"/>
    <w:rsid w:val="61E71A8B"/>
    <w:rsid w:val="61F91BBB"/>
    <w:rsid w:val="61FE3612"/>
    <w:rsid w:val="6203065E"/>
    <w:rsid w:val="62037CDB"/>
    <w:rsid w:val="62364782"/>
    <w:rsid w:val="62584763"/>
    <w:rsid w:val="625C73EB"/>
    <w:rsid w:val="62675B5F"/>
    <w:rsid w:val="626F3307"/>
    <w:rsid w:val="627D57C3"/>
    <w:rsid w:val="62993AB4"/>
    <w:rsid w:val="629A5B34"/>
    <w:rsid w:val="62A20078"/>
    <w:rsid w:val="62AB1CAC"/>
    <w:rsid w:val="62C21944"/>
    <w:rsid w:val="62C56D4B"/>
    <w:rsid w:val="62CA7055"/>
    <w:rsid w:val="62D578C9"/>
    <w:rsid w:val="62DB47B4"/>
    <w:rsid w:val="62DB569D"/>
    <w:rsid w:val="62F847D9"/>
    <w:rsid w:val="62FA20CA"/>
    <w:rsid w:val="631477FF"/>
    <w:rsid w:val="63214DA7"/>
    <w:rsid w:val="6329128B"/>
    <w:rsid w:val="63493E13"/>
    <w:rsid w:val="63583D49"/>
    <w:rsid w:val="635C4D77"/>
    <w:rsid w:val="63674FF4"/>
    <w:rsid w:val="63B868A3"/>
    <w:rsid w:val="63B95393"/>
    <w:rsid w:val="63C73574"/>
    <w:rsid w:val="63CB4828"/>
    <w:rsid w:val="63D40BE9"/>
    <w:rsid w:val="63E0211F"/>
    <w:rsid w:val="63E5429E"/>
    <w:rsid w:val="63E568CE"/>
    <w:rsid w:val="64025D70"/>
    <w:rsid w:val="641066DF"/>
    <w:rsid w:val="642A7F3C"/>
    <w:rsid w:val="642E687D"/>
    <w:rsid w:val="64473A99"/>
    <w:rsid w:val="644E281D"/>
    <w:rsid w:val="6477229B"/>
    <w:rsid w:val="648F3AA8"/>
    <w:rsid w:val="64CE7282"/>
    <w:rsid w:val="64E73602"/>
    <w:rsid w:val="64F56E7E"/>
    <w:rsid w:val="64F6723F"/>
    <w:rsid w:val="65224AEA"/>
    <w:rsid w:val="6535464F"/>
    <w:rsid w:val="65373578"/>
    <w:rsid w:val="65A16BD2"/>
    <w:rsid w:val="65CC67FB"/>
    <w:rsid w:val="65D06126"/>
    <w:rsid w:val="65E63F80"/>
    <w:rsid w:val="66016D16"/>
    <w:rsid w:val="66123756"/>
    <w:rsid w:val="6628314E"/>
    <w:rsid w:val="662F46A8"/>
    <w:rsid w:val="668058B9"/>
    <w:rsid w:val="669C2A66"/>
    <w:rsid w:val="66CB157A"/>
    <w:rsid w:val="66D26A4E"/>
    <w:rsid w:val="66F92E42"/>
    <w:rsid w:val="67022FC7"/>
    <w:rsid w:val="67097548"/>
    <w:rsid w:val="670C7632"/>
    <w:rsid w:val="67236729"/>
    <w:rsid w:val="673305D8"/>
    <w:rsid w:val="673F2C7A"/>
    <w:rsid w:val="674D05B9"/>
    <w:rsid w:val="674F5770"/>
    <w:rsid w:val="67582877"/>
    <w:rsid w:val="67761618"/>
    <w:rsid w:val="67902011"/>
    <w:rsid w:val="67B06A91"/>
    <w:rsid w:val="67BC2E06"/>
    <w:rsid w:val="67F9783B"/>
    <w:rsid w:val="68183E95"/>
    <w:rsid w:val="681F6961"/>
    <w:rsid w:val="683C4C6E"/>
    <w:rsid w:val="685B48AC"/>
    <w:rsid w:val="68610A2F"/>
    <w:rsid w:val="68805514"/>
    <w:rsid w:val="68955477"/>
    <w:rsid w:val="68A26D18"/>
    <w:rsid w:val="68BD5ADB"/>
    <w:rsid w:val="68C267EB"/>
    <w:rsid w:val="68DC2549"/>
    <w:rsid w:val="68F16DAC"/>
    <w:rsid w:val="69110F2F"/>
    <w:rsid w:val="691E364C"/>
    <w:rsid w:val="69296233"/>
    <w:rsid w:val="692B649A"/>
    <w:rsid w:val="693A5EEA"/>
    <w:rsid w:val="694E2071"/>
    <w:rsid w:val="69506B31"/>
    <w:rsid w:val="69672AD8"/>
    <w:rsid w:val="696A5BEA"/>
    <w:rsid w:val="697A3B33"/>
    <w:rsid w:val="698579A9"/>
    <w:rsid w:val="698C6663"/>
    <w:rsid w:val="699E2456"/>
    <w:rsid w:val="69B233F5"/>
    <w:rsid w:val="69B63885"/>
    <w:rsid w:val="69BB0878"/>
    <w:rsid w:val="69CE396B"/>
    <w:rsid w:val="69D53A9B"/>
    <w:rsid w:val="69F148BD"/>
    <w:rsid w:val="69FA5E67"/>
    <w:rsid w:val="6A012F30"/>
    <w:rsid w:val="6A0423C3"/>
    <w:rsid w:val="6A0E546F"/>
    <w:rsid w:val="6A1D56B2"/>
    <w:rsid w:val="6A530101"/>
    <w:rsid w:val="6AB81F29"/>
    <w:rsid w:val="6AC91B6A"/>
    <w:rsid w:val="6AD5134B"/>
    <w:rsid w:val="6AE461D0"/>
    <w:rsid w:val="6AEB34AB"/>
    <w:rsid w:val="6AF07BAC"/>
    <w:rsid w:val="6AF74155"/>
    <w:rsid w:val="6B322639"/>
    <w:rsid w:val="6B3716CF"/>
    <w:rsid w:val="6B426F5D"/>
    <w:rsid w:val="6B4C027C"/>
    <w:rsid w:val="6B680BAF"/>
    <w:rsid w:val="6B6D534F"/>
    <w:rsid w:val="6B6E798A"/>
    <w:rsid w:val="6B8922A0"/>
    <w:rsid w:val="6BA65A4B"/>
    <w:rsid w:val="6BA7594A"/>
    <w:rsid w:val="6BAB394E"/>
    <w:rsid w:val="6BD427F5"/>
    <w:rsid w:val="6BE47823"/>
    <w:rsid w:val="6BF568E6"/>
    <w:rsid w:val="6C075EBF"/>
    <w:rsid w:val="6C2E290E"/>
    <w:rsid w:val="6C2F5C37"/>
    <w:rsid w:val="6C4100CE"/>
    <w:rsid w:val="6C5E5AB6"/>
    <w:rsid w:val="6C603647"/>
    <w:rsid w:val="6C616FF4"/>
    <w:rsid w:val="6C636C38"/>
    <w:rsid w:val="6C672581"/>
    <w:rsid w:val="6C6C09FF"/>
    <w:rsid w:val="6C790C00"/>
    <w:rsid w:val="6C8C5DAC"/>
    <w:rsid w:val="6CD23EAC"/>
    <w:rsid w:val="6CDA5A16"/>
    <w:rsid w:val="6CE10C19"/>
    <w:rsid w:val="6CFD79D9"/>
    <w:rsid w:val="6D0213C7"/>
    <w:rsid w:val="6D056FFD"/>
    <w:rsid w:val="6D420152"/>
    <w:rsid w:val="6D426528"/>
    <w:rsid w:val="6D736254"/>
    <w:rsid w:val="6D785A21"/>
    <w:rsid w:val="6D8141AA"/>
    <w:rsid w:val="6D9A691B"/>
    <w:rsid w:val="6DB34098"/>
    <w:rsid w:val="6DB545B6"/>
    <w:rsid w:val="6DC7259C"/>
    <w:rsid w:val="6DF73278"/>
    <w:rsid w:val="6E0467C0"/>
    <w:rsid w:val="6E0E0B6C"/>
    <w:rsid w:val="6E26547D"/>
    <w:rsid w:val="6E2C0C16"/>
    <w:rsid w:val="6E4375A0"/>
    <w:rsid w:val="6E49116B"/>
    <w:rsid w:val="6E4A0443"/>
    <w:rsid w:val="6E514108"/>
    <w:rsid w:val="6E514CED"/>
    <w:rsid w:val="6E623FDB"/>
    <w:rsid w:val="6E79491A"/>
    <w:rsid w:val="6E7A7577"/>
    <w:rsid w:val="6E99525F"/>
    <w:rsid w:val="6EA126EE"/>
    <w:rsid w:val="6EAC67ED"/>
    <w:rsid w:val="6EB32A89"/>
    <w:rsid w:val="6EB563D5"/>
    <w:rsid w:val="6EF32E85"/>
    <w:rsid w:val="6EFD22B2"/>
    <w:rsid w:val="6F063E1D"/>
    <w:rsid w:val="6F225983"/>
    <w:rsid w:val="6F321C00"/>
    <w:rsid w:val="6F441585"/>
    <w:rsid w:val="6F451D2F"/>
    <w:rsid w:val="6F484F7F"/>
    <w:rsid w:val="6F5B1156"/>
    <w:rsid w:val="6F5E5211"/>
    <w:rsid w:val="6F9B1E67"/>
    <w:rsid w:val="6FBC25A1"/>
    <w:rsid w:val="6FBE3493"/>
    <w:rsid w:val="6FCA4C1D"/>
    <w:rsid w:val="6FD025C9"/>
    <w:rsid w:val="6FD61EB2"/>
    <w:rsid w:val="6FD74E21"/>
    <w:rsid w:val="6FFC5590"/>
    <w:rsid w:val="6FFD22F7"/>
    <w:rsid w:val="6FFF2E96"/>
    <w:rsid w:val="70087616"/>
    <w:rsid w:val="700A0CDF"/>
    <w:rsid w:val="701B05C9"/>
    <w:rsid w:val="70301DA3"/>
    <w:rsid w:val="70447D89"/>
    <w:rsid w:val="704D5DCD"/>
    <w:rsid w:val="705915F7"/>
    <w:rsid w:val="7064228D"/>
    <w:rsid w:val="706D1DD0"/>
    <w:rsid w:val="70856B87"/>
    <w:rsid w:val="708801ED"/>
    <w:rsid w:val="70881654"/>
    <w:rsid w:val="708E12B7"/>
    <w:rsid w:val="709F4250"/>
    <w:rsid w:val="70A67E48"/>
    <w:rsid w:val="70C8650B"/>
    <w:rsid w:val="70CC398E"/>
    <w:rsid w:val="70D527EE"/>
    <w:rsid w:val="70DE5C74"/>
    <w:rsid w:val="70F51137"/>
    <w:rsid w:val="715B5300"/>
    <w:rsid w:val="715F4BD7"/>
    <w:rsid w:val="71666EDE"/>
    <w:rsid w:val="71735106"/>
    <w:rsid w:val="71752765"/>
    <w:rsid w:val="717D1C40"/>
    <w:rsid w:val="71AA1A93"/>
    <w:rsid w:val="71B07109"/>
    <w:rsid w:val="71C20D23"/>
    <w:rsid w:val="71C712CC"/>
    <w:rsid w:val="71C900F0"/>
    <w:rsid w:val="71CA6C79"/>
    <w:rsid w:val="71D27F8A"/>
    <w:rsid w:val="71D95E42"/>
    <w:rsid w:val="71F744C6"/>
    <w:rsid w:val="71F74762"/>
    <w:rsid w:val="71F960CF"/>
    <w:rsid w:val="72123368"/>
    <w:rsid w:val="721E7464"/>
    <w:rsid w:val="72264CFE"/>
    <w:rsid w:val="72355256"/>
    <w:rsid w:val="72494F2D"/>
    <w:rsid w:val="72606A84"/>
    <w:rsid w:val="72733B3D"/>
    <w:rsid w:val="7274741A"/>
    <w:rsid w:val="727D36F1"/>
    <w:rsid w:val="727E3889"/>
    <w:rsid w:val="7287077D"/>
    <w:rsid w:val="72B648F6"/>
    <w:rsid w:val="72C36445"/>
    <w:rsid w:val="72C95EBC"/>
    <w:rsid w:val="72D74F98"/>
    <w:rsid w:val="72E826C1"/>
    <w:rsid w:val="72EE22E1"/>
    <w:rsid w:val="72F15B63"/>
    <w:rsid w:val="73005B71"/>
    <w:rsid w:val="731F5D5E"/>
    <w:rsid w:val="734142A1"/>
    <w:rsid w:val="734343DB"/>
    <w:rsid w:val="735073B5"/>
    <w:rsid w:val="73683E42"/>
    <w:rsid w:val="736D737B"/>
    <w:rsid w:val="737A1DC7"/>
    <w:rsid w:val="73A147BC"/>
    <w:rsid w:val="73A938F6"/>
    <w:rsid w:val="73AA5579"/>
    <w:rsid w:val="73AE47EA"/>
    <w:rsid w:val="73C53042"/>
    <w:rsid w:val="73CA68AB"/>
    <w:rsid w:val="73D94061"/>
    <w:rsid w:val="73E809FF"/>
    <w:rsid w:val="73FE2BC3"/>
    <w:rsid w:val="741E793C"/>
    <w:rsid w:val="742C66BC"/>
    <w:rsid w:val="743B2502"/>
    <w:rsid w:val="745C217C"/>
    <w:rsid w:val="746E30B6"/>
    <w:rsid w:val="746F23BF"/>
    <w:rsid w:val="74714F78"/>
    <w:rsid w:val="74741110"/>
    <w:rsid w:val="747B1953"/>
    <w:rsid w:val="7499002B"/>
    <w:rsid w:val="749F6F6C"/>
    <w:rsid w:val="74D715BA"/>
    <w:rsid w:val="74EC724B"/>
    <w:rsid w:val="74FA6D1C"/>
    <w:rsid w:val="74FB1915"/>
    <w:rsid w:val="750862E2"/>
    <w:rsid w:val="75104DC1"/>
    <w:rsid w:val="755C1784"/>
    <w:rsid w:val="758267DE"/>
    <w:rsid w:val="7586110B"/>
    <w:rsid w:val="758962F1"/>
    <w:rsid w:val="758D75E2"/>
    <w:rsid w:val="75D91271"/>
    <w:rsid w:val="75DB7747"/>
    <w:rsid w:val="75E410DD"/>
    <w:rsid w:val="75FB0F9D"/>
    <w:rsid w:val="76065377"/>
    <w:rsid w:val="760A5684"/>
    <w:rsid w:val="7615379C"/>
    <w:rsid w:val="7617011F"/>
    <w:rsid w:val="765863F0"/>
    <w:rsid w:val="76B178AE"/>
    <w:rsid w:val="76B67E66"/>
    <w:rsid w:val="76CE215A"/>
    <w:rsid w:val="76ED326A"/>
    <w:rsid w:val="76F00601"/>
    <w:rsid w:val="77000835"/>
    <w:rsid w:val="77185FAF"/>
    <w:rsid w:val="771C7B88"/>
    <w:rsid w:val="771F5EE9"/>
    <w:rsid w:val="7731279D"/>
    <w:rsid w:val="774626EC"/>
    <w:rsid w:val="77535EA9"/>
    <w:rsid w:val="77595A1B"/>
    <w:rsid w:val="77690189"/>
    <w:rsid w:val="77762421"/>
    <w:rsid w:val="7783347C"/>
    <w:rsid w:val="779B3FAF"/>
    <w:rsid w:val="77C07548"/>
    <w:rsid w:val="77C41863"/>
    <w:rsid w:val="77DE7C81"/>
    <w:rsid w:val="780F09F4"/>
    <w:rsid w:val="78187518"/>
    <w:rsid w:val="784D1858"/>
    <w:rsid w:val="78502106"/>
    <w:rsid w:val="78526AC7"/>
    <w:rsid w:val="78827056"/>
    <w:rsid w:val="788306BD"/>
    <w:rsid w:val="78841E66"/>
    <w:rsid w:val="788B2D70"/>
    <w:rsid w:val="789C4F47"/>
    <w:rsid w:val="78A90480"/>
    <w:rsid w:val="78DA53D3"/>
    <w:rsid w:val="78DB6F2A"/>
    <w:rsid w:val="78E169E6"/>
    <w:rsid w:val="790840DA"/>
    <w:rsid w:val="792412D5"/>
    <w:rsid w:val="792722E7"/>
    <w:rsid w:val="79346574"/>
    <w:rsid w:val="794931DC"/>
    <w:rsid w:val="7971346F"/>
    <w:rsid w:val="797B7924"/>
    <w:rsid w:val="79811327"/>
    <w:rsid w:val="79870D9A"/>
    <w:rsid w:val="7993773F"/>
    <w:rsid w:val="79AE4579"/>
    <w:rsid w:val="79B75241"/>
    <w:rsid w:val="79CC6BF9"/>
    <w:rsid w:val="79CD0EA3"/>
    <w:rsid w:val="79F65386"/>
    <w:rsid w:val="79FA5A10"/>
    <w:rsid w:val="7A067F11"/>
    <w:rsid w:val="7A081EDB"/>
    <w:rsid w:val="7A307020"/>
    <w:rsid w:val="7A364017"/>
    <w:rsid w:val="7A3E232F"/>
    <w:rsid w:val="7A472A59"/>
    <w:rsid w:val="7A70182E"/>
    <w:rsid w:val="7A74365B"/>
    <w:rsid w:val="7A8265E1"/>
    <w:rsid w:val="7A8509FA"/>
    <w:rsid w:val="7A9C719F"/>
    <w:rsid w:val="7AA66554"/>
    <w:rsid w:val="7AD448C1"/>
    <w:rsid w:val="7AE9586B"/>
    <w:rsid w:val="7AEE7F28"/>
    <w:rsid w:val="7B0354B7"/>
    <w:rsid w:val="7B063512"/>
    <w:rsid w:val="7B127A9E"/>
    <w:rsid w:val="7B1B5C3E"/>
    <w:rsid w:val="7B250BA0"/>
    <w:rsid w:val="7B2D0C83"/>
    <w:rsid w:val="7B3D3E06"/>
    <w:rsid w:val="7B466BF9"/>
    <w:rsid w:val="7B4B584D"/>
    <w:rsid w:val="7B5F5B2A"/>
    <w:rsid w:val="7B623775"/>
    <w:rsid w:val="7B686D42"/>
    <w:rsid w:val="7B713AB0"/>
    <w:rsid w:val="7B841746"/>
    <w:rsid w:val="7B9E2668"/>
    <w:rsid w:val="7BA50479"/>
    <w:rsid w:val="7BBA56A3"/>
    <w:rsid w:val="7BBD4410"/>
    <w:rsid w:val="7BEE5100"/>
    <w:rsid w:val="7BF422D7"/>
    <w:rsid w:val="7C0E1864"/>
    <w:rsid w:val="7C1C3A1B"/>
    <w:rsid w:val="7C1C6930"/>
    <w:rsid w:val="7C2B222F"/>
    <w:rsid w:val="7C741AA9"/>
    <w:rsid w:val="7C8E43F7"/>
    <w:rsid w:val="7C8F4635"/>
    <w:rsid w:val="7CB361E5"/>
    <w:rsid w:val="7CF358FC"/>
    <w:rsid w:val="7D0239FF"/>
    <w:rsid w:val="7D2E7EAA"/>
    <w:rsid w:val="7D441EFF"/>
    <w:rsid w:val="7D4C1CF5"/>
    <w:rsid w:val="7D5E40CD"/>
    <w:rsid w:val="7D693BED"/>
    <w:rsid w:val="7D705261"/>
    <w:rsid w:val="7D82055A"/>
    <w:rsid w:val="7DA513CC"/>
    <w:rsid w:val="7DB10C9B"/>
    <w:rsid w:val="7DC20C08"/>
    <w:rsid w:val="7DC53F1E"/>
    <w:rsid w:val="7DD105F0"/>
    <w:rsid w:val="7DF272CA"/>
    <w:rsid w:val="7DF47B97"/>
    <w:rsid w:val="7DF75897"/>
    <w:rsid w:val="7E153B4B"/>
    <w:rsid w:val="7E17093E"/>
    <w:rsid w:val="7E202BAF"/>
    <w:rsid w:val="7E33100C"/>
    <w:rsid w:val="7E3C2A5A"/>
    <w:rsid w:val="7E857A5E"/>
    <w:rsid w:val="7EB919F5"/>
    <w:rsid w:val="7ED02886"/>
    <w:rsid w:val="7ED22AB7"/>
    <w:rsid w:val="7ED41263"/>
    <w:rsid w:val="7ED91E00"/>
    <w:rsid w:val="7EEF23BA"/>
    <w:rsid w:val="7EFB6657"/>
    <w:rsid w:val="7F1043DD"/>
    <w:rsid w:val="7F1D2EA8"/>
    <w:rsid w:val="7F240756"/>
    <w:rsid w:val="7F2A78BB"/>
    <w:rsid w:val="7F3070D2"/>
    <w:rsid w:val="7F4C4618"/>
    <w:rsid w:val="7F69727B"/>
    <w:rsid w:val="7F6A6A30"/>
    <w:rsid w:val="7FAE0E2E"/>
    <w:rsid w:val="7FCB5823"/>
    <w:rsid w:val="7FE47E50"/>
  </w:rsids>
  <m:mathPr>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0" w:semiHidden="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6"/>
    <w:link w:val="49"/>
    <w:autoRedefine/>
    <w:unhideWhenUsed/>
    <w:qFormat/>
    <w:uiPriority w:val="0"/>
    <w:pPr>
      <w:keepNext/>
      <w:keepLines/>
      <w:spacing w:before="260" w:after="260" w:line="416" w:lineRule="auto"/>
      <w:outlineLvl w:val="1"/>
    </w:pPr>
    <w:rPr>
      <w:rFonts w:ascii="Cambria" w:hAnsi="Cambria"/>
      <w:b/>
      <w:bCs/>
      <w:sz w:val="32"/>
      <w:szCs w:val="32"/>
    </w:rPr>
  </w:style>
  <w:style w:type="paragraph" w:styleId="7">
    <w:name w:val="heading 3"/>
    <w:basedOn w:val="1"/>
    <w:next w:val="8"/>
    <w:link w:val="50"/>
    <w:autoRedefine/>
    <w:qFormat/>
    <w:uiPriority w:val="9"/>
    <w:pPr>
      <w:keepNext/>
      <w:keepLines/>
      <w:spacing w:before="260" w:after="260" w:line="416" w:lineRule="auto"/>
      <w:outlineLvl w:val="2"/>
    </w:pPr>
    <w:rPr>
      <w:b/>
      <w:bCs/>
      <w:sz w:val="32"/>
      <w:szCs w:val="32"/>
    </w:rPr>
  </w:style>
  <w:style w:type="paragraph" w:styleId="22">
    <w:name w:val="heading 4"/>
    <w:basedOn w:val="1"/>
    <w:next w:val="1"/>
    <w:link w:val="80"/>
    <w:autoRedefine/>
    <w:qFormat/>
    <w:uiPriority w:val="0"/>
    <w:pPr>
      <w:keepNext/>
      <w:keepLines/>
      <w:spacing w:before="280" w:after="290" w:line="376" w:lineRule="auto"/>
      <w:outlineLvl w:val="3"/>
    </w:pPr>
    <w:rPr>
      <w:rFonts w:ascii="等线 Light" w:hAnsi="等线 Light" w:eastAsia="等线 Light"/>
      <w:b/>
      <w:bCs/>
      <w:sz w:val="28"/>
      <w:szCs w:val="28"/>
    </w:rPr>
  </w:style>
  <w:style w:type="paragraph" w:styleId="23">
    <w:name w:val="heading 6"/>
    <w:basedOn w:val="1"/>
    <w:next w:val="1"/>
    <w:autoRedefine/>
    <w:unhideWhenUsed/>
    <w:qFormat/>
    <w:uiPriority w:val="0"/>
    <w:pPr>
      <w:ind w:left="4"/>
      <w:jc w:val="center"/>
      <w:outlineLvl w:val="5"/>
    </w:pPr>
    <w:rPr>
      <w:rFonts w:ascii="Microsoft JhengHei" w:hAnsi="Microsoft JhengHei" w:eastAsia="Microsoft JhengHei" w:cs="Microsoft JhengHei"/>
      <w:b/>
      <w:bCs/>
      <w:sz w:val="22"/>
      <w:szCs w:val="22"/>
      <w:lang w:val="zh-CN" w:bidi="zh-CN"/>
    </w:rPr>
  </w:style>
  <w:style w:type="character" w:default="1" w:styleId="43">
    <w:name w:val="Default Paragraph Font"/>
    <w:autoRedefine/>
    <w:unhideWhenUsed/>
    <w:qFormat/>
    <w:uiPriority w:val="1"/>
  </w:style>
  <w:style w:type="table" w:default="1" w:styleId="41">
    <w:name w:val="Normal Table"/>
    <w:autoRedefin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next w:val="1"/>
    <w:link w:val="57"/>
    <w:autoRedefine/>
    <w:qFormat/>
    <w:uiPriority w:val="0"/>
    <w:pPr>
      <w:pBdr>
        <w:bottom w:val="single" w:color="auto" w:sz="6" w:space="1"/>
      </w:pBdr>
      <w:tabs>
        <w:tab w:val="center" w:pos="4153"/>
        <w:tab w:val="right" w:pos="8306"/>
      </w:tabs>
      <w:snapToGrid w:val="0"/>
      <w:jc w:val="center"/>
    </w:pPr>
    <w:rPr>
      <w:sz w:val="18"/>
      <w:szCs w:val="18"/>
    </w:rPr>
  </w:style>
  <w:style w:type="paragraph" w:styleId="3">
    <w:name w:val="macro"/>
    <w:link w:val="8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6">
    <w:name w:val="正文文字【小四，1.5倍行距，首行缩进2字】"/>
    <w:basedOn w:val="1"/>
    <w:autoRedefine/>
    <w:qFormat/>
    <w:uiPriority w:val="0"/>
    <w:pPr>
      <w:spacing w:line="360" w:lineRule="auto"/>
      <w:ind w:firstLine="480" w:firstLineChars="200"/>
      <w:jc w:val="left"/>
    </w:pPr>
    <w:rPr>
      <w:sz w:val="24"/>
    </w:rPr>
  </w:style>
  <w:style w:type="paragraph" w:styleId="8">
    <w:name w:val="Body Text First Indent 2"/>
    <w:basedOn w:val="9"/>
    <w:autoRedefine/>
    <w:qFormat/>
    <w:uiPriority w:val="0"/>
    <w:pPr>
      <w:ind w:firstLine="420" w:firstLineChars="200"/>
    </w:pPr>
  </w:style>
  <w:style w:type="paragraph" w:styleId="9">
    <w:name w:val="Body Text Indent"/>
    <w:basedOn w:val="1"/>
    <w:next w:val="10"/>
    <w:link w:val="70"/>
    <w:autoRedefine/>
    <w:semiHidden/>
    <w:qFormat/>
    <w:uiPriority w:val="0"/>
    <w:pPr>
      <w:spacing w:after="120"/>
      <w:ind w:left="420" w:leftChars="200"/>
    </w:pPr>
  </w:style>
  <w:style w:type="paragraph" w:customStyle="1" w:styleId="10">
    <w:name w:val="Default"/>
    <w:basedOn w:val="11"/>
    <w:next w:val="12"/>
    <w:autoRedefine/>
    <w:qFormat/>
    <w:uiPriority w:val="0"/>
    <w:pPr>
      <w:autoSpaceDE w:val="0"/>
      <w:autoSpaceDN w:val="0"/>
    </w:pPr>
    <w:rPr>
      <w:rFonts w:ascii="微软雅黑" w:hAnsi="Times New Roman" w:eastAsia="微软雅黑" w:cs="微软雅黑"/>
      <w:color w:val="000000"/>
      <w:sz w:val="24"/>
      <w:szCs w:val="24"/>
    </w:rPr>
  </w:style>
  <w:style w:type="paragraph" w:customStyle="1" w:styleId="11">
    <w:name w:val="纯文本1"/>
    <w:basedOn w:val="1"/>
    <w:autoRedefine/>
    <w:qFormat/>
    <w:uiPriority w:val="0"/>
    <w:pPr>
      <w:adjustRightInd w:val="0"/>
    </w:pPr>
    <w:rPr>
      <w:rFonts w:ascii="宋体" w:hAnsi="Courier New"/>
      <w:szCs w:val="20"/>
    </w:rPr>
  </w:style>
  <w:style w:type="paragraph" w:customStyle="1" w:styleId="12">
    <w:name w:val="样式35"/>
    <w:next w:val="13"/>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3">
    <w:name w:val="font6"/>
    <w:basedOn w:val="1"/>
    <w:next w:val="14"/>
    <w:autoRedefine/>
    <w:qFormat/>
    <w:uiPriority w:val="0"/>
    <w:pPr>
      <w:widowControl/>
      <w:spacing w:before="100" w:beforeAutospacing="1" w:after="100" w:afterAutospacing="1"/>
      <w:jc w:val="left"/>
    </w:pPr>
    <w:rPr>
      <w:rFonts w:eastAsia="Arial Unicode MS"/>
      <w:kern w:val="0"/>
      <w:sz w:val="24"/>
    </w:rPr>
  </w:style>
  <w:style w:type="paragraph" w:styleId="14">
    <w:name w:val="toc 2"/>
    <w:basedOn w:val="1"/>
    <w:next w:val="15"/>
    <w:autoRedefine/>
    <w:qFormat/>
    <w:uiPriority w:val="39"/>
    <w:pPr>
      <w:ind w:left="210"/>
      <w:jc w:val="left"/>
    </w:pPr>
    <w:rPr>
      <w:smallCaps/>
      <w:sz w:val="24"/>
      <w:szCs w:val="20"/>
    </w:rPr>
  </w:style>
  <w:style w:type="paragraph" w:styleId="15">
    <w:name w:val="E-mail Signature"/>
    <w:basedOn w:val="1"/>
    <w:next w:val="16"/>
    <w:autoRedefine/>
    <w:qFormat/>
    <w:uiPriority w:val="99"/>
    <w:pPr>
      <w:spacing w:line="460" w:lineRule="exact"/>
      <w:ind w:firstLine="200"/>
    </w:pPr>
  </w:style>
  <w:style w:type="paragraph" w:customStyle="1" w:styleId="16">
    <w:name w:val="文章"/>
    <w:next w:val="17"/>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7">
    <w:name w:val="List"/>
    <w:basedOn w:val="1"/>
    <w:next w:val="18"/>
    <w:autoRedefine/>
    <w:qFormat/>
    <w:uiPriority w:val="0"/>
    <w:pPr>
      <w:ind w:left="420" w:hanging="420"/>
    </w:pPr>
    <w:rPr>
      <w:sz w:val="28"/>
      <w:szCs w:val="20"/>
    </w:rPr>
  </w:style>
  <w:style w:type="paragraph" w:styleId="18">
    <w:name w:val="List Bullet 2"/>
    <w:basedOn w:val="1"/>
    <w:next w:val="19"/>
    <w:autoRedefine/>
    <w:unhideWhenUsed/>
    <w:qFormat/>
    <w:uiPriority w:val="0"/>
    <w:pPr>
      <w:numPr>
        <w:ilvl w:val="0"/>
        <w:numId w:val="1"/>
      </w:numPr>
    </w:pPr>
  </w:style>
  <w:style w:type="paragraph" w:customStyle="1" w:styleId="19">
    <w:name w:val="xl70"/>
    <w:basedOn w:val="1"/>
    <w:next w:val="20"/>
    <w:autoRedefine/>
    <w:qFormat/>
    <w:uiPriority w:val="0"/>
    <w:pPr>
      <w:widowControl/>
      <w:spacing w:before="280" w:after="280"/>
    </w:pPr>
    <w:rPr>
      <w:rFonts w:ascii="宋体"/>
    </w:rPr>
  </w:style>
  <w:style w:type="paragraph" w:customStyle="1" w:styleId="20">
    <w:name w:val="正文缩进1"/>
    <w:basedOn w:val="1"/>
    <w:next w:val="21"/>
    <w:autoRedefine/>
    <w:qFormat/>
    <w:uiPriority w:val="0"/>
    <w:pPr>
      <w:ind w:firstLine="420"/>
    </w:pPr>
    <w:rPr>
      <w:rFonts w:ascii="宋体"/>
      <w:sz w:val="28"/>
    </w:rPr>
  </w:style>
  <w:style w:type="paragraph" w:customStyle="1" w:styleId="21">
    <w:name w:val="td1"/>
    <w:basedOn w:val="1"/>
    <w:next w:val="1"/>
    <w:autoRedefine/>
    <w:qFormat/>
    <w:uiPriority w:val="0"/>
    <w:pPr>
      <w:widowControl/>
      <w:spacing w:before="280" w:after="280" w:line="300" w:lineRule="atLeast"/>
      <w:ind w:firstLine="200"/>
    </w:pPr>
    <w:rPr>
      <w:color w:val="000000"/>
      <w:sz w:val="18"/>
    </w:rPr>
  </w:style>
  <w:style w:type="paragraph" w:styleId="24">
    <w:name w:val="Normal Indent"/>
    <w:basedOn w:val="1"/>
    <w:autoRedefine/>
    <w:qFormat/>
    <w:uiPriority w:val="0"/>
    <w:pPr>
      <w:ind w:firstLine="420"/>
    </w:pPr>
  </w:style>
  <w:style w:type="paragraph" w:styleId="25">
    <w:name w:val="caption"/>
    <w:basedOn w:val="1"/>
    <w:next w:val="1"/>
    <w:autoRedefine/>
    <w:qFormat/>
    <w:uiPriority w:val="0"/>
    <w:pPr>
      <w:spacing w:line="360" w:lineRule="auto"/>
      <w:jc w:val="center"/>
    </w:pPr>
    <w:rPr>
      <w:rFonts w:eastAsia="楷体_GB2312"/>
      <w:szCs w:val="20"/>
    </w:rPr>
  </w:style>
  <w:style w:type="paragraph" w:styleId="26">
    <w:name w:val="Document Map"/>
    <w:basedOn w:val="1"/>
    <w:link w:val="116"/>
    <w:autoRedefine/>
    <w:qFormat/>
    <w:uiPriority w:val="0"/>
    <w:rPr>
      <w:rFonts w:ascii="宋体"/>
      <w:sz w:val="18"/>
      <w:szCs w:val="18"/>
    </w:rPr>
  </w:style>
  <w:style w:type="paragraph" w:styleId="27">
    <w:name w:val="annotation text"/>
    <w:basedOn w:val="1"/>
    <w:link w:val="68"/>
    <w:autoRedefine/>
    <w:qFormat/>
    <w:uiPriority w:val="99"/>
    <w:pPr>
      <w:jc w:val="left"/>
    </w:pPr>
    <w:rPr>
      <w:kern w:val="0"/>
      <w:sz w:val="20"/>
    </w:rPr>
  </w:style>
  <w:style w:type="paragraph" w:styleId="28">
    <w:name w:val="Body Text"/>
    <w:basedOn w:val="1"/>
    <w:link w:val="59"/>
    <w:autoRedefine/>
    <w:qFormat/>
    <w:uiPriority w:val="0"/>
    <w:pPr>
      <w:widowControl/>
      <w:snapToGrid w:val="0"/>
      <w:spacing w:before="60" w:after="160" w:line="259" w:lineRule="auto"/>
      <w:ind w:right="113"/>
    </w:pPr>
    <w:rPr>
      <w:kern w:val="0"/>
      <w:sz w:val="18"/>
      <w:szCs w:val="18"/>
    </w:rPr>
  </w:style>
  <w:style w:type="paragraph" w:styleId="29">
    <w:name w:val="toc 3"/>
    <w:basedOn w:val="1"/>
    <w:next w:val="1"/>
    <w:semiHidden/>
    <w:unhideWhenUsed/>
    <w:qFormat/>
    <w:uiPriority w:val="39"/>
    <w:pPr>
      <w:ind w:left="840" w:leftChars="400"/>
    </w:pPr>
  </w:style>
  <w:style w:type="paragraph" w:styleId="30">
    <w:name w:val="Plain Text"/>
    <w:basedOn w:val="1"/>
    <w:next w:val="10"/>
    <w:link w:val="96"/>
    <w:autoRedefine/>
    <w:qFormat/>
    <w:uiPriority w:val="0"/>
    <w:pPr>
      <w:widowControl/>
      <w:autoSpaceDE w:val="0"/>
      <w:autoSpaceDN w:val="0"/>
      <w:adjustRightInd w:val="0"/>
      <w:spacing w:line="360" w:lineRule="auto"/>
      <w:jc w:val="left"/>
    </w:pPr>
    <w:rPr>
      <w:rFonts w:ascii="宋体"/>
      <w:kern w:val="0"/>
      <w:sz w:val="24"/>
      <w:szCs w:val="20"/>
    </w:rPr>
  </w:style>
  <w:style w:type="paragraph" w:styleId="31">
    <w:name w:val="Date"/>
    <w:basedOn w:val="1"/>
    <w:next w:val="1"/>
    <w:link w:val="61"/>
    <w:autoRedefine/>
    <w:qFormat/>
    <w:uiPriority w:val="0"/>
    <w:pPr>
      <w:ind w:left="100" w:leftChars="2500"/>
    </w:pPr>
    <w:rPr>
      <w:kern w:val="0"/>
      <w:sz w:val="20"/>
    </w:rPr>
  </w:style>
  <w:style w:type="paragraph" w:styleId="32">
    <w:name w:val="Body Text Indent 2"/>
    <w:basedOn w:val="1"/>
    <w:next w:val="1"/>
    <w:link w:val="102"/>
    <w:autoRedefine/>
    <w:qFormat/>
    <w:uiPriority w:val="99"/>
    <w:pPr>
      <w:spacing w:after="120" w:line="480" w:lineRule="auto"/>
      <w:ind w:left="420" w:leftChars="200"/>
    </w:pPr>
  </w:style>
  <w:style w:type="paragraph" w:styleId="33">
    <w:name w:val="Balloon Text"/>
    <w:basedOn w:val="1"/>
    <w:link w:val="67"/>
    <w:autoRedefine/>
    <w:semiHidden/>
    <w:qFormat/>
    <w:uiPriority w:val="0"/>
    <w:rPr>
      <w:sz w:val="18"/>
      <w:szCs w:val="18"/>
    </w:rPr>
  </w:style>
  <w:style w:type="paragraph" w:styleId="34">
    <w:name w:val="footer"/>
    <w:basedOn w:val="1"/>
    <w:link w:val="58"/>
    <w:autoRedefine/>
    <w:qFormat/>
    <w:uiPriority w:val="99"/>
    <w:pPr>
      <w:tabs>
        <w:tab w:val="center" w:pos="4153"/>
        <w:tab w:val="right" w:pos="8306"/>
      </w:tabs>
      <w:snapToGrid w:val="0"/>
      <w:jc w:val="left"/>
    </w:pPr>
    <w:rPr>
      <w:sz w:val="18"/>
      <w:szCs w:val="18"/>
    </w:rPr>
  </w:style>
  <w:style w:type="paragraph" w:styleId="35">
    <w:name w:val="toc 1"/>
    <w:basedOn w:val="1"/>
    <w:next w:val="1"/>
    <w:autoRedefine/>
    <w:qFormat/>
    <w:uiPriority w:val="39"/>
  </w:style>
  <w:style w:type="paragraph" w:styleId="36">
    <w:name w:val="Body Text 2"/>
    <w:basedOn w:val="1"/>
    <w:link w:val="79"/>
    <w:autoRedefine/>
    <w:qFormat/>
    <w:uiPriority w:val="0"/>
    <w:pPr>
      <w:spacing w:after="120" w:line="480" w:lineRule="auto"/>
    </w:pPr>
  </w:style>
  <w:style w:type="paragraph" w:styleId="37">
    <w:name w:val="Message Header"/>
    <w:basedOn w:val="1"/>
    <w:next w:val="1"/>
    <w:autoRedefine/>
    <w:unhideWhenUsed/>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38">
    <w:name w:val="Normal (Web)"/>
    <w:basedOn w:val="1"/>
    <w:link w:val="60"/>
    <w:autoRedefine/>
    <w:qFormat/>
    <w:uiPriority w:val="0"/>
    <w:pPr>
      <w:widowControl/>
      <w:spacing w:before="100" w:beforeAutospacing="1" w:after="100" w:afterAutospacing="1"/>
      <w:jc w:val="left"/>
    </w:pPr>
    <w:rPr>
      <w:rFonts w:ascii="宋体" w:hAnsi="宋体"/>
      <w:kern w:val="0"/>
      <w:sz w:val="24"/>
    </w:rPr>
  </w:style>
  <w:style w:type="paragraph" w:styleId="39">
    <w:name w:val="annotation subject"/>
    <w:basedOn w:val="27"/>
    <w:next w:val="27"/>
    <w:link w:val="71"/>
    <w:autoRedefine/>
    <w:semiHidden/>
    <w:qFormat/>
    <w:uiPriority w:val="0"/>
    <w:rPr>
      <w:b/>
      <w:bCs/>
    </w:rPr>
  </w:style>
  <w:style w:type="paragraph" w:styleId="40">
    <w:name w:val="Body Text First Indent"/>
    <w:basedOn w:val="28"/>
    <w:next w:val="1"/>
    <w:link w:val="103"/>
    <w:autoRedefine/>
    <w:qFormat/>
    <w:uiPriority w:val="0"/>
    <w:pPr>
      <w:ind w:firstLine="420" w:firstLineChars="100"/>
    </w:pPr>
  </w:style>
  <w:style w:type="table" w:styleId="42">
    <w:name w:val="Table Grid"/>
    <w:basedOn w:val="4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autoRedefine/>
    <w:qFormat/>
    <w:uiPriority w:val="22"/>
    <w:rPr>
      <w:b/>
      <w:bCs/>
    </w:rPr>
  </w:style>
  <w:style w:type="character" w:styleId="45">
    <w:name w:val="page number"/>
    <w:basedOn w:val="43"/>
    <w:autoRedefine/>
    <w:qFormat/>
    <w:uiPriority w:val="0"/>
  </w:style>
  <w:style w:type="character" w:styleId="46">
    <w:name w:val="Emphasis"/>
    <w:basedOn w:val="43"/>
    <w:autoRedefine/>
    <w:qFormat/>
    <w:uiPriority w:val="20"/>
    <w:rPr>
      <w:i/>
      <w:iCs/>
    </w:rPr>
  </w:style>
  <w:style w:type="character" w:styleId="47">
    <w:name w:val="Hyperlink"/>
    <w:autoRedefine/>
    <w:qFormat/>
    <w:uiPriority w:val="99"/>
    <w:rPr>
      <w:color w:val="0000FF"/>
      <w:u w:val="single"/>
    </w:rPr>
  </w:style>
  <w:style w:type="character" w:styleId="48">
    <w:name w:val="annotation reference"/>
    <w:autoRedefine/>
    <w:semiHidden/>
    <w:qFormat/>
    <w:uiPriority w:val="99"/>
    <w:rPr>
      <w:sz w:val="21"/>
    </w:rPr>
  </w:style>
  <w:style w:type="character" w:customStyle="1" w:styleId="49">
    <w:name w:val="标题 2 Char"/>
    <w:link w:val="5"/>
    <w:autoRedefine/>
    <w:semiHidden/>
    <w:qFormat/>
    <w:uiPriority w:val="0"/>
    <w:rPr>
      <w:rFonts w:ascii="Cambria" w:hAnsi="Cambria" w:eastAsia="宋体" w:cs="Times New Roman"/>
      <w:b/>
      <w:bCs/>
      <w:kern w:val="2"/>
      <w:sz w:val="32"/>
      <w:szCs w:val="32"/>
    </w:rPr>
  </w:style>
  <w:style w:type="character" w:customStyle="1" w:styleId="50">
    <w:name w:val="标题 3 Char"/>
    <w:link w:val="7"/>
    <w:autoRedefine/>
    <w:qFormat/>
    <w:uiPriority w:val="9"/>
    <w:rPr>
      <w:b/>
      <w:bCs/>
      <w:kern w:val="2"/>
      <w:sz w:val="32"/>
      <w:szCs w:val="32"/>
    </w:rPr>
  </w:style>
  <w:style w:type="paragraph" w:customStyle="1" w:styleId="51">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52">
    <w:name w:val="样式 正文文字缩进 + 小四 首行缩进:  2 字符"/>
    <w:autoRedefine/>
    <w:qFormat/>
    <w:uiPriority w:val="0"/>
    <w:pPr>
      <w:widowControl w:val="0"/>
      <w:tabs>
        <w:tab w:val="left" w:pos="0"/>
      </w:tabs>
      <w:spacing w:line="600" w:lineRule="exact"/>
      <w:jc w:val="center"/>
    </w:pPr>
    <w:rPr>
      <w:rFonts w:ascii="Times New Roman" w:hAnsi="Times New Roman" w:eastAsia="宋体" w:cs="Times New Roman"/>
      <w:b/>
      <w:kern w:val="2"/>
      <w:sz w:val="21"/>
      <w:szCs w:val="24"/>
      <w:u w:val="double"/>
      <w:lang w:val="en-US" w:eastAsia="zh-CN" w:bidi="ar-SA"/>
    </w:rPr>
  </w:style>
  <w:style w:type="paragraph" w:customStyle="1" w:styleId="53">
    <w:name w:val="0水保正文"/>
    <w:basedOn w:val="1"/>
    <w:autoRedefine/>
    <w:qFormat/>
    <w:uiPriority w:val="0"/>
    <w:pPr>
      <w:ind w:firstLine="480"/>
    </w:pPr>
    <w:rPr>
      <w:rFonts w:ascii="Times New Roman" w:hAnsi="Times New Roman"/>
      <w:snapToGrid w:val="0"/>
      <w:color w:val="000000"/>
      <w:kern w:val="0"/>
    </w:rPr>
  </w:style>
  <w:style w:type="paragraph" w:customStyle="1" w:styleId="54">
    <w:name w:val="样式 标题 1 + 四号 段前: 0 磅 段后: 0 磅 行距: 1.5 倍行距"/>
    <w:basedOn w:val="55"/>
    <w:next w:val="1"/>
    <w:autoRedefine/>
    <w:qFormat/>
    <w:uiPriority w:val="0"/>
    <w:pPr>
      <w:spacing w:line="360" w:lineRule="auto"/>
      <w:jc w:val="center"/>
    </w:pPr>
    <w:rPr>
      <w:sz w:val="24"/>
    </w:rPr>
  </w:style>
  <w:style w:type="paragraph" w:customStyle="1" w:styleId="55">
    <w:name w:val="1正文"/>
    <w:basedOn w:val="1"/>
    <w:autoRedefine/>
    <w:qFormat/>
    <w:uiPriority w:val="0"/>
    <w:pPr>
      <w:spacing w:line="500" w:lineRule="exact"/>
      <w:ind w:firstLine="588" w:firstLineChars="196"/>
    </w:pPr>
    <w:rPr>
      <w:rFonts w:eastAsia="楷体_GB2312"/>
      <w:sz w:val="30"/>
      <w:szCs w:val="30"/>
    </w:rPr>
  </w:style>
  <w:style w:type="paragraph" w:customStyle="1" w:styleId="56">
    <w:name w:val="文本正文"/>
    <w:basedOn w:val="1"/>
    <w:autoRedefine/>
    <w:qFormat/>
    <w:uiPriority w:val="0"/>
    <w:pPr>
      <w:snapToGrid w:val="0"/>
      <w:spacing w:line="360" w:lineRule="auto"/>
      <w:ind w:firstLine="510"/>
      <w:jc w:val="left"/>
    </w:pPr>
    <w:rPr>
      <w:spacing w:val="4"/>
      <w:kern w:val="24"/>
      <w:lang w:val="zh-CN"/>
    </w:rPr>
  </w:style>
  <w:style w:type="character" w:customStyle="1" w:styleId="57">
    <w:name w:val="页眉 Char"/>
    <w:link w:val="2"/>
    <w:autoRedefine/>
    <w:qFormat/>
    <w:uiPriority w:val="0"/>
    <w:rPr>
      <w:rFonts w:cs="Times New Roman"/>
      <w:sz w:val="18"/>
      <w:szCs w:val="18"/>
    </w:rPr>
  </w:style>
  <w:style w:type="character" w:customStyle="1" w:styleId="58">
    <w:name w:val="页脚 Char"/>
    <w:link w:val="34"/>
    <w:autoRedefine/>
    <w:qFormat/>
    <w:uiPriority w:val="99"/>
    <w:rPr>
      <w:rFonts w:cs="Times New Roman"/>
      <w:sz w:val="18"/>
      <w:szCs w:val="18"/>
    </w:rPr>
  </w:style>
  <w:style w:type="character" w:customStyle="1" w:styleId="59">
    <w:name w:val="正文文本 Char"/>
    <w:link w:val="28"/>
    <w:autoRedefine/>
    <w:qFormat/>
    <w:uiPriority w:val="0"/>
    <w:rPr>
      <w:sz w:val="18"/>
    </w:rPr>
  </w:style>
  <w:style w:type="character" w:customStyle="1" w:styleId="60">
    <w:name w:val="普通(网站) Char1"/>
    <w:link w:val="38"/>
    <w:autoRedefine/>
    <w:qFormat/>
    <w:uiPriority w:val="0"/>
    <w:rPr>
      <w:rFonts w:ascii="宋体" w:hAnsi="宋体" w:eastAsia="宋体"/>
      <w:sz w:val="24"/>
    </w:rPr>
  </w:style>
  <w:style w:type="character" w:customStyle="1" w:styleId="61">
    <w:name w:val="日期 Char"/>
    <w:link w:val="31"/>
    <w:autoRedefine/>
    <w:qFormat/>
    <w:uiPriority w:val="0"/>
    <w:rPr>
      <w:rFonts w:ascii="Times New Roman" w:hAnsi="Times New Roman" w:eastAsia="宋体"/>
      <w:sz w:val="24"/>
    </w:rPr>
  </w:style>
  <w:style w:type="character" w:customStyle="1" w:styleId="62">
    <w:name w:val="日期 字符"/>
    <w:autoRedefine/>
    <w:semiHidden/>
    <w:qFormat/>
    <w:uiPriority w:val="0"/>
    <w:rPr>
      <w:rFonts w:ascii="Times New Roman" w:hAnsi="Times New Roman" w:eastAsia="宋体" w:cs="Times New Roman"/>
      <w:sz w:val="24"/>
      <w:szCs w:val="24"/>
    </w:rPr>
  </w:style>
  <w:style w:type="character" w:customStyle="1" w:styleId="63">
    <w:name w:val="正文文本 字符1"/>
    <w:autoRedefine/>
    <w:semiHidden/>
    <w:qFormat/>
    <w:uiPriority w:val="0"/>
    <w:rPr>
      <w:rFonts w:ascii="Times New Roman" w:hAnsi="Times New Roman" w:eastAsia="宋体" w:cs="Times New Roman"/>
      <w:sz w:val="24"/>
      <w:szCs w:val="24"/>
    </w:rPr>
  </w:style>
  <w:style w:type="paragraph" w:customStyle="1" w:styleId="64">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65">
    <w:name w:val="表格 Char"/>
    <w:link w:val="66"/>
    <w:autoRedefine/>
    <w:qFormat/>
    <w:uiPriority w:val="0"/>
    <w:rPr>
      <w:rFonts w:ascii="宋体"/>
      <w:sz w:val="21"/>
    </w:rPr>
  </w:style>
  <w:style w:type="paragraph" w:customStyle="1" w:styleId="66">
    <w:name w:val="表格"/>
    <w:basedOn w:val="1"/>
    <w:link w:val="65"/>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67">
    <w:name w:val="批注框文本 Char"/>
    <w:link w:val="33"/>
    <w:autoRedefine/>
    <w:semiHidden/>
    <w:qFormat/>
    <w:uiPriority w:val="0"/>
    <w:rPr>
      <w:rFonts w:ascii="Times New Roman" w:hAnsi="Times New Roman" w:eastAsia="宋体" w:cs="Times New Roman"/>
      <w:sz w:val="18"/>
      <w:szCs w:val="18"/>
    </w:rPr>
  </w:style>
  <w:style w:type="character" w:customStyle="1" w:styleId="68">
    <w:name w:val="批注文字 Char1"/>
    <w:link w:val="27"/>
    <w:autoRedefine/>
    <w:qFormat/>
    <w:uiPriority w:val="0"/>
    <w:rPr>
      <w:rFonts w:ascii="Times New Roman" w:hAnsi="Times New Roman" w:eastAsia="宋体"/>
      <w:sz w:val="24"/>
    </w:rPr>
  </w:style>
  <w:style w:type="character" w:customStyle="1" w:styleId="69">
    <w:name w:val="批注文字 字符1"/>
    <w:autoRedefine/>
    <w:semiHidden/>
    <w:qFormat/>
    <w:uiPriority w:val="0"/>
    <w:rPr>
      <w:rFonts w:ascii="Times New Roman" w:hAnsi="Times New Roman" w:eastAsia="宋体" w:cs="Times New Roman"/>
      <w:sz w:val="24"/>
      <w:szCs w:val="24"/>
    </w:rPr>
  </w:style>
  <w:style w:type="character" w:customStyle="1" w:styleId="70">
    <w:name w:val="正文文本缩进 Char"/>
    <w:link w:val="9"/>
    <w:autoRedefine/>
    <w:semiHidden/>
    <w:qFormat/>
    <w:uiPriority w:val="0"/>
    <w:rPr>
      <w:rFonts w:ascii="Times New Roman" w:hAnsi="Times New Roman" w:eastAsia="宋体" w:cs="Times New Roman"/>
      <w:sz w:val="24"/>
      <w:szCs w:val="24"/>
    </w:rPr>
  </w:style>
  <w:style w:type="character" w:customStyle="1" w:styleId="71">
    <w:name w:val="批注主题 Char"/>
    <w:link w:val="39"/>
    <w:autoRedefine/>
    <w:semiHidden/>
    <w:qFormat/>
    <w:uiPriority w:val="0"/>
    <w:rPr>
      <w:rFonts w:ascii="Times New Roman" w:hAnsi="Times New Roman" w:eastAsia="宋体" w:cs="Times New Roman"/>
      <w:b/>
      <w:bCs/>
      <w:kern w:val="2"/>
      <w:sz w:val="24"/>
      <w:szCs w:val="24"/>
    </w:rPr>
  </w:style>
  <w:style w:type="character" w:customStyle="1" w:styleId="72">
    <w:name w:val="普通(网站) Char"/>
    <w:autoRedefine/>
    <w:qFormat/>
    <w:uiPriority w:val="0"/>
    <w:rPr>
      <w:rFonts w:ascii="宋体" w:hAnsi="宋体" w:eastAsia="宋体"/>
      <w:sz w:val="24"/>
    </w:rPr>
  </w:style>
  <w:style w:type="paragraph" w:customStyle="1" w:styleId="73">
    <w:name w:val="无间隔1"/>
    <w:autoRedefine/>
    <w:qFormat/>
    <w:uiPriority w:val="1"/>
    <w:pPr>
      <w:widowControl w:val="0"/>
    </w:pPr>
    <w:rPr>
      <w:rFonts w:ascii="Times New Roman" w:hAnsi="Times New Roman" w:eastAsia="仿宋_GB2312" w:cs="Times New Roman"/>
      <w:kern w:val="2"/>
      <w:sz w:val="21"/>
      <w:szCs w:val="24"/>
      <w:lang w:val="en-US" w:eastAsia="zh-CN" w:bidi="ar-SA"/>
    </w:rPr>
  </w:style>
  <w:style w:type="paragraph" w:customStyle="1" w:styleId="74">
    <w:name w:val="表格名"/>
    <w:basedOn w:val="73"/>
    <w:autoRedefine/>
    <w:qFormat/>
    <w:uiPriority w:val="0"/>
    <w:pPr>
      <w:ind w:firstLine="200" w:firstLineChars="200"/>
      <w:jc w:val="both"/>
    </w:pPr>
    <w:rPr>
      <w:sz w:val="24"/>
    </w:rPr>
  </w:style>
  <w:style w:type="character" w:customStyle="1" w:styleId="75">
    <w:name w:val="正文格式 Char"/>
    <w:link w:val="76"/>
    <w:autoRedefine/>
    <w:qFormat/>
    <w:uiPriority w:val="0"/>
    <w:rPr>
      <w:rFonts w:eastAsia="仿宋_GB2312"/>
      <w:kern w:val="2"/>
      <w:sz w:val="24"/>
      <w:szCs w:val="22"/>
    </w:rPr>
  </w:style>
  <w:style w:type="paragraph" w:customStyle="1" w:styleId="76">
    <w:name w:val="正文格式"/>
    <w:basedOn w:val="1"/>
    <w:link w:val="75"/>
    <w:autoRedefine/>
    <w:qFormat/>
    <w:uiPriority w:val="0"/>
    <w:pPr>
      <w:spacing w:line="360" w:lineRule="auto"/>
      <w:ind w:firstLine="480" w:firstLineChars="200"/>
      <w:jc w:val="left"/>
    </w:pPr>
    <w:rPr>
      <w:rFonts w:eastAsia="仿宋_GB2312"/>
      <w:sz w:val="24"/>
      <w:szCs w:val="22"/>
    </w:rPr>
  </w:style>
  <w:style w:type="character" w:customStyle="1" w:styleId="77">
    <w:name w:val="表格文字 Char"/>
    <w:link w:val="78"/>
    <w:autoRedefine/>
    <w:qFormat/>
    <w:uiPriority w:val="0"/>
    <w:rPr>
      <w:rFonts w:eastAsia="仿宋_GB2312"/>
      <w:spacing w:val="-8"/>
      <w:kern w:val="2"/>
      <w:sz w:val="21"/>
    </w:rPr>
  </w:style>
  <w:style w:type="paragraph" w:customStyle="1" w:styleId="78">
    <w:name w:val="表格文字"/>
    <w:basedOn w:val="36"/>
    <w:next w:val="28"/>
    <w:link w:val="77"/>
    <w:autoRedefine/>
    <w:qFormat/>
    <w:uiPriority w:val="0"/>
    <w:pPr>
      <w:adjustRightInd w:val="0"/>
      <w:spacing w:after="0" w:line="240" w:lineRule="auto"/>
      <w:jc w:val="center"/>
      <w:textAlignment w:val="center"/>
    </w:pPr>
    <w:rPr>
      <w:rFonts w:eastAsia="仿宋_GB2312"/>
      <w:spacing w:val="-8"/>
      <w:szCs w:val="20"/>
    </w:rPr>
  </w:style>
  <w:style w:type="character" w:customStyle="1" w:styleId="79">
    <w:name w:val="正文文本 2 Char"/>
    <w:link w:val="36"/>
    <w:autoRedefine/>
    <w:qFormat/>
    <w:uiPriority w:val="0"/>
    <w:rPr>
      <w:kern w:val="2"/>
      <w:sz w:val="21"/>
      <w:szCs w:val="24"/>
    </w:rPr>
  </w:style>
  <w:style w:type="character" w:customStyle="1" w:styleId="80">
    <w:name w:val="标题 4 Char"/>
    <w:link w:val="22"/>
    <w:autoRedefine/>
    <w:qFormat/>
    <w:uiPriority w:val="0"/>
    <w:rPr>
      <w:rFonts w:ascii="等线 Light" w:hAnsi="等线 Light" w:eastAsia="等线 Light"/>
      <w:b/>
      <w:bCs/>
      <w:kern w:val="2"/>
      <w:sz w:val="28"/>
      <w:szCs w:val="28"/>
    </w:rPr>
  </w:style>
  <w:style w:type="character" w:customStyle="1" w:styleId="81">
    <w:name w:val="宏文本 Char"/>
    <w:link w:val="3"/>
    <w:autoRedefine/>
    <w:qFormat/>
    <w:uiPriority w:val="0"/>
    <w:rPr>
      <w:rFonts w:ascii="Courier New" w:hAnsi="Courier New" w:cs="Courier New"/>
      <w:kern w:val="2"/>
      <w:sz w:val="24"/>
      <w:szCs w:val="24"/>
    </w:rPr>
  </w:style>
  <w:style w:type="character" w:customStyle="1" w:styleId="82">
    <w:name w:val="font132"/>
    <w:autoRedefine/>
    <w:qFormat/>
    <w:uiPriority w:val="0"/>
    <w:rPr>
      <w:rFonts w:hint="default" w:ascii="Times New Roman" w:hAnsi="Times New Roman" w:cs="Times New Roman"/>
      <w:b/>
      <w:bCs/>
      <w:color w:val="000000"/>
      <w:sz w:val="18"/>
      <w:szCs w:val="18"/>
      <w:u w:val="none"/>
      <w:vertAlign w:val="superscript"/>
    </w:rPr>
  </w:style>
  <w:style w:type="paragraph" w:customStyle="1" w:styleId="83">
    <w:name w:val="Char Char Char Char Char Char"/>
    <w:basedOn w:val="1"/>
    <w:next w:val="3"/>
    <w:autoRedefine/>
    <w:qFormat/>
    <w:uiPriority w:val="0"/>
    <w:rPr>
      <w:szCs w:val="20"/>
    </w:rPr>
  </w:style>
  <w:style w:type="paragraph" w:customStyle="1" w:styleId="84">
    <w:name w:val="页眉 RR"/>
    <w:basedOn w:val="2"/>
    <w:autoRedefine/>
    <w:qFormat/>
    <w:uiPriority w:val="0"/>
    <w:pPr>
      <w:tabs>
        <w:tab w:val="center" w:pos="4156"/>
        <w:tab w:val="right" w:pos="8312"/>
        <w:tab w:val="clear" w:pos="4153"/>
        <w:tab w:val="clear" w:pos="8306"/>
      </w:tabs>
    </w:pPr>
  </w:style>
  <w:style w:type="paragraph" w:customStyle="1" w:styleId="85">
    <w:name w:val="TOC 标题1"/>
    <w:basedOn w:val="4"/>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86">
    <w:name w:val="目录 21"/>
    <w:basedOn w:val="1"/>
    <w:next w:val="1"/>
    <w:autoRedefine/>
    <w:unhideWhenUsed/>
    <w:qFormat/>
    <w:uiPriority w:val="39"/>
    <w:pPr>
      <w:widowControl/>
      <w:spacing w:after="100" w:line="276" w:lineRule="auto"/>
      <w:ind w:left="220"/>
      <w:jc w:val="left"/>
    </w:pPr>
    <w:rPr>
      <w:rFonts w:ascii="Calibri" w:hAnsi="Calibri"/>
      <w:kern w:val="0"/>
      <w:sz w:val="22"/>
      <w:szCs w:val="22"/>
    </w:rPr>
  </w:style>
  <w:style w:type="paragraph" w:customStyle="1" w:styleId="87">
    <w:name w:val="目录 11"/>
    <w:basedOn w:val="1"/>
    <w:next w:val="1"/>
    <w:autoRedefine/>
    <w:unhideWhenUsed/>
    <w:qFormat/>
    <w:uiPriority w:val="39"/>
    <w:pPr>
      <w:widowControl/>
      <w:spacing w:after="100" w:line="276" w:lineRule="auto"/>
      <w:jc w:val="left"/>
    </w:pPr>
    <w:rPr>
      <w:rFonts w:ascii="Calibri" w:hAnsi="Calibri"/>
      <w:kern w:val="0"/>
      <w:sz w:val="22"/>
      <w:szCs w:val="22"/>
    </w:rPr>
  </w:style>
  <w:style w:type="paragraph" w:customStyle="1" w:styleId="88">
    <w:name w:val="目录 31"/>
    <w:basedOn w:val="1"/>
    <w:next w:val="1"/>
    <w:autoRedefine/>
    <w:unhideWhenUsed/>
    <w:qFormat/>
    <w:uiPriority w:val="39"/>
    <w:pPr>
      <w:widowControl/>
      <w:spacing w:after="100" w:line="276" w:lineRule="auto"/>
      <w:ind w:left="440"/>
      <w:jc w:val="left"/>
    </w:pPr>
    <w:rPr>
      <w:rFonts w:ascii="Calibri" w:hAnsi="Calibri"/>
      <w:kern w:val="0"/>
      <w:sz w:val="22"/>
      <w:szCs w:val="22"/>
    </w:rPr>
  </w:style>
  <w:style w:type="paragraph" w:customStyle="1" w:styleId="89">
    <w:name w:val="常用表格样式"/>
    <w:autoRedefine/>
    <w:qFormat/>
    <w:uiPriority w:val="0"/>
    <w:pPr>
      <w:jc w:val="center"/>
    </w:pPr>
    <w:rPr>
      <w:rFonts w:ascii="宋体" w:hAnsi="新宋体" w:eastAsia="仿宋_GB2312" w:cs="Times New Roman"/>
      <w:spacing w:val="2"/>
      <w:kern w:val="2"/>
      <w:sz w:val="18"/>
      <w:szCs w:val="24"/>
      <w:lang w:val="en-US" w:eastAsia="zh-CN" w:bidi="ar-SA"/>
    </w:rPr>
  </w:style>
  <w:style w:type="paragraph" w:customStyle="1" w:styleId="90">
    <w:name w:val="列出段落1"/>
    <w:basedOn w:val="1"/>
    <w:autoRedefine/>
    <w:qFormat/>
    <w:uiPriority w:val="34"/>
    <w:pPr>
      <w:adjustRightInd w:val="0"/>
      <w:snapToGrid w:val="0"/>
      <w:spacing w:line="360" w:lineRule="auto"/>
      <w:ind w:firstLine="420" w:firstLineChars="200"/>
      <w:jc w:val="left"/>
    </w:pPr>
    <w:rPr>
      <w:sz w:val="24"/>
    </w:rPr>
  </w:style>
  <w:style w:type="paragraph" w:customStyle="1" w:styleId="91">
    <w:name w:val="Table Paragraph"/>
    <w:basedOn w:val="1"/>
    <w:autoRedefine/>
    <w:qFormat/>
    <w:uiPriority w:val="1"/>
    <w:pPr>
      <w:spacing w:before="33"/>
      <w:jc w:val="center"/>
    </w:pPr>
    <w:rPr>
      <w:rFonts w:eastAsia="Times New Roman"/>
      <w:lang w:val="zh-CN" w:bidi="zh-CN"/>
    </w:rPr>
  </w:style>
  <w:style w:type="paragraph" w:customStyle="1" w:styleId="92">
    <w:name w:val="Char Char Char Char Char Char Char Char Char Char Char Char Char Char Char Char Char Char Char"/>
    <w:basedOn w:val="1"/>
    <w:autoRedefine/>
    <w:semiHidden/>
    <w:qFormat/>
    <w:uiPriority w:val="0"/>
  </w:style>
  <w:style w:type="paragraph" w:customStyle="1" w:styleId="93">
    <w:name w:val="列表段落1"/>
    <w:basedOn w:val="1"/>
    <w:autoRedefine/>
    <w:qFormat/>
    <w:uiPriority w:val="0"/>
    <w:pPr>
      <w:ind w:firstLine="420" w:firstLineChars="200"/>
    </w:pPr>
  </w:style>
  <w:style w:type="paragraph" w:customStyle="1" w:styleId="94">
    <w:name w:val="1jw正文"/>
    <w:autoRedefine/>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95">
    <w:name w:val="1.5倍行距"/>
    <w:basedOn w:val="1"/>
    <w:autoRedefine/>
    <w:qFormat/>
    <w:uiPriority w:val="0"/>
    <w:pPr>
      <w:spacing w:line="360" w:lineRule="auto"/>
      <w:ind w:firstLine="200" w:firstLineChars="200"/>
      <w:jc w:val="left"/>
    </w:pPr>
    <w:rPr>
      <w:sz w:val="24"/>
    </w:rPr>
  </w:style>
  <w:style w:type="character" w:customStyle="1" w:styleId="96">
    <w:name w:val="纯文本 Char1"/>
    <w:link w:val="30"/>
    <w:autoRedefine/>
    <w:qFormat/>
    <w:uiPriority w:val="0"/>
    <w:rPr>
      <w:rFonts w:ascii="宋体"/>
      <w:sz w:val="24"/>
    </w:rPr>
  </w:style>
  <w:style w:type="character" w:customStyle="1" w:styleId="97">
    <w:name w:val="纯文本 字符1"/>
    <w:basedOn w:val="43"/>
    <w:autoRedefine/>
    <w:qFormat/>
    <w:uiPriority w:val="0"/>
    <w:rPr>
      <w:rFonts w:hAnsi="Courier New" w:cs="Courier New" w:asciiTheme="minorEastAsia" w:eastAsiaTheme="minorEastAsia"/>
      <w:kern w:val="2"/>
      <w:sz w:val="21"/>
      <w:szCs w:val="24"/>
    </w:rPr>
  </w:style>
  <w:style w:type="paragraph" w:customStyle="1" w:styleId="98">
    <w:name w:val="gyy正文"/>
    <w:basedOn w:val="1"/>
    <w:link w:val="99"/>
    <w:autoRedefine/>
    <w:qFormat/>
    <w:uiPriority w:val="0"/>
    <w:pPr>
      <w:spacing w:line="360" w:lineRule="auto"/>
      <w:ind w:firstLine="480" w:firstLineChars="200"/>
    </w:pPr>
    <w:rPr>
      <w:color w:val="000000"/>
      <w:kern w:val="28"/>
      <w:position w:val="6"/>
      <w:sz w:val="24"/>
      <w:szCs w:val="20"/>
    </w:rPr>
  </w:style>
  <w:style w:type="character" w:customStyle="1" w:styleId="99">
    <w:name w:val="gyy正文 Char2"/>
    <w:link w:val="98"/>
    <w:autoRedefine/>
    <w:qFormat/>
    <w:uiPriority w:val="0"/>
    <w:rPr>
      <w:color w:val="000000"/>
      <w:kern w:val="28"/>
      <w:position w:val="6"/>
      <w:sz w:val="24"/>
    </w:rPr>
  </w:style>
  <w:style w:type="paragraph" w:customStyle="1" w:styleId="100">
    <w:name w:val="正文1"/>
    <w:basedOn w:val="1"/>
    <w:link w:val="101"/>
    <w:autoRedefine/>
    <w:qFormat/>
    <w:uiPriority w:val="0"/>
    <w:pPr>
      <w:spacing w:line="360" w:lineRule="auto"/>
    </w:pPr>
    <w:rPr>
      <w:snapToGrid w:val="0"/>
      <w:kern w:val="0"/>
      <w:sz w:val="24"/>
      <w:szCs w:val="28"/>
    </w:rPr>
  </w:style>
  <w:style w:type="character" w:customStyle="1" w:styleId="101">
    <w:name w:val="正文 Char"/>
    <w:basedOn w:val="43"/>
    <w:link w:val="100"/>
    <w:autoRedefine/>
    <w:qFormat/>
    <w:uiPriority w:val="0"/>
    <w:rPr>
      <w:snapToGrid w:val="0"/>
      <w:sz w:val="24"/>
      <w:szCs w:val="28"/>
    </w:rPr>
  </w:style>
  <w:style w:type="character" w:customStyle="1" w:styleId="102">
    <w:name w:val="正文文本缩进 2 Char"/>
    <w:basedOn w:val="43"/>
    <w:link w:val="32"/>
    <w:autoRedefine/>
    <w:qFormat/>
    <w:uiPriority w:val="99"/>
    <w:rPr>
      <w:kern w:val="2"/>
      <w:sz w:val="21"/>
      <w:szCs w:val="24"/>
    </w:rPr>
  </w:style>
  <w:style w:type="character" w:customStyle="1" w:styleId="103">
    <w:name w:val="正文首行缩进 Char"/>
    <w:basedOn w:val="59"/>
    <w:link w:val="40"/>
    <w:autoRedefine/>
    <w:qFormat/>
    <w:uiPriority w:val="0"/>
    <w:rPr>
      <w:sz w:val="18"/>
      <w:szCs w:val="18"/>
    </w:rPr>
  </w:style>
  <w:style w:type="character" w:customStyle="1" w:styleId="104">
    <w:name w:val="正文文本 Char2"/>
    <w:autoRedefine/>
    <w:qFormat/>
    <w:uiPriority w:val="0"/>
    <w:rPr>
      <w:rFonts w:ascii="宋体" w:hAnsi="宋体" w:eastAsia="宋体"/>
      <w:sz w:val="24"/>
      <w:szCs w:val="24"/>
      <w:lang w:val="en-US" w:eastAsia="zh-CN" w:bidi="ar-SA"/>
    </w:rPr>
  </w:style>
  <w:style w:type="character" w:customStyle="1" w:styleId="105">
    <w:name w:val="正文文本 Char1"/>
    <w:autoRedefine/>
    <w:qFormat/>
    <w:uiPriority w:val="0"/>
    <w:rPr>
      <w:kern w:val="2"/>
      <w:sz w:val="21"/>
      <w:szCs w:val="24"/>
    </w:rPr>
  </w:style>
  <w:style w:type="character" w:customStyle="1" w:styleId="106">
    <w:name w:val="无间隔 Char"/>
    <w:link w:val="107"/>
    <w:autoRedefine/>
    <w:qFormat/>
    <w:uiPriority w:val="0"/>
    <w:rPr>
      <w:kern w:val="2"/>
      <w:sz w:val="21"/>
      <w:szCs w:val="24"/>
    </w:rPr>
  </w:style>
  <w:style w:type="paragraph" w:customStyle="1" w:styleId="107">
    <w:name w:val="无间隔2"/>
    <w:link w:val="10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Char Char Char Char Char Char Char Char Char Char Char Char Char Char Char Char Char Char Char1"/>
    <w:basedOn w:val="1"/>
    <w:autoRedefine/>
    <w:semiHidden/>
    <w:qFormat/>
    <w:uiPriority w:val="0"/>
  </w:style>
  <w:style w:type="paragraph" w:customStyle="1" w:styleId="109">
    <w:name w:val="标提 1 Char"/>
    <w:basedOn w:val="1"/>
    <w:autoRedefine/>
    <w:semiHidden/>
    <w:qFormat/>
    <w:uiPriority w:val="0"/>
    <w:pPr>
      <w:numPr>
        <w:ilvl w:val="0"/>
        <w:numId w:val="2"/>
      </w:numPr>
      <w:jc w:val="center"/>
    </w:pPr>
    <w:rPr>
      <w:rFonts w:ascii="黑体" w:eastAsia="黑体"/>
      <w:b/>
      <w:sz w:val="32"/>
      <w:szCs w:val="32"/>
    </w:rPr>
  </w:style>
  <w:style w:type="table" w:customStyle="1" w:styleId="110">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11">
    <w:name w:val="批注文字 Char"/>
    <w:autoRedefine/>
    <w:semiHidden/>
    <w:qFormat/>
    <w:uiPriority w:val="99"/>
    <w:rPr>
      <w:rFonts w:ascii="Times New Roman" w:hAnsi="Times New Roman"/>
      <w:kern w:val="2"/>
      <w:sz w:val="24"/>
      <w:szCs w:val="22"/>
    </w:rPr>
  </w:style>
  <w:style w:type="paragraph" w:customStyle="1" w:styleId="112">
    <w:name w:val="文字 getiao"/>
    <w:basedOn w:val="1"/>
    <w:link w:val="113"/>
    <w:autoRedefine/>
    <w:qFormat/>
    <w:uiPriority w:val="99"/>
    <w:pPr>
      <w:spacing w:line="360" w:lineRule="auto"/>
      <w:ind w:firstLine="480" w:firstLineChars="200"/>
    </w:pPr>
    <w:rPr>
      <w:color w:val="FF0000"/>
      <w:sz w:val="24"/>
      <w:szCs w:val="21"/>
    </w:rPr>
  </w:style>
  <w:style w:type="character" w:customStyle="1" w:styleId="113">
    <w:name w:val="文字 getiao Char"/>
    <w:link w:val="112"/>
    <w:autoRedefine/>
    <w:qFormat/>
    <w:uiPriority w:val="99"/>
    <w:rPr>
      <w:color w:val="FF0000"/>
      <w:kern w:val="2"/>
      <w:sz w:val="24"/>
      <w:szCs w:val="21"/>
    </w:rPr>
  </w:style>
  <w:style w:type="paragraph" w:customStyle="1" w:styleId="114">
    <w:name w:val="p0"/>
    <w:basedOn w:val="1"/>
    <w:autoRedefine/>
    <w:qFormat/>
    <w:uiPriority w:val="0"/>
    <w:pPr>
      <w:widowControl/>
    </w:pPr>
    <w:rPr>
      <w:kern w:val="0"/>
      <w:szCs w:val="21"/>
    </w:rPr>
  </w:style>
  <w:style w:type="paragraph" w:customStyle="1" w:styleId="115">
    <w:name w:val="图标标题getiao"/>
    <w:basedOn w:val="1"/>
    <w:next w:val="28"/>
    <w:autoRedefine/>
    <w:qFormat/>
    <w:uiPriority w:val="0"/>
    <w:pPr>
      <w:widowControl/>
      <w:adjustRightInd w:val="0"/>
      <w:snapToGrid w:val="0"/>
      <w:spacing w:line="360" w:lineRule="auto"/>
      <w:jc w:val="center"/>
    </w:pPr>
    <w:rPr>
      <w:rFonts w:eastAsia="黑体"/>
      <w:kern w:val="0"/>
      <w:sz w:val="24"/>
    </w:rPr>
  </w:style>
  <w:style w:type="character" w:customStyle="1" w:styleId="116">
    <w:name w:val="文档结构图 Char"/>
    <w:basedOn w:val="43"/>
    <w:link w:val="26"/>
    <w:autoRedefine/>
    <w:qFormat/>
    <w:uiPriority w:val="0"/>
    <w:rPr>
      <w:rFonts w:ascii="宋体"/>
      <w:kern w:val="2"/>
      <w:sz w:val="18"/>
      <w:szCs w:val="18"/>
    </w:rPr>
  </w:style>
  <w:style w:type="paragraph" w:customStyle="1" w:styleId="117">
    <w:name w:val="表头"/>
    <w:basedOn w:val="1"/>
    <w:autoRedefine/>
    <w:qFormat/>
    <w:uiPriority w:val="0"/>
    <w:pPr>
      <w:spacing w:line="360" w:lineRule="auto"/>
      <w:jc w:val="center"/>
    </w:pPr>
    <w:rPr>
      <w:b/>
      <w:sz w:val="24"/>
      <w:szCs w:val="22"/>
      <w:lang w:val="zh-CN"/>
    </w:rPr>
  </w:style>
  <w:style w:type="character" w:customStyle="1" w:styleId="118">
    <w:name w:val="15"/>
    <w:autoRedefine/>
    <w:qFormat/>
    <w:uiPriority w:val="0"/>
    <w:rPr>
      <w:rFonts w:hint="eastAsia" w:ascii="宋体" w:hAnsi="宋体" w:eastAsia="宋体" w:cs="Times New Roman"/>
      <w:kern w:val="2"/>
      <w:sz w:val="21"/>
      <w:szCs w:val="21"/>
    </w:rPr>
  </w:style>
  <w:style w:type="paragraph" w:customStyle="1" w:styleId="119">
    <w:name w:val="表格内容！"/>
    <w:basedOn w:val="1"/>
    <w:autoRedefine/>
    <w:qFormat/>
    <w:uiPriority w:val="0"/>
    <w:pPr>
      <w:widowControl/>
      <w:jc w:val="center"/>
    </w:pPr>
    <w:rPr>
      <w:rFonts w:eastAsia="仿宋_GB2312" w:cs="宋体"/>
      <w:kern w:val="0"/>
      <w:szCs w:val="21"/>
    </w:rPr>
  </w:style>
  <w:style w:type="paragraph" w:customStyle="1" w:styleId="120">
    <w:name w:val="表格标题"/>
    <w:basedOn w:val="1"/>
    <w:link w:val="121"/>
    <w:autoRedefine/>
    <w:qFormat/>
    <w:uiPriority w:val="0"/>
    <w:pPr>
      <w:widowControl/>
      <w:jc w:val="center"/>
    </w:pPr>
    <w:rPr>
      <w:b/>
      <w:kern w:val="0"/>
      <w:szCs w:val="21"/>
    </w:rPr>
  </w:style>
  <w:style w:type="character" w:customStyle="1" w:styleId="121">
    <w:name w:val="表格标题 Char"/>
    <w:link w:val="120"/>
    <w:autoRedefine/>
    <w:qFormat/>
    <w:uiPriority w:val="0"/>
    <w:rPr>
      <w:b/>
      <w:sz w:val="21"/>
      <w:szCs w:val="21"/>
    </w:rPr>
  </w:style>
  <w:style w:type="character" w:customStyle="1" w:styleId="122">
    <w:name w:val="占位符文本1"/>
    <w:basedOn w:val="43"/>
    <w:autoRedefine/>
    <w:semiHidden/>
    <w:qFormat/>
    <w:uiPriority w:val="99"/>
    <w:rPr>
      <w:color w:val="808080"/>
    </w:rPr>
  </w:style>
  <w:style w:type="character" w:customStyle="1" w:styleId="123">
    <w:name w:val="项目正文 Char Char"/>
    <w:link w:val="124"/>
    <w:autoRedefine/>
    <w:qFormat/>
    <w:uiPriority w:val="0"/>
    <w:rPr>
      <w:rFonts w:ascii="Calibri" w:hAnsi="Calibri"/>
      <w:kern w:val="2"/>
      <w:sz w:val="26"/>
      <w:szCs w:val="26"/>
    </w:rPr>
  </w:style>
  <w:style w:type="paragraph" w:customStyle="1" w:styleId="124">
    <w:name w:val="项目正文"/>
    <w:basedOn w:val="1"/>
    <w:link w:val="123"/>
    <w:autoRedefine/>
    <w:qFormat/>
    <w:uiPriority w:val="0"/>
    <w:pPr>
      <w:spacing w:line="360" w:lineRule="auto"/>
      <w:ind w:firstLine="200" w:firstLineChars="200"/>
    </w:pPr>
    <w:rPr>
      <w:rFonts w:ascii="Calibri" w:hAnsi="Calibri"/>
      <w:sz w:val="26"/>
      <w:szCs w:val="26"/>
    </w:rPr>
  </w:style>
  <w:style w:type="paragraph" w:customStyle="1" w:styleId="125">
    <w:name w:val="Char Char Char1 Char1 Char Char Char"/>
    <w:basedOn w:val="1"/>
    <w:autoRedefine/>
    <w:qFormat/>
    <w:uiPriority w:val="0"/>
  </w:style>
  <w:style w:type="character" w:customStyle="1" w:styleId="126">
    <w:name w:val="纯文本 Char"/>
    <w:autoRedefine/>
    <w:qFormat/>
    <w:uiPriority w:val="0"/>
    <w:rPr>
      <w:rFonts w:ascii="宋体" w:hAnsi="Courier New" w:eastAsia="宋体" w:cs="Times New Roman"/>
      <w:kern w:val="0"/>
      <w:sz w:val="20"/>
      <w:szCs w:val="20"/>
      <w:lang w:val="zh-CN" w:eastAsia="zh-CN"/>
    </w:rPr>
  </w:style>
  <w:style w:type="paragraph" w:customStyle="1" w:styleId="127">
    <w:name w:val="！表中文本"/>
    <w:basedOn w:val="1"/>
    <w:autoRedefine/>
    <w:qFormat/>
    <w:uiPriority w:val="0"/>
    <w:pPr>
      <w:adjustRightInd w:val="0"/>
      <w:snapToGrid w:val="0"/>
      <w:spacing w:line="400" w:lineRule="exact"/>
      <w:jc w:val="center"/>
    </w:pPr>
    <w:rPr>
      <w:kern w:val="0"/>
      <w:szCs w:val="18"/>
    </w:rPr>
  </w:style>
  <w:style w:type="paragraph" w:customStyle="1" w:styleId="128">
    <w:name w:val="DY表格格式"/>
    <w:basedOn w:val="1"/>
    <w:next w:val="1"/>
    <w:autoRedefine/>
    <w:qFormat/>
    <w:uiPriority w:val="0"/>
    <w:pPr>
      <w:jc w:val="center"/>
    </w:pPr>
    <w:rPr>
      <w:szCs w:val="22"/>
    </w:rPr>
  </w:style>
  <w:style w:type="character" w:customStyle="1" w:styleId="129">
    <w:name w:val="font41"/>
    <w:autoRedefine/>
    <w:qFormat/>
    <w:uiPriority w:val="0"/>
    <w:rPr>
      <w:rFonts w:hint="default" w:ascii="Times New Roman" w:hAnsi="Times New Roman" w:cs="Times New Roman"/>
      <w:color w:val="000000"/>
      <w:sz w:val="24"/>
      <w:szCs w:val="24"/>
      <w:u w:val="none"/>
    </w:rPr>
  </w:style>
  <w:style w:type="paragraph" w:customStyle="1" w:styleId="130">
    <w:name w:val="文字"/>
    <w:basedOn w:val="1"/>
    <w:autoRedefine/>
    <w:qFormat/>
    <w:uiPriority w:val="99"/>
    <w:pPr>
      <w:spacing w:before="50" w:beforeLines="50" w:line="400" w:lineRule="exact"/>
      <w:ind w:firstLine="200" w:firstLineChars="200"/>
    </w:pPr>
  </w:style>
  <w:style w:type="paragraph" w:customStyle="1" w:styleId="131">
    <w:name w:val="报告正文"/>
    <w:basedOn w:val="132"/>
    <w:autoRedefine/>
    <w:qFormat/>
    <w:uiPriority w:val="0"/>
    <w:pPr>
      <w:snapToGrid w:val="0"/>
      <w:spacing w:line="360" w:lineRule="auto"/>
      <w:ind w:firstLine="480"/>
      <w:jc w:val="left"/>
    </w:pPr>
    <w:rPr>
      <w:sz w:val="24"/>
      <w:lang w:val="zh-CN"/>
    </w:rPr>
  </w:style>
  <w:style w:type="paragraph" w:customStyle="1" w:styleId="132">
    <w:name w:val="环评正文"/>
    <w:basedOn w:val="31"/>
    <w:next w:val="1"/>
    <w:autoRedefine/>
    <w:qFormat/>
    <w:uiPriority w:val="0"/>
    <w:pPr>
      <w:autoSpaceDE w:val="0"/>
      <w:autoSpaceDN w:val="0"/>
      <w:adjustRightInd w:val="0"/>
      <w:spacing w:line="500" w:lineRule="exact"/>
      <w:ind w:left="0" w:leftChars="0" w:firstLine="560" w:firstLineChars="200"/>
    </w:pPr>
    <w:rPr>
      <w:rFonts w:ascii="仿宋_GB2312" w:eastAsia="仿宋_GB2312"/>
      <w:sz w:val="28"/>
      <w:szCs w:val="20"/>
    </w:rPr>
  </w:style>
  <w:style w:type="paragraph" w:customStyle="1" w:styleId="133">
    <w:name w:val="表中文字-getiao"/>
    <w:basedOn w:val="1"/>
    <w:autoRedefine/>
    <w:qFormat/>
    <w:uiPriority w:val="0"/>
    <w:pPr>
      <w:widowControl/>
      <w:jc w:val="center"/>
    </w:pPr>
    <w:rPr>
      <w:kern w:val="0"/>
    </w:rPr>
  </w:style>
  <w:style w:type="paragraph" w:customStyle="1" w:styleId="134">
    <w:name w:val="空两格（段落）"/>
    <w:basedOn w:val="1"/>
    <w:autoRedefine/>
    <w:qFormat/>
    <w:uiPriority w:val="0"/>
    <w:pPr>
      <w:snapToGrid w:val="0"/>
      <w:spacing w:line="360" w:lineRule="auto"/>
      <w:ind w:firstLine="200" w:firstLineChars="200"/>
    </w:pPr>
    <w:rPr>
      <w:rFonts w:eastAsia="新宋体"/>
      <w:spacing w:val="4"/>
      <w:szCs w:val="22"/>
    </w:rPr>
  </w:style>
  <w:style w:type="paragraph" w:customStyle="1" w:styleId="135">
    <w:name w:val="正文首行缩进2"/>
    <w:basedOn w:val="1"/>
    <w:autoRedefine/>
    <w:qFormat/>
    <w:uiPriority w:val="99"/>
    <w:pPr>
      <w:autoSpaceDE w:val="0"/>
      <w:autoSpaceDN w:val="0"/>
      <w:adjustRightInd w:val="0"/>
      <w:spacing w:line="500" w:lineRule="atLeast"/>
      <w:ind w:firstLine="560"/>
    </w:pPr>
    <w:rPr>
      <w:kern w:val="0"/>
      <w:sz w:val="28"/>
      <w:szCs w:val="20"/>
    </w:rPr>
  </w:style>
  <w:style w:type="paragraph" w:customStyle="1" w:styleId="136">
    <w:name w:val="样式4"/>
    <w:basedOn w:val="1"/>
    <w:autoRedefine/>
    <w:qFormat/>
    <w:uiPriority w:val="0"/>
    <w:pPr>
      <w:spacing w:line="360" w:lineRule="exact"/>
      <w:jc w:val="center"/>
    </w:pPr>
    <w:rPr>
      <w:szCs w:val="21"/>
    </w:rPr>
  </w:style>
  <w:style w:type="paragraph" w:customStyle="1" w:styleId="137">
    <w:name w:val="DY 图格式"/>
    <w:next w:val="138"/>
    <w:autoRedefine/>
    <w:qFormat/>
    <w:uiPriority w:val="0"/>
    <w:pPr>
      <w:widowControl w:val="0"/>
      <w:spacing w:before="50" w:beforeLines="50" w:line="360" w:lineRule="auto"/>
      <w:jc w:val="center"/>
    </w:pPr>
    <w:rPr>
      <w:rFonts w:ascii="宋体" w:hAnsi="Calibri" w:eastAsia="宋体" w:cs="Times New Roman"/>
      <w:spacing w:val="4"/>
      <w:kern w:val="2"/>
      <w:sz w:val="24"/>
      <w:szCs w:val="21"/>
      <w:lang w:val="en-US" w:eastAsia="zh-CN" w:bidi="ar-SA"/>
    </w:rPr>
  </w:style>
  <w:style w:type="paragraph" w:customStyle="1" w:styleId="138">
    <w:name w:val="无间隔3"/>
    <w:basedOn w:val="1"/>
    <w:autoRedefine/>
    <w:qFormat/>
    <w:uiPriority w:val="0"/>
    <w:pPr>
      <w:ind w:firstLine="200" w:firstLineChars="200"/>
    </w:pPr>
    <w:rPr>
      <w:rFonts w:asciiTheme="minorEastAsia" w:hAnsiTheme="minorHAnsi" w:eastAsiaTheme="minorEastAsia" w:cstheme="minorBidi"/>
      <w:spacing w:val="4"/>
      <w:sz w:val="24"/>
      <w:szCs w:val="21"/>
    </w:rPr>
  </w:style>
  <w:style w:type="paragraph" w:customStyle="1" w:styleId="139">
    <w:name w:val="表格格式"/>
    <w:basedOn w:val="1"/>
    <w:next w:val="1"/>
    <w:autoRedefine/>
    <w:qFormat/>
    <w:uiPriority w:val="0"/>
    <w:pPr>
      <w:widowControl/>
      <w:snapToGrid w:val="0"/>
      <w:spacing w:line="240" w:lineRule="auto"/>
      <w:ind w:firstLine="0" w:firstLineChars="0"/>
      <w:jc w:val="center"/>
    </w:pPr>
    <w:rPr>
      <w:kern w:val="0"/>
      <w:sz w:val="18"/>
    </w:rPr>
  </w:style>
  <w:style w:type="paragraph" w:customStyle="1" w:styleId="140">
    <w:name w:val="！正文 Alt+0"/>
    <w:basedOn w:val="1"/>
    <w:autoRedefine/>
    <w:qFormat/>
    <w:uiPriority w:val="0"/>
    <w:rPr>
      <w:szCs w:val="24"/>
    </w:rPr>
  </w:style>
  <w:style w:type="paragraph" w:customStyle="1" w:styleId="141">
    <w:name w:val="No Spacing"/>
    <w:basedOn w:val="117"/>
    <w:next w:val="1"/>
    <w:autoRedefine/>
    <w:qFormat/>
    <w:uiPriority w:val="1"/>
    <w:pPr>
      <w:spacing w:afterLines="0"/>
    </w:pPr>
    <w:rPr>
      <w:snapToGrid w:val="0"/>
      <w:kern w:val="0"/>
      <w:sz w:val="18"/>
    </w:rPr>
  </w:style>
  <w:style w:type="paragraph" w:customStyle="1" w:styleId="142">
    <w:name w:val="Char Char Char Char"/>
    <w:basedOn w:val="1"/>
    <w:autoRedefine/>
    <w:qFormat/>
    <w:uiPriority w:val="0"/>
    <w:pPr>
      <w:spacing w:line="240" w:lineRule="auto"/>
      <w:ind w:firstLine="0" w:firstLineChars="0"/>
      <w:jc w:val="both"/>
    </w:pPr>
    <w:rPr>
      <w:sz w:val="21"/>
      <w:szCs w:val="24"/>
    </w:rPr>
  </w:style>
  <w:style w:type="table" w:customStyle="1" w:styleId="143">
    <w:name w:val="网格型1"/>
    <w:basedOn w:val="4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2"/>
    <w:basedOn w:val="4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5">
    <w:name w:val="font01"/>
    <w:basedOn w:val="43"/>
    <w:autoRedefine/>
    <w:qFormat/>
    <w:uiPriority w:val="0"/>
    <w:rPr>
      <w:rFonts w:hint="default" w:ascii="Arial" w:hAnsi="Arial" w:cs="Arial"/>
      <w:color w:val="000000"/>
      <w:sz w:val="20"/>
      <w:szCs w:val="20"/>
      <w:u w:val="none"/>
    </w:rPr>
  </w:style>
  <w:style w:type="character" w:customStyle="1" w:styleId="146">
    <w:name w:val="font11"/>
    <w:basedOn w:val="43"/>
    <w:autoRedefine/>
    <w:qFormat/>
    <w:uiPriority w:val="0"/>
    <w:rPr>
      <w:rFonts w:hint="eastAsia" w:ascii="宋体" w:hAnsi="宋体" w:eastAsia="宋体" w:cs="宋体"/>
      <w:b/>
      <w:bCs/>
      <w:color w:val="000000"/>
      <w:sz w:val="21"/>
      <w:szCs w:val="21"/>
      <w:u w:val="none"/>
    </w:rPr>
  </w:style>
  <w:style w:type="character" w:customStyle="1" w:styleId="147">
    <w:name w:val="font61"/>
    <w:autoRedefine/>
    <w:qFormat/>
    <w:uiPriority w:val="0"/>
    <w:rPr>
      <w:rFonts w:hint="default" w:ascii="Times New Roman" w:hAnsi="Times New Roman" w:cs="Times New Roman"/>
      <w:b/>
      <w:bCs/>
      <w:color w:val="FF0000"/>
      <w:sz w:val="21"/>
      <w:szCs w:val="21"/>
      <w:u w:val="none"/>
    </w:rPr>
  </w:style>
  <w:style w:type="character" w:customStyle="1" w:styleId="148">
    <w:name w:val="font71"/>
    <w:autoRedefine/>
    <w:qFormat/>
    <w:uiPriority w:val="0"/>
    <w:rPr>
      <w:rFonts w:hint="default" w:ascii="Times New Roman" w:hAnsi="Times New Roman" w:cs="Times New Roman"/>
      <w:b/>
      <w:bCs/>
      <w:color w:val="FF0000"/>
      <w:sz w:val="21"/>
      <w:szCs w:val="21"/>
      <w:u w:val="none"/>
    </w:rPr>
  </w:style>
  <w:style w:type="character" w:customStyle="1" w:styleId="149">
    <w:name w:val="font81"/>
    <w:autoRedefine/>
    <w:qFormat/>
    <w:uiPriority w:val="0"/>
    <w:rPr>
      <w:rFonts w:hint="default" w:ascii="Times New Roman" w:hAnsi="Times New Roman" w:cs="Times New Roman"/>
      <w:color w:val="000000"/>
      <w:sz w:val="21"/>
      <w:szCs w:val="21"/>
      <w:u w:val="none"/>
      <w:vertAlign w:val="superscript"/>
    </w:rPr>
  </w:style>
  <w:style w:type="character" w:customStyle="1" w:styleId="150">
    <w:name w:val="NormalCharacter"/>
    <w:autoRedefine/>
    <w:qFormat/>
    <w:uiPriority w:val="0"/>
  </w:style>
  <w:style w:type="paragraph" w:customStyle="1" w:styleId="151">
    <w:name w:val="表格内容"/>
    <w:basedOn w:val="1"/>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52">
    <w:name w:val="Table Text"/>
    <w:basedOn w:val="1"/>
    <w:autoRedefine/>
    <w:semiHidden/>
    <w:qFormat/>
    <w:uiPriority w:val="0"/>
    <w:rPr>
      <w:rFonts w:ascii="宋体" w:hAnsi="宋体" w:eastAsia="宋体" w:cs="宋体"/>
      <w:sz w:val="24"/>
      <w:szCs w:val="24"/>
      <w:lang w:val="en-US" w:eastAsia="en-US" w:bidi="ar-SA"/>
    </w:rPr>
  </w:style>
  <w:style w:type="character" w:customStyle="1" w:styleId="153">
    <w:name w:val="font91"/>
    <w:basedOn w:val="43"/>
    <w:autoRedefine/>
    <w:qFormat/>
    <w:uiPriority w:val="0"/>
    <w:rPr>
      <w:rFonts w:hint="default" w:ascii="Times New Roman" w:hAnsi="Times New Roman" w:cs="Times New Roman"/>
      <w:b/>
      <w:bCs/>
      <w:color w:val="000000"/>
      <w:sz w:val="21"/>
      <w:szCs w:val="21"/>
      <w:u w:val="none"/>
      <w:vertAlign w:val="superscript"/>
    </w:rPr>
  </w:style>
  <w:style w:type="paragraph" w:customStyle="1" w:styleId="154">
    <w:name w:val="白石岩-表格"/>
    <w:basedOn w:val="1"/>
    <w:qFormat/>
    <w:uiPriority w:val="0"/>
    <w:pPr>
      <w:adjustRightInd/>
      <w:snapToGrid/>
      <w:spacing w:line="240" w:lineRule="auto"/>
      <w:jc w:val="center"/>
    </w:pPr>
    <w:rPr>
      <w:rFonts w:eastAsia="仿宋_GB2312"/>
      <w:sz w:val="18"/>
      <w:szCs w:val="22"/>
    </w:rPr>
  </w:style>
  <w:style w:type="paragraph" w:customStyle="1" w:styleId="155">
    <w:name w:val="A 表文"/>
    <w:basedOn w:val="156"/>
    <w:qFormat/>
    <w:uiPriority w:val="0"/>
  </w:style>
  <w:style w:type="paragraph" w:customStyle="1" w:styleId="156">
    <w:name w:val="0 表文"/>
    <w:basedOn w:val="157"/>
    <w:autoRedefine/>
    <w:qFormat/>
    <w:uiPriority w:val="0"/>
    <w:pPr>
      <w:spacing w:line="240" w:lineRule="auto"/>
      <w:ind w:firstLine="0" w:firstLineChars="0"/>
      <w:jc w:val="center"/>
    </w:pPr>
    <w:rPr>
      <w:spacing w:val="14"/>
      <w:kern w:val="18"/>
      <w:sz w:val="21"/>
    </w:rPr>
  </w:style>
  <w:style w:type="paragraph" w:customStyle="1" w:styleId="157">
    <w:name w:val="0 正文"/>
    <w:basedOn w:val="100"/>
    <w:autoRedefine/>
    <w:qFormat/>
    <w:uiPriority w:val="0"/>
    <w:pPr>
      <w:ind w:firstLine="480"/>
    </w:pPr>
  </w:style>
  <w:style w:type="paragraph" w:customStyle="1" w:styleId="158">
    <w:name w:val="A 正文"/>
    <w:basedOn w:val="157"/>
    <w:qFormat/>
    <w:uiPriority w:val="0"/>
  </w:style>
  <w:style w:type="paragraph" w:customStyle="1" w:styleId="159">
    <w:name w:val="getiao 正文文本"/>
    <w:basedOn w:val="36"/>
    <w:qFormat/>
    <w:uiPriority w:val="0"/>
    <w:pPr>
      <w:snapToGrid w:val="0"/>
      <w:spacing w:before="100" w:beforeAutospacing="1" w:after="0" w:line="360" w:lineRule="auto"/>
      <w:ind w:firstLine="480" w:firstLineChars="200"/>
    </w:pPr>
    <w:rPr>
      <w:sz w:val="24"/>
      <w:szCs w:val="24"/>
    </w:rPr>
  </w:style>
  <w:style w:type="paragraph" w:customStyle="1" w:styleId="160">
    <w:name w:val="H正文"/>
    <w:basedOn w:val="1"/>
    <w:qFormat/>
    <w:uiPriority w:val="0"/>
    <w:pPr>
      <w:widowControl/>
      <w:adjustRightInd w:val="0"/>
      <w:spacing w:line="400" w:lineRule="exact"/>
      <w:ind w:firstLine="200" w:firstLineChars="200"/>
      <w:textAlignment w:val="baseline"/>
    </w:pPr>
    <w:rPr>
      <w:snapToGrid w:val="0"/>
      <w:spacing w:val="6"/>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0E65E8-8326-4705-98D1-C0A02855ECB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125</Pages>
  <Words>10825</Words>
  <Characters>11595</Characters>
  <Lines>1</Lines>
  <Paragraphs>1</Paragraphs>
  <TotalTime>3</TotalTime>
  <ScaleCrop>false</ScaleCrop>
  <LinksUpToDate>false</LinksUpToDate>
  <CharactersWithSpaces>11688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2022-01-21T02:41:00Z</dcterms:created>
  <dc:creator>lhj</dc:creator>
  <cp:lastModifiedBy>听潮</cp:lastModifiedBy>
  <cp:lastPrinted>2021-07-20T09:43:00Z</cp:lastPrinted>
  <dcterms:modified xsi:type="dcterms:W3CDTF">2024-11-19T00:58:09Z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C868748DD00541F7A613948FAFE4D2A1_13</vt:lpwstr>
  </property>
  <property fmtid="{D5CDD505-2E9C-101B-9397-08002B2CF9AE}" pid="4" name="commondata">
    <vt:lpwstr>eyJoZGlkIjoiYWNlOGEyMWY5YzcxZDE4Yzc2OWJjNmUzMGY4OGRhNzIifQ==</vt:lpwstr>
  </property>
</Properties>
</file>