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E91AD8">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rPr>
          <w:rFonts w:hint="eastAsia" w:ascii="宋体" w:hAnsi="宋体" w:cs="Times New Roman"/>
          <w:color w:val="auto"/>
          <w:kern w:val="2"/>
          <w:sz w:val="36"/>
          <w:szCs w:val="36"/>
          <w:lang w:val="en-US" w:eastAsia="zh-CN" w:bidi="ar-SA"/>
        </w:rPr>
      </w:pPr>
      <w:r>
        <w:rPr>
          <w:rFonts w:hint="eastAsia" w:ascii="宋体" w:hAnsi="宋体" w:cs="Times New Roman"/>
          <w:color w:val="auto"/>
          <w:kern w:val="2"/>
          <w:sz w:val="36"/>
          <w:szCs w:val="36"/>
          <w:lang w:val="en-US" w:eastAsia="zh-CN" w:bidi="ar-SA"/>
        </w:rPr>
        <w:t>2</w:t>
      </w:r>
    </w:p>
    <w:sdt>
      <w:sdtPr>
        <w:rPr>
          <w:rFonts w:ascii="宋体" w:hAnsi="宋体" w:eastAsia="宋体" w:cs="Times New Roman"/>
          <w:color w:val="auto"/>
          <w:kern w:val="2"/>
          <w:sz w:val="36"/>
          <w:szCs w:val="36"/>
          <w:lang w:val="en-US" w:eastAsia="zh-CN" w:bidi="ar-SA"/>
        </w:rPr>
        <w:id w:val="147457654"/>
        <w15:color w:val="DBDBDB"/>
        <w:docPartObj>
          <w:docPartGallery w:val="Table of Contents"/>
          <w:docPartUnique/>
        </w:docPartObj>
      </w:sdtPr>
      <w:sdtEndPr>
        <w:rPr>
          <w:rFonts w:ascii="Times New Roman" w:hAnsi="Times New Roman" w:eastAsia="宋体" w:cs="Times New Roman"/>
          <w:color w:val="auto"/>
          <w:kern w:val="0"/>
          <w:sz w:val="24"/>
          <w:szCs w:val="20"/>
          <w:lang w:val="en-US" w:eastAsia="zh-CN" w:bidi="ar-SA"/>
        </w:rPr>
      </w:sdtEndPr>
      <w:sdtContent>
        <w:p w14:paraId="7F3ED031">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rPr>
              <w:color w:val="auto"/>
              <w:sz w:val="36"/>
              <w:szCs w:val="36"/>
            </w:rPr>
          </w:pPr>
          <w:r>
            <w:rPr>
              <w:rFonts w:ascii="宋体" w:hAnsi="宋体" w:eastAsia="宋体"/>
              <w:b/>
              <w:bCs/>
              <w:color w:val="auto"/>
              <w:sz w:val="36"/>
              <w:szCs w:val="36"/>
            </w:rPr>
            <w:t>目录</w:t>
          </w:r>
        </w:p>
        <w:p w14:paraId="4CB8A02C">
          <w:pPr>
            <w:pStyle w:val="24"/>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textAlignment w:val="auto"/>
            <w:rPr>
              <w:color w:val="auto"/>
              <w:sz w:val="24"/>
              <w:szCs w:val="24"/>
            </w:rPr>
          </w:pPr>
          <w:r>
            <w:rPr>
              <w:color w:val="auto"/>
              <w:sz w:val="30"/>
              <w:szCs w:val="30"/>
            </w:rPr>
            <w:fldChar w:fldCharType="begin"/>
          </w:r>
          <w:r>
            <w:rPr>
              <w:color w:val="auto"/>
              <w:sz w:val="30"/>
              <w:szCs w:val="30"/>
            </w:rPr>
            <w:instrText xml:space="preserve">TOC \o "1-1" \h \u </w:instrText>
          </w:r>
          <w:r>
            <w:rPr>
              <w:color w:val="auto"/>
              <w:sz w:val="30"/>
              <w:szCs w:val="30"/>
            </w:rPr>
            <w:fldChar w:fldCharType="separate"/>
          </w:r>
          <w:r>
            <w:rPr>
              <w:color w:val="auto"/>
              <w:sz w:val="24"/>
              <w:szCs w:val="24"/>
            </w:rPr>
            <w:fldChar w:fldCharType="begin"/>
          </w:r>
          <w:r>
            <w:rPr>
              <w:color w:val="auto"/>
              <w:sz w:val="24"/>
              <w:szCs w:val="24"/>
            </w:rPr>
            <w:instrText xml:space="preserve"> HYPERLINK \l _Toc29481 </w:instrText>
          </w:r>
          <w:r>
            <w:rPr>
              <w:color w:val="auto"/>
              <w:sz w:val="24"/>
              <w:szCs w:val="24"/>
            </w:rPr>
            <w:fldChar w:fldCharType="separate"/>
          </w:r>
          <w:r>
            <w:rPr>
              <w:rFonts w:hint="eastAsia" w:ascii="黑体" w:hAnsi="黑体" w:eastAsia="黑体"/>
              <w:snapToGrid w:val="0"/>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_Toc29481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75E32904">
          <w:pPr>
            <w:pStyle w:val="24"/>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_Toc26383 </w:instrText>
          </w:r>
          <w:r>
            <w:rPr>
              <w:color w:val="auto"/>
              <w:sz w:val="24"/>
              <w:szCs w:val="24"/>
            </w:rPr>
            <w:fldChar w:fldCharType="separate"/>
          </w:r>
          <w:r>
            <w:rPr>
              <w:rFonts w:hint="eastAsia" w:ascii="黑体" w:hAnsi="黑体" w:eastAsia="黑体"/>
              <w:snapToGrid w:val="0"/>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_Toc26383 \h </w:instrText>
          </w:r>
          <w:r>
            <w:rPr>
              <w:color w:val="auto"/>
              <w:sz w:val="24"/>
              <w:szCs w:val="24"/>
            </w:rPr>
            <w:fldChar w:fldCharType="separate"/>
          </w:r>
          <w:r>
            <w:rPr>
              <w:color w:val="auto"/>
              <w:sz w:val="24"/>
              <w:szCs w:val="24"/>
            </w:rPr>
            <w:t>34</w:t>
          </w:r>
          <w:r>
            <w:rPr>
              <w:color w:val="auto"/>
              <w:sz w:val="24"/>
              <w:szCs w:val="24"/>
            </w:rPr>
            <w:fldChar w:fldCharType="end"/>
          </w:r>
          <w:r>
            <w:rPr>
              <w:color w:val="auto"/>
              <w:sz w:val="24"/>
              <w:szCs w:val="24"/>
            </w:rPr>
            <w:fldChar w:fldCharType="end"/>
          </w:r>
        </w:p>
        <w:p w14:paraId="2CA3994D">
          <w:pPr>
            <w:pStyle w:val="24"/>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_Toc23129 </w:instrText>
          </w:r>
          <w:r>
            <w:rPr>
              <w:color w:val="auto"/>
              <w:sz w:val="24"/>
              <w:szCs w:val="24"/>
            </w:rPr>
            <w:fldChar w:fldCharType="separate"/>
          </w:r>
          <w:r>
            <w:rPr>
              <w:rFonts w:hint="eastAsia" w:ascii="黑体" w:hAnsi="黑体" w:eastAsia="黑体"/>
              <w:snapToGrid w:val="0"/>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_Toc23129 \h </w:instrText>
          </w:r>
          <w:r>
            <w:rPr>
              <w:color w:val="auto"/>
              <w:sz w:val="24"/>
              <w:szCs w:val="24"/>
            </w:rPr>
            <w:fldChar w:fldCharType="separate"/>
          </w:r>
          <w:r>
            <w:rPr>
              <w:color w:val="auto"/>
              <w:sz w:val="24"/>
              <w:szCs w:val="24"/>
            </w:rPr>
            <w:t>45</w:t>
          </w:r>
          <w:r>
            <w:rPr>
              <w:color w:val="auto"/>
              <w:sz w:val="24"/>
              <w:szCs w:val="24"/>
            </w:rPr>
            <w:fldChar w:fldCharType="end"/>
          </w:r>
          <w:r>
            <w:rPr>
              <w:color w:val="auto"/>
              <w:sz w:val="24"/>
              <w:szCs w:val="24"/>
            </w:rPr>
            <w:fldChar w:fldCharType="end"/>
          </w:r>
        </w:p>
        <w:p w14:paraId="5EE7D327">
          <w:pPr>
            <w:pStyle w:val="24"/>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_Toc13622 </w:instrText>
          </w:r>
          <w:r>
            <w:rPr>
              <w:color w:val="auto"/>
              <w:sz w:val="24"/>
              <w:szCs w:val="24"/>
            </w:rPr>
            <w:fldChar w:fldCharType="separate"/>
          </w:r>
          <w:r>
            <w:rPr>
              <w:rFonts w:hint="eastAsia" w:ascii="黑体" w:hAnsi="黑体" w:eastAsia="黑体"/>
              <w:snapToGrid w:val="0"/>
              <w:color w:val="auto"/>
              <w:sz w:val="24"/>
              <w:szCs w:val="24"/>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_Toc13622 \h </w:instrText>
          </w:r>
          <w:r>
            <w:rPr>
              <w:color w:val="auto"/>
              <w:sz w:val="24"/>
              <w:szCs w:val="24"/>
            </w:rPr>
            <w:fldChar w:fldCharType="separate"/>
          </w:r>
          <w:r>
            <w:rPr>
              <w:color w:val="auto"/>
              <w:sz w:val="24"/>
              <w:szCs w:val="24"/>
            </w:rPr>
            <w:t>54</w:t>
          </w:r>
          <w:r>
            <w:rPr>
              <w:color w:val="auto"/>
              <w:sz w:val="24"/>
              <w:szCs w:val="24"/>
            </w:rPr>
            <w:fldChar w:fldCharType="end"/>
          </w:r>
          <w:r>
            <w:rPr>
              <w:color w:val="auto"/>
              <w:sz w:val="24"/>
              <w:szCs w:val="24"/>
            </w:rPr>
            <w:fldChar w:fldCharType="end"/>
          </w:r>
        </w:p>
        <w:p w14:paraId="224F8A37">
          <w:pPr>
            <w:pStyle w:val="24"/>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_Toc24928 </w:instrText>
          </w:r>
          <w:r>
            <w:rPr>
              <w:color w:val="auto"/>
              <w:sz w:val="24"/>
              <w:szCs w:val="24"/>
            </w:rPr>
            <w:fldChar w:fldCharType="separate"/>
          </w:r>
          <w:r>
            <w:rPr>
              <w:rFonts w:hint="eastAsia" w:ascii="黑体" w:hAnsi="黑体" w:eastAsia="黑体"/>
              <w:snapToGrid w:val="0"/>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_Toc24928 \h </w:instrText>
          </w:r>
          <w:r>
            <w:rPr>
              <w:color w:val="auto"/>
              <w:sz w:val="24"/>
              <w:szCs w:val="24"/>
            </w:rPr>
            <w:fldChar w:fldCharType="separate"/>
          </w:r>
          <w:r>
            <w:rPr>
              <w:color w:val="auto"/>
              <w:sz w:val="24"/>
              <w:szCs w:val="24"/>
            </w:rPr>
            <w:t>82</w:t>
          </w:r>
          <w:r>
            <w:rPr>
              <w:color w:val="auto"/>
              <w:sz w:val="24"/>
              <w:szCs w:val="24"/>
            </w:rPr>
            <w:fldChar w:fldCharType="end"/>
          </w:r>
          <w:r>
            <w:rPr>
              <w:color w:val="auto"/>
              <w:sz w:val="24"/>
              <w:szCs w:val="24"/>
            </w:rPr>
            <w:fldChar w:fldCharType="end"/>
          </w:r>
        </w:p>
        <w:p w14:paraId="538EC130">
          <w:pPr>
            <w:pStyle w:val="24"/>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textAlignment w:val="auto"/>
            <w:rPr>
              <w:color w:val="auto"/>
              <w:sz w:val="24"/>
              <w:szCs w:val="24"/>
            </w:rPr>
          </w:pPr>
          <w:r>
            <w:rPr>
              <w:color w:val="auto"/>
              <w:sz w:val="24"/>
              <w:szCs w:val="24"/>
            </w:rPr>
            <w:fldChar w:fldCharType="begin"/>
          </w:r>
          <w:r>
            <w:rPr>
              <w:color w:val="auto"/>
              <w:sz w:val="24"/>
              <w:szCs w:val="24"/>
            </w:rPr>
            <w:instrText xml:space="preserve"> HYPERLINK \l _Toc21964 </w:instrText>
          </w:r>
          <w:r>
            <w:rPr>
              <w:color w:val="auto"/>
              <w:sz w:val="24"/>
              <w:szCs w:val="24"/>
            </w:rPr>
            <w:fldChar w:fldCharType="separate"/>
          </w:r>
          <w:r>
            <w:rPr>
              <w:rFonts w:hint="eastAsia" w:ascii="黑体" w:hAnsi="黑体" w:eastAsia="黑体"/>
              <w:snapToGrid w:val="0"/>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_Toc21964 \h </w:instrText>
          </w:r>
          <w:r>
            <w:rPr>
              <w:color w:val="auto"/>
              <w:sz w:val="24"/>
              <w:szCs w:val="24"/>
            </w:rPr>
            <w:fldChar w:fldCharType="separate"/>
          </w:r>
          <w:r>
            <w:rPr>
              <w:color w:val="auto"/>
              <w:sz w:val="24"/>
              <w:szCs w:val="24"/>
            </w:rPr>
            <w:t>84</w:t>
          </w:r>
          <w:r>
            <w:rPr>
              <w:color w:val="auto"/>
              <w:sz w:val="24"/>
              <w:szCs w:val="24"/>
            </w:rPr>
            <w:fldChar w:fldCharType="end"/>
          </w:r>
          <w:r>
            <w:rPr>
              <w:color w:val="auto"/>
              <w:sz w:val="24"/>
              <w:szCs w:val="24"/>
            </w:rPr>
            <w:fldChar w:fldCharType="end"/>
          </w:r>
        </w:p>
        <w:p w14:paraId="3F14F612">
          <w:pPr>
            <w:pStyle w:val="24"/>
            <w:keepNext w:val="0"/>
            <w:keepLines w:val="0"/>
            <w:pageBreakBefore w:val="0"/>
            <w:widowControl w:val="0"/>
            <w:tabs>
              <w:tab w:val="right" w:leader="dot" w:pos="8844"/>
            </w:tabs>
            <w:kinsoku/>
            <w:wordWrap/>
            <w:overflowPunct/>
            <w:topLinePunct w:val="0"/>
            <w:autoSpaceDE/>
            <w:autoSpaceDN/>
            <w:bidi w:val="0"/>
            <w:adjustRightInd w:val="0"/>
            <w:snapToGrid w:val="0"/>
            <w:spacing w:line="360" w:lineRule="auto"/>
            <w:textAlignment w:val="auto"/>
            <w:rPr>
              <w:color w:val="auto"/>
            </w:rPr>
          </w:pPr>
          <w:r>
            <w:rPr>
              <w:color w:val="auto"/>
              <w:sz w:val="24"/>
              <w:szCs w:val="24"/>
            </w:rPr>
            <w:fldChar w:fldCharType="begin"/>
          </w:r>
          <w:r>
            <w:rPr>
              <w:color w:val="auto"/>
              <w:sz w:val="24"/>
              <w:szCs w:val="24"/>
            </w:rPr>
            <w:instrText xml:space="preserve"> HYPERLINK \l _Toc16444 </w:instrText>
          </w:r>
          <w:r>
            <w:rPr>
              <w:color w:val="auto"/>
              <w:sz w:val="24"/>
              <w:szCs w:val="24"/>
            </w:rPr>
            <w:fldChar w:fldCharType="separate"/>
          </w:r>
          <w:r>
            <w:rPr>
              <w:rFonts w:hint="default" w:ascii="黑体" w:hAnsi="黑体" w:eastAsia="黑体"/>
              <w:snapToGrid w:val="0"/>
              <w:color w:val="auto"/>
              <w:sz w:val="24"/>
              <w:szCs w:val="24"/>
              <w:highlight w:val="none"/>
            </w:rPr>
            <w:t>附表</w:t>
          </w:r>
          <w:r>
            <w:rPr>
              <w:rFonts w:hint="default" w:ascii="黑体" w:hAnsi="黑体" w:eastAsia="黑体"/>
              <w:snapToGrid w:val="0"/>
              <w:color w:val="auto"/>
              <w:sz w:val="24"/>
              <w:szCs w:val="24"/>
              <w:highlight w:val="none"/>
              <w:lang w:eastAsia="zh-CN"/>
            </w:rPr>
            <w:t>：</w:t>
          </w:r>
          <w:r>
            <w:rPr>
              <w:rFonts w:hint="default" w:ascii="黑体" w:hAnsi="黑体" w:eastAsia="黑体"/>
              <w:snapToGrid w:val="0"/>
              <w:color w:val="auto"/>
              <w:sz w:val="24"/>
              <w:szCs w:val="24"/>
              <w:highlight w:val="none"/>
            </w:rPr>
            <w:t>建设项目污染物排放量汇总表</w:t>
          </w:r>
          <w:r>
            <w:rPr>
              <w:color w:val="auto"/>
              <w:sz w:val="24"/>
              <w:szCs w:val="24"/>
            </w:rPr>
            <w:tab/>
          </w:r>
          <w:r>
            <w:rPr>
              <w:color w:val="auto"/>
              <w:sz w:val="24"/>
              <w:szCs w:val="24"/>
            </w:rPr>
            <w:fldChar w:fldCharType="begin"/>
          </w:r>
          <w:r>
            <w:rPr>
              <w:color w:val="auto"/>
              <w:sz w:val="24"/>
              <w:szCs w:val="24"/>
            </w:rPr>
            <w:instrText xml:space="preserve"> PAGEREF _Toc16444 \h </w:instrText>
          </w:r>
          <w:r>
            <w:rPr>
              <w:color w:val="auto"/>
              <w:sz w:val="24"/>
              <w:szCs w:val="24"/>
            </w:rPr>
            <w:fldChar w:fldCharType="separate"/>
          </w:r>
          <w:r>
            <w:rPr>
              <w:color w:val="auto"/>
              <w:sz w:val="24"/>
              <w:szCs w:val="24"/>
            </w:rPr>
            <w:t>85</w:t>
          </w:r>
          <w:r>
            <w:rPr>
              <w:color w:val="auto"/>
              <w:sz w:val="24"/>
              <w:szCs w:val="24"/>
            </w:rPr>
            <w:fldChar w:fldCharType="end"/>
          </w:r>
          <w:r>
            <w:rPr>
              <w:color w:val="auto"/>
              <w:sz w:val="24"/>
              <w:szCs w:val="24"/>
            </w:rPr>
            <w:fldChar w:fldCharType="end"/>
          </w:r>
        </w:p>
        <w:p w14:paraId="0D70887A">
          <w:pPr>
            <w:pStyle w:val="13"/>
            <w:keepNext w:val="0"/>
            <w:keepLines w:val="0"/>
            <w:pageBreakBefore w:val="0"/>
            <w:kinsoku/>
            <w:wordWrap/>
            <w:overflowPunct/>
            <w:topLinePunct w:val="0"/>
            <w:autoSpaceDE/>
            <w:autoSpaceDN/>
            <w:bidi w:val="0"/>
            <w:adjustRightInd w:val="0"/>
            <w:snapToGrid w:val="0"/>
            <w:spacing w:line="360" w:lineRule="auto"/>
            <w:textAlignment w:val="auto"/>
            <w:rPr>
              <w:color w:val="auto"/>
            </w:rPr>
          </w:pPr>
          <w:r>
            <w:rPr>
              <w:color w:val="auto"/>
              <w:szCs w:val="30"/>
            </w:rPr>
            <w:fldChar w:fldCharType="end"/>
          </w:r>
        </w:p>
      </w:sdtContent>
    </w:sdt>
    <w:p w14:paraId="1EB7952B">
      <w:pPr>
        <w:pStyle w:val="13"/>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kern w:val="0"/>
          <w:sz w:val="24"/>
          <w:szCs w:val="20"/>
          <w:lang w:val="en-US" w:eastAsia="zh-CN" w:bidi="ar-SA"/>
        </w:rPr>
      </w:pPr>
      <w:r>
        <w:rPr>
          <w:rFonts w:hint="eastAsia" w:ascii="Times New Roman" w:hAnsi="Times New Roman" w:cs="Times New Roman"/>
          <w:b/>
          <w:bCs/>
          <w:color w:val="auto"/>
          <w:kern w:val="0"/>
          <w:sz w:val="24"/>
          <w:szCs w:val="20"/>
          <w:lang w:val="en-US" w:eastAsia="zh-CN" w:bidi="ar-SA"/>
        </w:rPr>
        <w:t>附件：</w:t>
      </w:r>
    </w:p>
    <w:p w14:paraId="3B45DFC7">
      <w:pPr>
        <w:pStyle w:val="14"/>
        <w:keepNext w:val="0"/>
        <w:keepLines w:val="0"/>
        <w:pageBreakBefore w:val="0"/>
        <w:widowControl w:val="0"/>
        <w:numPr>
          <w:ilvl w:val="0"/>
          <w:numId w:val="2"/>
        </w:numPr>
        <w:kinsoku/>
        <w:wordWrap/>
        <w:overflowPunct/>
        <w:topLinePunct w:val="0"/>
        <w:bidi w:val="0"/>
        <w:adjustRightInd w:val="0"/>
        <w:spacing w:line="360" w:lineRule="auto"/>
        <w:ind w:firstLine="472" w:firstLineChars="200"/>
        <w:rPr>
          <w:rFonts w:hint="eastAsia" w:ascii="Times New Roman" w:hAnsi="宋体" w:eastAsia="宋体" w:cs="Times New Roman"/>
          <w:color w:val="auto"/>
          <w:spacing w:val="-2"/>
          <w:kern w:val="0"/>
          <w:sz w:val="24"/>
          <w:szCs w:val="20"/>
          <w:lang w:val="en-US" w:eastAsia="zh-CN" w:bidi="ar-SA"/>
        </w:rPr>
      </w:pPr>
      <w:r>
        <w:rPr>
          <w:rFonts w:hint="eastAsia" w:ascii="Times New Roman" w:hAnsi="宋体" w:eastAsia="宋体" w:cs="Times New Roman"/>
          <w:color w:val="auto"/>
          <w:spacing w:val="-2"/>
          <w:kern w:val="0"/>
          <w:sz w:val="24"/>
          <w:szCs w:val="20"/>
          <w:lang w:val="en-US" w:eastAsia="zh-CN" w:bidi="ar-SA"/>
        </w:rPr>
        <w:t>委托书</w:t>
      </w:r>
    </w:p>
    <w:p w14:paraId="28FE31EB">
      <w:pPr>
        <w:pStyle w:val="14"/>
        <w:keepNext w:val="0"/>
        <w:keepLines w:val="0"/>
        <w:pageBreakBefore w:val="0"/>
        <w:widowControl w:val="0"/>
        <w:numPr>
          <w:ilvl w:val="0"/>
          <w:numId w:val="2"/>
        </w:numPr>
        <w:kinsoku/>
        <w:wordWrap/>
        <w:overflowPunct/>
        <w:topLinePunct w:val="0"/>
        <w:autoSpaceDE w:val="0"/>
        <w:autoSpaceDN w:val="0"/>
        <w:bidi w:val="0"/>
        <w:adjustRightInd w:val="0"/>
        <w:spacing w:line="360" w:lineRule="auto"/>
        <w:ind w:left="0" w:leftChars="0" w:firstLine="472" w:firstLineChars="200"/>
        <w:jc w:val="both"/>
        <w:textAlignment w:val="baseline"/>
        <w:rPr>
          <w:rFonts w:hint="eastAsia" w:ascii="Times New Roman" w:hAnsi="宋体" w:eastAsia="宋体" w:cs="Times New Roman"/>
          <w:color w:val="auto"/>
          <w:spacing w:val="-2"/>
          <w:kern w:val="0"/>
          <w:sz w:val="24"/>
          <w:szCs w:val="20"/>
          <w:lang w:val="en-US" w:eastAsia="zh-CN" w:bidi="ar-SA"/>
        </w:rPr>
      </w:pPr>
      <w:r>
        <w:rPr>
          <w:rFonts w:hint="eastAsia" w:ascii="Times New Roman" w:hAnsi="宋体" w:eastAsia="宋体" w:cs="Times New Roman"/>
          <w:color w:val="auto"/>
          <w:spacing w:val="-2"/>
          <w:kern w:val="0"/>
          <w:sz w:val="24"/>
          <w:szCs w:val="20"/>
          <w:lang w:val="en-US" w:eastAsia="zh-CN" w:bidi="ar-SA"/>
        </w:rPr>
        <w:t>营业执照</w:t>
      </w:r>
    </w:p>
    <w:p w14:paraId="53A797C1">
      <w:pPr>
        <w:pStyle w:val="14"/>
        <w:keepNext w:val="0"/>
        <w:keepLines w:val="0"/>
        <w:pageBreakBefore w:val="0"/>
        <w:widowControl w:val="0"/>
        <w:numPr>
          <w:ilvl w:val="0"/>
          <w:numId w:val="2"/>
        </w:numPr>
        <w:kinsoku/>
        <w:wordWrap/>
        <w:overflowPunct/>
        <w:topLinePunct w:val="0"/>
        <w:autoSpaceDE w:val="0"/>
        <w:autoSpaceDN w:val="0"/>
        <w:bidi w:val="0"/>
        <w:adjustRightInd w:val="0"/>
        <w:spacing w:line="360" w:lineRule="auto"/>
        <w:ind w:left="0" w:leftChars="0" w:firstLine="472" w:firstLineChars="200"/>
        <w:jc w:val="both"/>
        <w:textAlignment w:val="baseline"/>
        <w:rPr>
          <w:rFonts w:hint="eastAsia" w:ascii="Times New Roman" w:hAnsi="宋体" w:eastAsia="宋体" w:cs="Times New Roman"/>
          <w:color w:val="auto"/>
          <w:spacing w:val="-2"/>
          <w:kern w:val="0"/>
          <w:sz w:val="24"/>
          <w:szCs w:val="20"/>
          <w:lang w:val="en-US" w:eastAsia="zh-CN" w:bidi="ar-SA"/>
        </w:rPr>
      </w:pPr>
      <w:r>
        <w:rPr>
          <w:rFonts w:hint="eastAsia" w:ascii="Times New Roman" w:hAnsi="宋体" w:eastAsia="宋体" w:cs="Times New Roman"/>
          <w:color w:val="auto"/>
          <w:spacing w:val="-2"/>
          <w:kern w:val="0"/>
          <w:sz w:val="24"/>
          <w:szCs w:val="20"/>
          <w:lang w:val="en-US" w:eastAsia="zh-CN" w:bidi="ar-SA"/>
        </w:rPr>
        <w:t>场地租赁合同</w:t>
      </w:r>
    </w:p>
    <w:p w14:paraId="45D96D76">
      <w:pPr>
        <w:pStyle w:val="14"/>
        <w:keepNext w:val="0"/>
        <w:keepLines w:val="0"/>
        <w:pageBreakBefore w:val="0"/>
        <w:widowControl w:val="0"/>
        <w:numPr>
          <w:ilvl w:val="0"/>
          <w:numId w:val="2"/>
        </w:numPr>
        <w:kinsoku/>
        <w:wordWrap/>
        <w:overflowPunct/>
        <w:topLinePunct w:val="0"/>
        <w:autoSpaceDE w:val="0"/>
        <w:autoSpaceDN w:val="0"/>
        <w:bidi w:val="0"/>
        <w:adjustRightInd w:val="0"/>
        <w:spacing w:line="360" w:lineRule="auto"/>
        <w:ind w:left="0" w:leftChars="0" w:firstLine="472" w:firstLineChars="200"/>
        <w:jc w:val="both"/>
        <w:textAlignment w:val="baseline"/>
        <w:rPr>
          <w:rFonts w:hint="eastAsia" w:ascii="Times New Roman" w:hAnsi="宋体" w:eastAsia="宋体" w:cs="Times New Roman"/>
          <w:color w:val="auto"/>
          <w:spacing w:val="-2"/>
          <w:kern w:val="0"/>
          <w:sz w:val="24"/>
          <w:szCs w:val="20"/>
          <w:lang w:val="en-US" w:eastAsia="zh-CN" w:bidi="ar-SA"/>
        </w:rPr>
      </w:pPr>
      <w:r>
        <w:rPr>
          <w:rFonts w:hint="eastAsia" w:ascii="Times New Roman" w:hAnsi="宋体" w:eastAsia="宋体" w:cs="Times New Roman"/>
          <w:color w:val="auto"/>
          <w:spacing w:val="-2"/>
          <w:kern w:val="0"/>
          <w:sz w:val="24"/>
          <w:szCs w:val="20"/>
          <w:lang w:val="en-US" w:eastAsia="zh-CN" w:bidi="ar-SA"/>
        </w:rPr>
        <w:t>投资备案证</w:t>
      </w:r>
    </w:p>
    <w:p w14:paraId="79908C82">
      <w:pPr>
        <w:pStyle w:val="16"/>
        <w:numPr>
          <w:ilvl w:val="0"/>
          <w:numId w:val="2"/>
        </w:numPr>
        <w:ind w:left="0" w:leftChars="0" w:firstLine="472" w:firstLineChars="200"/>
        <w:rPr>
          <w:rFonts w:hint="eastAsia" w:ascii="Times New Roman" w:hAnsi="宋体" w:eastAsia="宋体" w:cs="Times New Roman"/>
          <w:color w:val="auto"/>
          <w:spacing w:val="-2"/>
          <w:kern w:val="0"/>
          <w:sz w:val="24"/>
          <w:szCs w:val="20"/>
          <w:lang w:val="en-US" w:eastAsia="zh-CN" w:bidi="ar-SA"/>
        </w:rPr>
      </w:pPr>
      <w:r>
        <w:rPr>
          <w:rFonts w:hint="eastAsia" w:ascii="Times New Roman" w:hAnsi="宋体" w:eastAsia="宋体" w:cs="Times New Roman"/>
          <w:color w:val="auto"/>
          <w:spacing w:val="-2"/>
          <w:kern w:val="0"/>
          <w:sz w:val="24"/>
          <w:szCs w:val="20"/>
          <w:lang w:val="en-US" w:eastAsia="zh-CN" w:bidi="ar-SA"/>
        </w:rPr>
        <w:t>入园证明</w:t>
      </w:r>
    </w:p>
    <w:p w14:paraId="09612636">
      <w:pPr>
        <w:pStyle w:val="14"/>
        <w:keepNext w:val="0"/>
        <w:keepLines w:val="0"/>
        <w:pageBreakBefore w:val="0"/>
        <w:widowControl w:val="0"/>
        <w:numPr>
          <w:ilvl w:val="0"/>
          <w:numId w:val="2"/>
        </w:numPr>
        <w:kinsoku/>
        <w:wordWrap/>
        <w:overflowPunct/>
        <w:topLinePunct w:val="0"/>
        <w:autoSpaceDE w:val="0"/>
        <w:autoSpaceDN w:val="0"/>
        <w:bidi w:val="0"/>
        <w:adjustRightInd w:val="0"/>
        <w:spacing w:line="360" w:lineRule="auto"/>
        <w:ind w:left="0" w:leftChars="0" w:firstLine="472" w:firstLineChars="200"/>
        <w:jc w:val="both"/>
        <w:textAlignment w:val="baseline"/>
        <w:rPr>
          <w:rFonts w:hint="default" w:ascii="Times New Roman" w:hAnsi="宋体" w:eastAsia="宋体" w:cs="Times New Roman"/>
          <w:color w:val="auto"/>
          <w:spacing w:val="-2"/>
          <w:kern w:val="0"/>
          <w:sz w:val="24"/>
          <w:szCs w:val="20"/>
          <w:lang w:val="en-US" w:eastAsia="zh-CN" w:bidi="ar-SA"/>
        </w:rPr>
      </w:pPr>
      <w:r>
        <w:rPr>
          <w:rFonts w:hint="eastAsia" w:ascii="Times New Roman" w:hAnsi="宋体" w:eastAsia="宋体" w:cs="Times New Roman"/>
          <w:color w:val="auto"/>
          <w:spacing w:val="-2"/>
          <w:kern w:val="0"/>
          <w:sz w:val="24"/>
          <w:szCs w:val="20"/>
          <w:lang w:val="en-US" w:eastAsia="zh-CN" w:bidi="ar-SA"/>
        </w:rPr>
        <w:t>《昆明市生态环境局寻甸分局关于&lt;寻甸荣禾家居制品、建材、纺织品生产线及配套设施新建项目环境影响报告表&gt;的批复》</w:t>
      </w:r>
    </w:p>
    <w:p w14:paraId="2CA3A2A9">
      <w:pPr>
        <w:pStyle w:val="14"/>
        <w:keepNext w:val="0"/>
        <w:keepLines w:val="0"/>
        <w:pageBreakBefore w:val="0"/>
        <w:widowControl w:val="0"/>
        <w:numPr>
          <w:ilvl w:val="0"/>
          <w:numId w:val="2"/>
        </w:numPr>
        <w:kinsoku/>
        <w:wordWrap/>
        <w:overflowPunct/>
        <w:topLinePunct w:val="0"/>
        <w:autoSpaceDE w:val="0"/>
        <w:autoSpaceDN w:val="0"/>
        <w:bidi w:val="0"/>
        <w:adjustRightInd w:val="0"/>
        <w:spacing w:line="360" w:lineRule="auto"/>
        <w:ind w:left="0" w:leftChars="0" w:firstLine="472" w:firstLineChars="200"/>
        <w:jc w:val="both"/>
        <w:textAlignment w:val="baseline"/>
        <w:rPr>
          <w:rFonts w:hint="eastAsia" w:ascii="Times New Roman" w:hAnsi="宋体" w:eastAsia="宋体" w:cs="Times New Roman"/>
          <w:color w:val="auto"/>
          <w:spacing w:val="-2"/>
          <w:kern w:val="0"/>
          <w:sz w:val="24"/>
          <w:szCs w:val="20"/>
          <w:lang w:val="en-US" w:eastAsia="zh-CN" w:bidi="ar-SA"/>
        </w:rPr>
      </w:pPr>
      <w:r>
        <w:rPr>
          <w:rFonts w:hint="eastAsia" w:ascii="Times New Roman" w:hAnsi="宋体" w:eastAsia="宋体" w:cs="Times New Roman"/>
          <w:color w:val="auto"/>
          <w:spacing w:val="-2"/>
          <w:kern w:val="0"/>
          <w:sz w:val="24"/>
          <w:szCs w:val="20"/>
          <w:lang w:val="en-US" w:eastAsia="zh-CN" w:bidi="ar-SA"/>
        </w:rPr>
        <w:t>昆明市生态环境局关于《云南寻甸产业园区</w:t>
      </w:r>
      <w:r>
        <w:rPr>
          <w:rFonts w:hint="default" w:ascii="Times New Roman" w:hAnsi="宋体" w:eastAsia="宋体" w:cs="Times New Roman"/>
          <w:color w:val="auto"/>
          <w:spacing w:val="-2"/>
          <w:kern w:val="0"/>
          <w:sz w:val="24"/>
          <w:szCs w:val="20"/>
          <w:lang w:val="en-US" w:eastAsia="zh-CN" w:bidi="ar-SA"/>
        </w:rPr>
        <w:t>总体规划修编（2021-2035）环境影响报告书》审查意见的函</w:t>
      </w:r>
    </w:p>
    <w:p w14:paraId="71EFD82D">
      <w:pPr>
        <w:pStyle w:val="16"/>
        <w:ind w:left="0" w:leftChars="0" w:firstLine="472" w:firstLineChars="200"/>
        <w:rPr>
          <w:rFonts w:hint="default"/>
          <w:color w:val="auto"/>
          <w:lang w:val="en-US" w:eastAsia="zh-CN"/>
        </w:rPr>
      </w:pPr>
      <w:r>
        <w:rPr>
          <w:rFonts w:hint="eastAsia" w:hAnsi="宋体" w:cs="Times New Roman"/>
          <w:color w:val="auto"/>
          <w:spacing w:val="-2"/>
          <w:kern w:val="0"/>
          <w:sz w:val="24"/>
          <w:szCs w:val="20"/>
          <w:lang w:val="en-US" w:eastAsia="zh-CN" w:bidi="ar-SA"/>
        </w:rPr>
        <w:t>8、技术服务合同</w:t>
      </w:r>
    </w:p>
    <w:p w14:paraId="4BCD4C50">
      <w:pPr>
        <w:ind w:firstLine="420" w:firstLineChars="200"/>
        <w:rPr>
          <w:rFonts w:hint="eastAsia" w:eastAsia="宋体"/>
          <w:color w:val="auto"/>
          <w:lang w:val="en-US" w:eastAsia="zh-CN"/>
        </w:rPr>
      </w:pPr>
    </w:p>
    <w:p w14:paraId="1006DAEF">
      <w:pPr>
        <w:pStyle w:val="14"/>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leftChars="200"/>
        <w:jc w:val="both"/>
        <w:textAlignment w:val="baseline"/>
        <w:rPr>
          <w:rFonts w:hint="eastAsia" w:cs="Times New Roman"/>
          <w:b/>
          <w:bCs/>
          <w:color w:val="auto"/>
          <w:kern w:val="0"/>
          <w:sz w:val="24"/>
          <w:szCs w:val="20"/>
          <w:lang w:val="en-US" w:eastAsia="zh-CN" w:bidi="ar-SA"/>
        </w:rPr>
      </w:pPr>
      <w:r>
        <w:rPr>
          <w:rFonts w:hint="eastAsia" w:cs="Times New Roman"/>
          <w:b/>
          <w:bCs/>
          <w:color w:val="auto"/>
          <w:kern w:val="0"/>
          <w:sz w:val="24"/>
          <w:szCs w:val="20"/>
          <w:lang w:val="en-US" w:eastAsia="zh-CN" w:bidi="ar-SA"/>
        </w:rPr>
        <w:t>附图：</w:t>
      </w:r>
    </w:p>
    <w:p w14:paraId="142B1DC5">
      <w:pPr>
        <w:pStyle w:val="14"/>
        <w:keepNext w:val="0"/>
        <w:keepLines w:val="0"/>
        <w:pageBreakBefore w:val="0"/>
        <w:widowControl w:val="0"/>
        <w:numPr>
          <w:ilvl w:val="0"/>
          <w:numId w:val="3"/>
        </w:numPr>
        <w:kinsoku/>
        <w:wordWrap/>
        <w:overflowPunct/>
        <w:topLinePunct w:val="0"/>
        <w:autoSpaceDE w:val="0"/>
        <w:autoSpaceDN w:val="0"/>
        <w:bidi w:val="0"/>
        <w:adjustRightInd w:val="0"/>
        <w:spacing w:line="360" w:lineRule="auto"/>
        <w:ind w:leftChars="200"/>
        <w:jc w:val="both"/>
        <w:textAlignment w:val="baseline"/>
        <w:rPr>
          <w:rFonts w:hint="eastAsia" w:cs="Times New Roman"/>
          <w:color w:val="auto"/>
          <w:kern w:val="0"/>
          <w:sz w:val="24"/>
          <w:szCs w:val="20"/>
          <w:lang w:val="en-US" w:eastAsia="zh-CN" w:bidi="ar-SA"/>
        </w:rPr>
      </w:pPr>
      <w:r>
        <w:rPr>
          <w:rFonts w:hint="eastAsia" w:cs="Times New Roman"/>
          <w:color w:val="auto"/>
          <w:kern w:val="0"/>
          <w:sz w:val="24"/>
          <w:szCs w:val="20"/>
          <w:lang w:val="en-US" w:eastAsia="zh-CN" w:bidi="ar-SA"/>
        </w:rPr>
        <w:t>项目地理位置图</w:t>
      </w:r>
    </w:p>
    <w:p w14:paraId="0636B691">
      <w:pPr>
        <w:pStyle w:val="14"/>
        <w:keepNext w:val="0"/>
        <w:keepLines w:val="0"/>
        <w:pageBreakBefore w:val="0"/>
        <w:widowControl w:val="0"/>
        <w:numPr>
          <w:ilvl w:val="0"/>
          <w:numId w:val="3"/>
        </w:numPr>
        <w:kinsoku/>
        <w:wordWrap/>
        <w:overflowPunct/>
        <w:topLinePunct w:val="0"/>
        <w:autoSpaceDE w:val="0"/>
        <w:autoSpaceDN w:val="0"/>
        <w:bidi w:val="0"/>
        <w:adjustRightInd w:val="0"/>
        <w:spacing w:line="360" w:lineRule="auto"/>
        <w:ind w:leftChars="200"/>
        <w:jc w:val="both"/>
        <w:textAlignment w:val="baseline"/>
        <w:rPr>
          <w:rFonts w:hint="default" w:cs="Times New Roman"/>
          <w:color w:val="auto"/>
          <w:kern w:val="0"/>
          <w:sz w:val="24"/>
          <w:szCs w:val="20"/>
          <w:lang w:val="en-US" w:eastAsia="zh-CN" w:bidi="ar-SA"/>
        </w:rPr>
      </w:pPr>
      <w:r>
        <w:rPr>
          <w:rFonts w:hint="eastAsia" w:cs="Times New Roman"/>
          <w:color w:val="auto"/>
          <w:kern w:val="0"/>
          <w:sz w:val="24"/>
          <w:szCs w:val="20"/>
          <w:lang w:val="en-US" w:eastAsia="zh-CN" w:bidi="ar-SA"/>
        </w:rPr>
        <w:t>项目区水系图</w:t>
      </w:r>
    </w:p>
    <w:p w14:paraId="6AC79157">
      <w:pPr>
        <w:pStyle w:val="14"/>
        <w:keepNext w:val="0"/>
        <w:keepLines w:val="0"/>
        <w:pageBreakBefore w:val="0"/>
        <w:widowControl w:val="0"/>
        <w:numPr>
          <w:ilvl w:val="0"/>
          <w:numId w:val="3"/>
        </w:numPr>
        <w:kinsoku/>
        <w:wordWrap/>
        <w:overflowPunct/>
        <w:topLinePunct w:val="0"/>
        <w:autoSpaceDE w:val="0"/>
        <w:autoSpaceDN w:val="0"/>
        <w:bidi w:val="0"/>
        <w:adjustRightInd w:val="0"/>
        <w:spacing w:line="360" w:lineRule="auto"/>
        <w:ind w:leftChars="200"/>
        <w:jc w:val="both"/>
        <w:textAlignment w:val="baseline"/>
        <w:rPr>
          <w:rFonts w:hint="default" w:cs="Times New Roman"/>
          <w:color w:val="auto"/>
          <w:kern w:val="0"/>
          <w:sz w:val="24"/>
          <w:szCs w:val="20"/>
          <w:lang w:val="en-US" w:eastAsia="zh-CN" w:bidi="ar-SA"/>
        </w:rPr>
      </w:pPr>
      <w:r>
        <w:rPr>
          <w:rFonts w:hint="eastAsia" w:cs="Times New Roman"/>
          <w:color w:val="auto"/>
          <w:kern w:val="0"/>
          <w:sz w:val="24"/>
          <w:szCs w:val="20"/>
          <w:lang w:val="en-US" w:eastAsia="zh-CN" w:bidi="ar-SA"/>
        </w:rPr>
        <w:t>平面布置图</w:t>
      </w:r>
    </w:p>
    <w:p w14:paraId="269EF7BF">
      <w:pPr>
        <w:pStyle w:val="14"/>
        <w:keepNext w:val="0"/>
        <w:keepLines w:val="0"/>
        <w:pageBreakBefore w:val="0"/>
        <w:widowControl w:val="0"/>
        <w:numPr>
          <w:ilvl w:val="0"/>
          <w:numId w:val="3"/>
        </w:numPr>
        <w:kinsoku/>
        <w:wordWrap/>
        <w:overflowPunct/>
        <w:topLinePunct w:val="0"/>
        <w:autoSpaceDE w:val="0"/>
        <w:autoSpaceDN w:val="0"/>
        <w:bidi w:val="0"/>
        <w:adjustRightInd w:val="0"/>
        <w:spacing w:line="360" w:lineRule="auto"/>
        <w:ind w:leftChars="200"/>
        <w:jc w:val="both"/>
        <w:textAlignment w:val="baseline"/>
        <w:rPr>
          <w:rFonts w:hint="default" w:cs="Times New Roman"/>
          <w:color w:val="auto"/>
          <w:kern w:val="0"/>
          <w:sz w:val="24"/>
          <w:szCs w:val="20"/>
          <w:lang w:val="en-US" w:eastAsia="zh-CN" w:bidi="ar-SA"/>
        </w:rPr>
      </w:pPr>
      <w:r>
        <w:rPr>
          <w:rFonts w:hint="eastAsia" w:cs="Times New Roman"/>
          <w:color w:val="auto"/>
          <w:kern w:val="0"/>
          <w:sz w:val="24"/>
          <w:szCs w:val="20"/>
          <w:lang w:val="en-US" w:eastAsia="zh-CN" w:bidi="ar-SA"/>
        </w:rPr>
        <w:t>项目周边关系图</w:t>
      </w:r>
    </w:p>
    <w:p w14:paraId="163E132A">
      <w:pPr>
        <w:pStyle w:val="14"/>
        <w:keepNext w:val="0"/>
        <w:keepLines w:val="0"/>
        <w:pageBreakBefore w:val="0"/>
        <w:widowControl w:val="0"/>
        <w:numPr>
          <w:ilvl w:val="0"/>
          <w:numId w:val="3"/>
        </w:numPr>
        <w:kinsoku/>
        <w:wordWrap/>
        <w:overflowPunct/>
        <w:topLinePunct w:val="0"/>
        <w:autoSpaceDE w:val="0"/>
        <w:autoSpaceDN w:val="0"/>
        <w:bidi w:val="0"/>
        <w:adjustRightInd w:val="0"/>
        <w:spacing w:line="360" w:lineRule="auto"/>
        <w:ind w:leftChars="200"/>
        <w:jc w:val="both"/>
        <w:textAlignment w:val="baseline"/>
        <w:rPr>
          <w:rFonts w:hint="default" w:cs="Times New Roman"/>
          <w:color w:val="auto"/>
          <w:kern w:val="0"/>
          <w:sz w:val="24"/>
          <w:szCs w:val="20"/>
          <w:lang w:val="en-US" w:eastAsia="zh-CN" w:bidi="ar-SA"/>
        </w:rPr>
      </w:pPr>
      <w:r>
        <w:rPr>
          <w:rFonts w:hint="eastAsia" w:cs="Times New Roman"/>
          <w:color w:val="auto"/>
          <w:kern w:val="0"/>
          <w:sz w:val="24"/>
          <w:szCs w:val="20"/>
          <w:lang w:val="en-US" w:eastAsia="zh-CN" w:bidi="ar-SA"/>
        </w:rPr>
        <w:t>项目所在园区规划图</w:t>
      </w:r>
    </w:p>
    <w:p w14:paraId="74F053BB">
      <w:pPr>
        <w:pStyle w:val="14"/>
        <w:keepNext w:val="0"/>
        <w:keepLines w:val="0"/>
        <w:pageBreakBefore w:val="0"/>
        <w:widowControl w:val="0"/>
        <w:numPr>
          <w:ilvl w:val="0"/>
          <w:numId w:val="3"/>
        </w:numPr>
        <w:kinsoku/>
        <w:wordWrap/>
        <w:overflowPunct/>
        <w:topLinePunct w:val="0"/>
        <w:autoSpaceDE w:val="0"/>
        <w:autoSpaceDN w:val="0"/>
        <w:bidi w:val="0"/>
        <w:adjustRightInd w:val="0"/>
        <w:spacing w:line="360" w:lineRule="auto"/>
        <w:ind w:leftChars="200"/>
        <w:jc w:val="both"/>
        <w:textAlignment w:val="baseline"/>
        <w:rPr>
          <w:rFonts w:hint="default" w:cs="Times New Roman"/>
          <w:color w:val="auto"/>
          <w:kern w:val="0"/>
          <w:sz w:val="24"/>
          <w:szCs w:val="20"/>
          <w:lang w:val="en-US" w:eastAsia="zh-CN" w:bidi="ar-SA"/>
        </w:rPr>
      </w:pPr>
      <w:r>
        <w:rPr>
          <w:rFonts w:hint="eastAsia" w:cs="Times New Roman"/>
          <w:color w:val="auto"/>
          <w:kern w:val="0"/>
          <w:sz w:val="24"/>
          <w:szCs w:val="20"/>
          <w:lang w:val="en-US" w:eastAsia="zh-CN" w:bidi="ar-SA"/>
        </w:rPr>
        <w:t>牛栏江水系规划关系图</w:t>
      </w:r>
    </w:p>
    <w:p w14:paraId="54A30213">
      <w:pPr>
        <w:pStyle w:val="14"/>
        <w:widowControl w:val="0"/>
        <w:numPr>
          <w:ilvl w:val="0"/>
          <w:numId w:val="0"/>
        </w:numPr>
        <w:autoSpaceDE w:val="0"/>
        <w:autoSpaceDN w:val="0"/>
        <w:adjustRightInd w:val="0"/>
        <w:jc w:val="both"/>
        <w:textAlignment w:val="baseline"/>
        <w:rPr>
          <w:rFonts w:hint="default" w:cs="Times New Roman"/>
          <w:color w:val="auto"/>
          <w:kern w:val="0"/>
          <w:sz w:val="24"/>
          <w:szCs w:val="20"/>
          <w:lang w:val="en-US" w:eastAsia="zh-CN" w:bidi="ar-SA"/>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560DC75A">
      <w:pPr>
        <w:pStyle w:val="28"/>
        <w:jc w:val="center"/>
        <w:outlineLvl w:val="0"/>
        <w:rPr>
          <w:rFonts w:hint="eastAsia" w:ascii="黑体" w:hAnsi="黑体" w:eastAsia="黑体"/>
          <w:snapToGrid w:val="0"/>
          <w:color w:val="auto"/>
          <w:sz w:val="30"/>
          <w:szCs w:val="30"/>
        </w:rPr>
      </w:pPr>
      <w:bookmarkStart w:id="0" w:name="_Toc29481"/>
      <w:r>
        <w:rPr>
          <w:rFonts w:hint="eastAsia" w:ascii="黑体" w:hAnsi="黑体" w:eastAsia="黑体"/>
          <w:snapToGrid w:val="0"/>
          <w:color w:val="auto"/>
          <w:sz w:val="30"/>
          <w:szCs w:val="30"/>
        </w:rPr>
        <w:t>一、建设项目基本情况</w:t>
      </w:r>
      <w:bookmarkEnd w:id="0"/>
    </w:p>
    <w:tbl>
      <w:tblPr>
        <w:tblStyle w:val="30"/>
        <w:tblW w:w="89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32"/>
        <w:gridCol w:w="411"/>
        <w:gridCol w:w="1949"/>
        <w:gridCol w:w="199"/>
        <w:gridCol w:w="2069"/>
        <w:gridCol w:w="3366"/>
      </w:tblGrid>
      <w:tr w14:paraId="53EFD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43" w:type="dxa"/>
            <w:gridSpan w:val="2"/>
            <w:noWrap w:val="0"/>
            <w:tcMar>
              <w:top w:w="16" w:type="dxa"/>
              <w:left w:w="16" w:type="dxa"/>
              <w:right w:w="16" w:type="dxa"/>
            </w:tcMar>
            <w:vAlign w:val="center"/>
          </w:tcPr>
          <w:p w14:paraId="2B3DCF2B">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建设项目名称</w:t>
            </w:r>
          </w:p>
        </w:tc>
        <w:tc>
          <w:tcPr>
            <w:tcW w:w="7583" w:type="dxa"/>
            <w:gridSpan w:val="4"/>
            <w:noWrap w:val="0"/>
            <w:vAlign w:val="center"/>
          </w:tcPr>
          <w:p w14:paraId="73BBBF6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lang w:val="en-US"/>
              </w:rPr>
            </w:pPr>
            <w:r>
              <w:rPr>
                <w:rFonts w:hint="eastAsia" w:cs="宋体"/>
                <w:color w:val="auto"/>
                <w:sz w:val="24"/>
                <w:szCs w:val="24"/>
                <w:lang w:val="en-US" w:eastAsia="zh-CN"/>
              </w:rPr>
              <w:t>年产450万张三聚氰胺浸渍纸建设项目</w:t>
            </w:r>
          </w:p>
        </w:tc>
      </w:tr>
      <w:tr w14:paraId="3B9E1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noWrap w:val="0"/>
            <w:tcMar>
              <w:top w:w="16" w:type="dxa"/>
              <w:left w:w="16" w:type="dxa"/>
              <w:right w:w="16" w:type="dxa"/>
            </w:tcMar>
            <w:vAlign w:val="center"/>
          </w:tcPr>
          <w:p w14:paraId="27CEC69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项目代码</w:t>
            </w:r>
          </w:p>
        </w:tc>
        <w:tc>
          <w:tcPr>
            <w:tcW w:w="7583" w:type="dxa"/>
            <w:gridSpan w:val="4"/>
            <w:noWrap w:val="0"/>
            <w:vAlign w:val="center"/>
          </w:tcPr>
          <w:p w14:paraId="11D1D954">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lang w:val="en-US"/>
              </w:rPr>
            </w:pPr>
            <w:r>
              <w:rPr>
                <w:rFonts w:hint="eastAsia" w:cs="宋体"/>
                <w:color w:val="auto"/>
                <w:sz w:val="24"/>
                <w:szCs w:val="24"/>
                <w:highlight w:val="none"/>
                <w:lang w:val="en-US" w:eastAsia="zh-CN"/>
              </w:rPr>
              <w:t>2311-530129-04-01-244590</w:t>
            </w:r>
          </w:p>
        </w:tc>
      </w:tr>
      <w:tr w14:paraId="66E4E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noWrap w:val="0"/>
            <w:tcMar>
              <w:top w:w="16" w:type="dxa"/>
              <w:left w:w="16" w:type="dxa"/>
              <w:right w:w="16" w:type="dxa"/>
            </w:tcMar>
            <w:vAlign w:val="center"/>
          </w:tcPr>
          <w:p w14:paraId="2AB20EF1">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建设单位联系人</w:t>
            </w:r>
          </w:p>
        </w:tc>
        <w:tc>
          <w:tcPr>
            <w:tcW w:w="1949" w:type="dxa"/>
            <w:noWrap w:val="0"/>
            <w:vAlign w:val="center"/>
          </w:tcPr>
          <w:p w14:paraId="461C5FE4">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lang w:val="en-US" w:eastAsia="zh-CN"/>
              </w:rPr>
            </w:pPr>
          </w:p>
        </w:tc>
        <w:tc>
          <w:tcPr>
            <w:tcW w:w="2268" w:type="dxa"/>
            <w:gridSpan w:val="2"/>
            <w:noWrap w:val="0"/>
            <w:vAlign w:val="center"/>
          </w:tcPr>
          <w:p w14:paraId="1B48FDF9">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联系方式</w:t>
            </w:r>
          </w:p>
        </w:tc>
        <w:tc>
          <w:tcPr>
            <w:tcW w:w="3366" w:type="dxa"/>
            <w:noWrap w:val="0"/>
            <w:vAlign w:val="center"/>
          </w:tcPr>
          <w:p w14:paraId="2EBED170">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lang w:val="en-US" w:eastAsia="zh-CN"/>
              </w:rPr>
            </w:pPr>
          </w:p>
        </w:tc>
      </w:tr>
      <w:tr w14:paraId="21AE9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noWrap w:val="0"/>
            <w:tcMar>
              <w:top w:w="16" w:type="dxa"/>
              <w:left w:w="16" w:type="dxa"/>
              <w:right w:w="16" w:type="dxa"/>
            </w:tcMar>
            <w:vAlign w:val="center"/>
          </w:tcPr>
          <w:p w14:paraId="099D4681">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建设地点</w:t>
            </w:r>
          </w:p>
        </w:tc>
        <w:tc>
          <w:tcPr>
            <w:tcW w:w="7583" w:type="dxa"/>
            <w:gridSpan w:val="4"/>
            <w:noWrap w:val="0"/>
            <w:vAlign w:val="center"/>
          </w:tcPr>
          <w:p w14:paraId="5437C920">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u w:val="single"/>
                <w:lang w:eastAsia="zh-CN"/>
              </w:rPr>
              <w:t>云南</w:t>
            </w:r>
            <w:r>
              <w:rPr>
                <w:rFonts w:hint="eastAsia" w:ascii="Times New Roman" w:hAnsi="Times New Roman" w:eastAsia="宋体" w:cs="宋体"/>
                <w:color w:val="auto"/>
                <w:sz w:val="24"/>
                <w:szCs w:val="24"/>
              </w:rPr>
              <w:t>省</w:t>
            </w:r>
            <w:r>
              <w:rPr>
                <w:rFonts w:hint="eastAsia" w:cs="宋体"/>
                <w:color w:val="auto"/>
                <w:sz w:val="24"/>
                <w:szCs w:val="24"/>
                <w:u w:val="single"/>
                <w:lang w:eastAsia="zh-CN"/>
              </w:rPr>
              <w:t>昆明</w:t>
            </w:r>
            <w:r>
              <w:rPr>
                <w:rFonts w:hint="eastAsia" w:cs="宋体"/>
                <w:color w:val="auto"/>
                <w:sz w:val="24"/>
                <w:szCs w:val="24"/>
                <w:u w:val="none"/>
                <w:lang w:eastAsia="zh-CN"/>
              </w:rPr>
              <w:t>市</w:t>
            </w:r>
            <w:r>
              <w:rPr>
                <w:rFonts w:hint="eastAsia" w:cs="宋体"/>
                <w:color w:val="auto"/>
                <w:sz w:val="24"/>
                <w:szCs w:val="24"/>
                <w:u w:val="single"/>
                <w:lang w:eastAsia="zh-CN"/>
              </w:rPr>
              <w:t>寻甸</w:t>
            </w:r>
            <w:r>
              <w:rPr>
                <w:rFonts w:hint="eastAsia" w:cs="宋体"/>
                <w:color w:val="auto"/>
                <w:sz w:val="24"/>
                <w:szCs w:val="24"/>
                <w:u w:val="none"/>
                <w:lang w:eastAsia="zh-CN"/>
              </w:rPr>
              <w:t>县</w:t>
            </w:r>
            <w:r>
              <w:rPr>
                <w:rFonts w:hint="eastAsia" w:ascii="Times New Roman" w:hAnsi="Times New Roman" w:eastAsia="宋体" w:cs="宋体"/>
                <w:color w:val="auto"/>
                <w:sz w:val="24"/>
                <w:szCs w:val="24"/>
              </w:rPr>
              <w:t>（区）</w:t>
            </w:r>
            <w:r>
              <w:rPr>
                <w:rFonts w:hint="eastAsia" w:cs="宋体"/>
                <w:color w:val="auto"/>
                <w:sz w:val="24"/>
                <w:szCs w:val="24"/>
                <w:u w:val="single"/>
                <w:lang w:val="en-US" w:eastAsia="zh-CN"/>
              </w:rPr>
              <w:t>羊街镇</w:t>
            </w:r>
            <w:r>
              <w:rPr>
                <w:rFonts w:hint="eastAsia" w:ascii="Times New Roman" w:hAnsi="Times New Roman" w:eastAsia="宋体" w:cs="宋体"/>
                <w:color w:val="auto"/>
                <w:sz w:val="24"/>
                <w:szCs w:val="24"/>
              </w:rPr>
              <w:t>（街道）</w:t>
            </w:r>
            <w:r>
              <w:rPr>
                <w:rFonts w:hint="eastAsia" w:cs="宋体"/>
                <w:color w:val="auto"/>
                <w:sz w:val="24"/>
                <w:szCs w:val="24"/>
                <w:u w:val="single"/>
                <w:lang w:val="en-US" w:eastAsia="zh-CN"/>
              </w:rPr>
              <w:t>中国昆明国际林业产业园3-12号</w:t>
            </w:r>
            <w:r>
              <w:rPr>
                <w:rFonts w:hint="eastAsia" w:ascii="Times New Roman" w:hAnsi="Times New Roman" w:eastAsia="宋体" w:cs="宋体"/>
                <w:color w:val="auto"/>
                <w:sz w:val="24"/>
                <w:szCs w:val="24"/>
              </w:rPr>
              <w:t>（具体地址）</w:t>
            </w:r>
          </w:p>
        </w:tc>
      </w:tr>
      <w:tr w14:paraId="6C99C7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noWrap w:val="0"/>
            <w:tcMar>
              <w:top w:w="16" w:type="dxa"/>
              <w:left w:w="16" w:type="dxa"/>
              <w:right w:w="16" w:type="dxa"/>
            </w:tcMar>
            <w:vAlign w:val="center"/>
          </w:tcPr>
          <w:p w14:paraId="5DBF6066">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地理坐标</w:t>
            </w:r>
          </w:p>
        </w:tc>
        <w:tc>
          <w:tcPr>
            <w:tcW w:w="7583" w:type="dxa"/>
            <w:gridSpan w:val="4"/>
            <w:noWrap w:val="0"/>
            <w:vAlign w:val="center"/>
          </w:tcPr>
          <w:p w14:paraId="127DE1E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Times New Roman" w:hAnsi="Times New Roman" w:eastAsia="宋体" w:cs="宋体"/>
                <w:color w:val="auto"/>
                <w:sz w:val="24"/>
                <w:szCs w:val="24"/>
                <w:shd w:val="clear" w:color="auto" w:fill="auto"/>
              </w:rPr>
            </w:pPr>
            <w:r>
              <w:rPr>
                <w:rFonts w:hint="eastAsia" w:ascii="Times New Roman" w:hAnsi="Times New Roman" w:eastAsia="宋体" w:cs="宋体"/>
                <w:color w:val="auto"/>
                <w:sz w:val="24"/>
                <w:szCs w:val="24"/>
                <w:shd w:val="clear" w:color="auto" w:fill="auto"/>
              </w:rPr>
              <w:t>（</w:t>
            </w:r>
            <w:r>
              <w:rPr>
                <w:rFonts w:hint="eastAsia" w:ascii="Times New Roman" w:hAnsi="Times New Roman" w:eastAsia="宋体" w:cs="宋体"/>
                <w:color w:val="auto"/>
                <w:sz w:val="24"/>
                <w:szCs w:val="24"/>
                <w:u w:val="single"/>
                <w:shd w:val="clear" w:color="auto" w:fill="auto"/>
                <w:lang w:val="en-US" w:eastAsia="zh-CN"/>
              </w:rPr>
              <w:t>10</w:t>
            </w:r>
            <w:r>
              <w:rPr>
                <w:rFonts w:hint="eastAsia" w:cs="宋体"/>
                <w:color w:val="auto"/>
                <w:sz w:val="24"/>
                <w:szCs w:val="24"/>
                <w:u w:val="single"/>
                <w:shd w:val="clear" w:color="auto" w:fill="auto"/>
                <w:lang w:val="en-US" w:eastAsia="zh-CN"/>
              </w:rPr>
              <w:t>3</w:t>
            </w:r>
            <w:r>
              <w:rPr>
                <w:rFonts w:hint="eastAsia" w:ascii="Times New Roman" w:hAnsi="Times New Roman" w:eastAsia="宋体" w:cs="宋体"/>
                <w:color w:val="auto"/>
                <w:sz w:val="24"/>
                <w:szCs w:val="24"/>
                <w:shd w:val="clear" w:color="auto" w:fill="auto"/>
              </w:rPr>
              <w:t>度</w:t>
            </w:r>
            <w:r>
              <w:rPr>
                <w:rFonts w:hint="eastAsia" w:cs="宋体"/>
                <w:color w:val="auto"/>
                <w:sz w:val="24"/>
                <w:szCs w:val="24"/>
                <w:u w:val="single"/>
                <w:shd w:val="clear" w:color="auto" w:fill="auto"/>
                <w:lang w:val="en-US" w:eastAsia="zh-CN"/>
              </w:rPr>
              <w:t>9</w:t>
            </w:r>
            <w:r>
              <w:rPr>
                <w:rFonts w:hint="eastAsia" w:ascii="Times New Roman" w:hAnsi="Times New Roman" w:eastAsia="宋体" w:cs="宋体"/>
                <w:color w:val="auto"/>
                <w:sz w:val="24"/>
                <w:szCs w:val="24"/>
                <w:shd w:val="clear" w:color="auto" w:fill="auto"/>
              </w:rPr>
              <w:t>分</w:t>
            </w:r>
            <w:r>
              <w:rPr>
                <w:rFonts w:hint="eastAsia" w:cs="宋体"/>
                <w:color w:val="auto"/>
                <w:sz w:val="24"/>
                <w:szCs w:val="24"/>
                <w:u w:val="single"/>
                <w:shd w:val="clear" w:color="auto" w:fill="auto"/>
                <w:lang w:val="en-US" w:eastAsia="zh-CN"/>
              </w:rPr>
              <w:t>15.350</w:t>
            </w:r>
            <w:r>
              <w:rPr>
                <w:rFonts w:hint="eastAsia" w:ascii="Times New Roman" w:hAnsi="Times New Roman" w:eastAsia="宋体" w:cs="宋体"/>
                <w:color w:val="auto"/>
                <w:sz w:val="24"/>
                <w:szCs w:val="24"/>
                <w:shd w:val="clear" w:color="auto" w:fill="auto"/>
              </w:rPr>
              <w:t>秒，</w:t>
            </w:r>
            <w:r>
              <w:rPr>
                <w:rFonts w:hint="eastAsia" w:ascii="Times New Roman" w:hAnsi="Times New Roman" w:eastAsia="宋体" w:cs="宋体"/>
                <w:color w:val="auto"/>
                <w:sz w:val="24"/>
                <w:szCs w:val="24"/>
                <w:u w:val="single"/>
                <w:shd w:val="clear" w:color="auto" w:fill="auto"/>
                <w:lang w:val="en-US" w:eastAsia="zh-CN"/>
              </w:rPr>
              <w:t>25</w:t>
            </w:r>
            <w:r>
              <w:rPr>
                <w:rFonts w:hint="eastAsia" w:ascii="Times New Roman" w:hAnsi="Times New Roman" w:eastAsia="宋体" w:cs="宋体"/>
                <w:color w:val="auto"/>
                <w:sz w:val="24"/>
                <w:szCs w:val="24"/>
                <w:shd w:val="clear" w:color="auto" w:fill="auto"/>
              </w:rPr>
              <w:t>度</w:t>
            </w:r>
            <w:r>
              <w:rPr>
                <w:rFonts w:hint="eastAsia" w:cs="宋体"/>
                <w:color w:val="auto"/>
                <w:sz w:val="24"/>
                <w:szCs w:val="24"/>
                <w:u w:val="single"/>
                <w:shd w:val="clear" w:color="auto" w:fill="auto"/>
                <w:lang w:val="en-US" w:eastAsia="zh-CN"/>
              </w:rPr>
              <w:t>27</w:t>
            </w:r>
            <w:r>
              <w:rPr>
                <w:rFonts w:hint="eastAsia" w:ascii="Times New Roman" w:hAnsi="Times New Roman" w:eastAsia="宋体" w:cs="宋体"/>
                <w:color w:val="auto"/>
                <w:sz w:val="24"/>
                <w:szCs w:val="24"/>
                <w:shd w:val="clear" w:color="auto" w:fill="auto"/>
              </w:rPr>
              <w:t>分</w:t>
            </w:r>
            <w:r>
              <w:rPr>
                <w:rFonts w:hint="eastAsia" w:cs="宋体"/>
                <w:color w:val="auto"/>
                <w:sz w:val="24"/>
                <w:szCs w:val="24"/>
                <w:u w:val="single"/>
                <w:shd w:val="clear" w:color="auto" w:fill="auto"/>
                <w:lang w:val="en-US" w:eastAsia="zh-CN"/>
              </w:rPr>
              <w:t>37.255</w:t>
            </w:r>
            <w:r>
              <w:rPr>
                <w:rFonts w:hint="eastAsia" w:ascii="Times New Roman" w:hAnsi="Times New Roman" w:eastAsia="宋体" w:cs="宋体"/>
                <w:color w:val="auto"/>
                <w:sz w:val="24"/>
                <w:szCs w:val="24"/>
                <w:shd w:val="clear" w:color="auto" w:fill="auto"/>
              </w:rPr>
              <w:t>秒）</w:t>
            </w:r>
          </w:p>
        </w:tc>
      </w:tr>
      <w:tr w14:paraId="01E5A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8" w:hRule="atLeast"/>
          <w:jc w:val="center"/>
        </w:trPr>
        <w:tc>
          <w:tcPr>
            <w:tcW w:w="1343" w:type="dxa"/>
            <w:gridSpan w:val="2"/>
            <w:noWrap w:val="0"/>
            <w:tcMar>
              <w:top w:w="16" w:type="dxa"/>
              <w:left w:w="16" w:type="dxa"/>
              <w:right w:w="16" w:type="dxa"/>
            </w:tcMar>
            <w:vAlign w:val="center"/>
          </w:tcPr>
          <w:p w14:paraId="3B9924EF">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国民经济行业类别</w:t>
            </w:r>
          </w:p>
        </w:tc>
        <w:tc>
          <w:tcPr>
            <w:tcW w:w="2148" w:type="dxa"/>
            <w:gridSpan w:val="2"/>
            <w:noWrap w:val="0"/>
            <w:vAlign w:val="center"/>
          </w:tcPr>
          <w:p w14:paraId="74179A57">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eastAsia="宋体"/>
                <w:color w:val="auto"/>
                <w:lang w:eastAsia="zh-CN"/>
              </w:rPr>
            </w:pPr>
            <w:r>
              <w:rPr>
                <w:rFonts w:hint="eastAsia"/>
                <w:color w:val="auto"/>
                <w:sz w:val="24"/>
                <w:lang w:val="en-US" w:eastAsia="zh-CN"/>
              </w:rPr>
              <w:t>其他纸制品制造</w:t>
            </w:r>
            <w:r>
              <w:rPr>
                <w:rFonts w:hint="default"/>
                <w:color w:val="auto"/>
                <w:sz w:val="24"/>
              </w:rPr>
              <w:t>（C</w:t>
            </w:r>
            <w:r>
              <w:rPr>
                <w:rFonts w:hint="eastAsia"/>
                <w:color w:val="auto"/>
                <w:sz w:val="24"/>
                <w:lang w:val="en-US" w:eastAsia="zh-CN"/>
              </w:rPr>
              <w:t>2239</w:t>
            </w:r>
            <w:r>
              <w:rPr>
                <w:rFonts w:hint="default"/>
                <w:color w:val="auto"/>
                <w:sz w:val="24"/>
              </w:rPr>
              <w:t>）</w:t>
            </w:r>
          </w:p>
        </w:tc>
        <w:tc>
          <w:tcPr>
            <w:tcW w:w="2069" w:type="dxa"/>
            <w:noWrap w:val="0"/>
            <w:vAlign w:val="center"/>
          </w:tcPr>
          <w:p w14:paraId="1ACA5C7C">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shd w:val="clear" w:color="auto" w:fill="auto"/>
              </w:rPr>
            </w:pPr>
            <w:bookmarkStart w:id="1" w:name="_Hlk49843745"/>
            <w:r>
              <w:rPr>
                <w:rFonts w:hint="eastAsia" w:ascii="Times New Roman" w:hAnsi="Times New Roman" w:eastAsia="宋体" w:cs="宋体"/>
                <w:color w:val="auto"/>
                <w:sz w:val="24"/>
                <w:szCs w:val="24"/>
                <w:shd w:val="clear" w:color="auto" w:fill="auto"/>
              </w:rPr>
              <w:t>建设项目行业类别</w:t>
            </w:r>
            <w:bookmarkEnd w:id="1"/>
          </w:p>
        </w:tc>
        <w:tc>
          <w:tcPr>
            <w:tcW w:w="3366" w:type="dxa"/>
            <w:noWrap w:val="0"/>
            <w:vAlign w:val="center"/>
          </w:tcPr>
          <w:p w14:paraId="27822633">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color w:val="auto"/>
                <w:lang w:val="en-US" w:eastAsia="zh-CN"/>
              </w:rPr>
            </w:pPr>
            <w:r>
              <w:rPr>
                <w:rFonts w:hint="eastAsia"/>
                <w:color w:val="auto"/>
                <w:sz w:val="24"/>
                <w:szCs w:val="24"/>
                <w:lang w:val="en-US" w:eastAsia="zh-CN"/>
              </w:rPr>
              <w:t>十九、造纸和纸制品业、38纸制品制造223、有涂布、浸渍、印刷、粘胶工艺的</w:t>
            </w:r>
          </w:p>
        </w:tc>
      </w:tr>
      <w:tr w14:paraId="5C435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43" w:type="dxa"/>
            <w:gridSpan w:val="2"/>
            <w:noWrap w:val="0"/>
            <w:tcMar>
              <w:top w:w="16" w:type="dxa"/>
              <w:left w:w="16" w:type="dxa"/>
              <w:right w:w="16" w:type="dxa"/>
            </w:tcMar>
            <w:vAlign w:val="center"/>
          </w:tcPr>
          <w:p w14:paraId="31F94EF6">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建设性质</w:t>
            </w:r>
          </w:p>
        </w:tc>
        <w:tc>
          <w:tcPr>
            <w:tcW w:w="2148" w:type="dxa"/>
            <w:gridSpan w:val="2"/>
            <w:noWrap w:val="0"/>
            <w:vAlign w:val="center"/>
          </w:tcPr>
          <w:p w14:paraId="2FD8F672">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52"/>
            </w:r>
            <w:r>
              <w:rPr>
                <w:rFonts w:hint="eastAsia" w:ascii="Times New Roman" w:hAnsi="Times New Roman" w:eastAsia="宋体" w:cs="宋体"/>
                <w:color w:val="auto"/>
                <w:sz w:val="24"/>
                <w:szCs w:val="24"/>
              </w:rPr>
              <w:t>新建（迁建）</w:t>
            </w:r>
          </w:p>
          <w:p w14:paraId="16DF6333">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□改建</w:t>
            </w:r>
          </w:p>
          <w:p w14:paraId="3DEF3D38">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□扩建</w:t>
            </w:r>
          </w:p>
          <w:p w14:paraId="4704B6A7">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□技术改造</w:t>
            </w:r>
          </w:p>
        </w:tc>
        <w:tc>
          <w:tcPr>
            <w:tcW w:w="2069" w:type="dxa"/>
            <w:noWrap w:val="0"/>
            <w:vAlign w:val="center"/>
          </w:tcPr>
          <w:p w14:paraId="0476646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建设项目申报情形</w:t>
            </w:r>
          </w:p>
        </w:tc>
        <w:tc>
          <w:tcPr>
            <w:tcW w:w="3366" w:type="dxa"/>
            <w:noWrap w:val="0"/>
            <w:vAlign w:val="center"/>
          </w:tcPr>
          <w:p w14:paraId="5D90EB9B">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52"/>
            </w:r>
            <w:r>
              <w:rPr>
                <w:rFonts w:hint="eastAsia" w:ascii="Times New Roman" w:hAnsi="Times New Roman" w:eastAsia="宋体" w:cs="宋体"/>
                <w:color w:val="auto"/>
                <w:sz w:val="24"/>
                <w:szCs w:val="24"/>
              </w:rPr>
              <w:t>首次申报项目</w:t>
            </w:r>
            <w:r>
              <w:rPr>
                <w:rFonts w:hint="default" w:ascii="Times New Roman" w:hAnsi="Times New Roman" w:eastAsia="宋体" w:cs="宋体"/>
                <w:color w:val="auto"/>
                <w:sz w:val="24"/>
                <w:szCs w:val="24"/>
              </w:rPr>
              <w:t xml:space="preserve">             </w:t>
            </w:r>
          </w:p>
          <w:p w14:paraId="47934D2C">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□不予批准后再次申报项目</w:t>
            </w:r>
          </w:p>
          <w:p w14:paraId="46ADD57C">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A3"/>
            </w:r>
            <w:r>
              <w:rPr>
                <w:rFonts w:hint="eastAsia" w:ascii="Times New Roman" w:hAnsi="Times New Roman" w:eastAsia="宋体" w:cs="宋体"/>
                <w:color w:val="auto"/>
                <w:sz w:val="24"/>
                <w:szCs w:val="24"/>
              </w:rPr>
              <w:t>超五年重新审核项目</w:t>
            </w:r>
            <w:r>
              <w:rPr>
                <w:rFonts w:hint="default" w:ascii="Times New Roman" w:hAnsi="Times New Roman" w:eastAsia="宋体" w:cs="宋体"/>
                <w:color w:val="auto"/>
                <w:sz w:val="24"/>
                <w:szCs w:val="24"/>
              </w:rPr>
              <w:t xml:space="preserve">     </w:t>
            </w:r>
          </w:p>
          <w:p w14:paraId="6F6D88EB">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□重大变动重新报批项目</w:t>
            </w:r>
          </w:p>
        </w:tc>
      </w:tr>
      <w:tr w14:paraId="578CC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43" w:type="dxa"/>
            <w:gridSpan w:val="2"/>
            <w:noWrap w:val="0"/>
            <w:tcMar>
              <w:top w:w="16" w:type="dxa"/>
              <w:left w:w="16" w:type="dxa"/>
              <w:right w:w="16" w:type="dxa"/>
            </w:tcMar>
            <w:vAlign w:val="center"/>
          </w:tcPr>
          <w:p w14:paraId="0D036B9E">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项目审批（核准</w:t>
            </w:r>
            <w:r>
              <w:rPr>
                <w:rFonts w:hint="default" w:ascii="Times New Roman" w:hAnsi="Times New Roman" w:eastAsia="宋体" w:cs="宋体"/>
                <w:color w:val="auto"/>
                <w:sz w:val="24"/>
                <w:szCs w:val="24"/>
              </w:rPr>
              <w:t>/</w:t>
            </w:r>
            <w:r>
              <w:rPr>
                <w:rFonts w:hint="eastAsia" w:ascii="Times New Roman" w:hAnsi="Times New Roman" w:eastAsia="宋体" w:cs="宋体"/>
                <w:color w:val="auto"/>
                <w:sz w:val="24"/>
                <w:szCs w:val="24"/>
              </w:rPr>
              <w:t>备案）部门（选填）</w:t>
            </w:r>
          </w:p>
        </w:tc>
        <w:tc>
          <w:tcPr>
            <w:tcW w:w="2148" w:type="dxa"/>
            <w:gridSpan w:val="2"/>
            <w:noWrap w:val="0"/>
            <w:vAlign w:val="center"/>
          </w:tcPr>
          <w:p w14:paraId="295E41B6">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Times New Roman" w:hAnsi="Times New Roman" w:eastAsia="宋体" w:cs="宋体"/>
                <w:color w:val="auto"/>
                <w:sz w:val="24"/>
                <w:szCs w:val="24"/>
                <w:highlight w:val="none"/>
                <w:lang w:eastAsia="zh-CN"/>
              </w:rPr>
            </w:pPr>
            <w:r>
              <w:rPr>
                <w:rFonts w:hint="eastAsia" w:cs="宋体"/>
                <w:color w:val="auto"/>
                <w:sz w:val="24"/>
                <w:szCs w:val="24"/>
                <w:highlight w:val="none"/>
                <w:lang w:eastAsia="zh-CN"/>
              </w:rPr>
              <w:t>寻甸</w:t>
            </w:r>
            <w:r>
              <w:rPr>
                <w:rFonts w:hint="eastAsia" w:cs="宋体"/>
                <w:color w:val="auto"/>
                <w:sz w:val="24"/>
                <w:szCs w:val="24"/>
                <w:highlight w:val="none"/>
                <w:lang w:val="en-US" w:eastAsia="zh-CN"/>
              </w:rPr>
              <w:t>回族彝族自治县发展和改革局</w:t>
            </w:r>
          </w:p>
        </w:tc>
        <w:tc>
          <w:tcPr>
            <w:tcW w:w="2069" w:type="dxa"/>
            <w:noWrap w:val="0"/>
            <w:vAlign w:val="center"/>
          </w:tcPr>
          <w:p w14:paraId="453A8AB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项目审批（核准</w:t>
            </w:r>
            <w:r>
              <w:rPr>
                <w:rFonts w:hint="default" w:ascii="Times New Roman" w:hAnsi="Times New Roman" w:eastAsia="宋体" w:cs="宋体"/>
                <w:color w:val="auto"/>
                <w:sz w:val="24"/>
                <w:szCs w:val="24"/>
                <w:highlight w:val="none"/>
              </w:rPr>
              <w:t>/</w:t>
            </w:r>
          </w:p>
          <w:p w14:paraId="4D025D37">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备案）文号（选填）</w:t>
            </w:r>
          </w:p>
        </w:tc>
        <w:tc>
          <w:tcPr>
            <w:tcW w:w="3366" w:type="dxa"/>
            <w:noWrap w:val="0"/>
            <w:vAlign w:val="center"/>
          </w:tcPr>
          <w:p w14:paraId="47728300">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highlight w:val="none"/>
              </w:rPr>
            </w:pPr>
            <w:r>
              <w:rPr>
                <w:rFonts w:hint="eastAsia" w:cs="宋体"/>
                <w:color w:val="auto"/>
                <w:sz w:val="24"/>
                <w:szCs w:val="24"/>
                <w:highlight w:val="none"/>
                <w:lang w:val="en-US" w:eastAsia="zh-CN"/>
              </w:rPr>
              <w:t>/</w:t>
            </w:r>
          </w:p>
        </w:tc>
      </w:tr>
      <w:tr w14:paraId="134C0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noWrap w:val="0"/>
            <w:tcMar>
              <w:top w:w="16" w:type="dxa"/>
              <w:left w:w="16" w:type="dxa"/>
              <w:right w:w="16" w:type="dxa"/>
            </w:tcMar>
            <w:vAlign w:val="center"/>
          </w:tcPr>
          <w:p w14:paraId="06CD076E">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总投资（万元）</w:t>
            </w:r>
          </w:p>
        </w:tc>
        <w:tc>
          <w:tcPr>
            <w:tcW w:w="2148" w:type="dxa"/>
            <w:gridSpan w:val="2"/>
            <w:noWrap w:val="0"/>
            <w:vAlign w:val="center"/>
          </w:tcPr>
          <w:p w14:paraId="4C31CBBB">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1500</w:t>
            </w:r>
          </w:p>
        </w:tc>
        <w:tc>
          <w:tcPr>
            <w:tcW w:w="2069" w:type="dxa"/>
            <w:noWrap w:val="0"/>
            <w:tcMar>
              <w:top w:w="16" w:type="dxa"/>
              <w:left w:w="16" w:type="dxa"/>
              <w:right w:w="16" w:type="dxa"/>
            </w:tcMar>
            <w:vAlign w:val="center"/>
          </w:tcPr>
          <w:p w14:paraId="7F0DEF82">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环保投资（万元）</w:t>
            </w:r>
          </w:p>
        </w:tc>
        <w:tc>
          <w:tcPr>
            <w:tcW w:w="3366" w:type="dxa"/>
            <w:noWrap w:val="0"/>
            <w:vAlign w:val="center"/>
          </w:tcPr>
          <w:p w14:paraId="70FDFB21">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33</w:t>
            </w:r>
          </w:p>
        </w:tc>
      </w:tr>
      <w:tr w14:paraId="02886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1343" w:type="dxa"/>
            <w:gridSpan w:val="2"/>
            <w:noWrap w:val="0"/>
            <w:tcMar>
              <w:top w:w="16" w:type="dxa"/>
              <w:left w:w="16" w:type="dxa"/>
              <w:right w:w="16" w:type="dxa"/>
            </w:tcMar>
            <w:vAlign w:val="center"/>
          </w:tcPr>
          <w:p w14:paraId="068920FF">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环保投资占比（</w:t>
            </w:r>
            <w:r>
              <w:rPr>
                <w:rFonts w:hint="default" w:ascii="Times New Roman" w:hAnsi="Times New Roman" w:eastAsia="宋体" w:cs="宋体"/>
                <w:color w:val="auto"/>
                <w:sz w:val="24"/>
                <w:szCs w:val="24"/>
              </w:rPr>
              <w:t>%</w:t>
            </w:r>
            <w:r>
              <w:rPr>
                <w:rFonts w:hint="eastAsia" w:ascii="Times New Roman" w:hAnsi="Times New Roman" w:eastAsia="宋体" w:cs="宋体"/>
                <w:color w:val="auto"/>
                <w:sz w:val="24"/>
                <w:szCs w:val="24"/>
              </w:rPr>
              <w:t>）</w:t>
            </w:r>
          </w:p>
        </w:tc>
        <w:tc>
          <w:tcPr>
            <w:tcW w:w="2148" w:type="dxa"/>
            <w:gridSpan w:val="2"/>
            <w:noWrap w:val="0"/>
            <w:vAlign w:val="center"/>
          </w:tcPr>
          <w:p w14:paraId="75447401">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2.2</w:t>
            </w:r>
          </w:p>
        </w:tc>
        <w:tc>
          <w:tcPr>
            <w:tcW w:w="2069" w:type="dxa"/>
            <w:noWrap w:val="0"/>
            <w:tcMar>
              <w:top w:w="16" w:type="dxa"/>
              <w:left w:w="16" w:type="dxa"/>
              <w:right w:w="16" w:type="dxa"/>
            </w:tcMar>
            <w:vAlign w:val="center"/>
          </w:tcPr>
          <w:p w14:paraId="7A5F2596">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施工工期</w:t>
            </w:r>
          </w:p>
        </w:tc>
        <w:tc>
          <w:tcPr>
            <w:tcW w:w="3366" w:type="dxa"/>
            <w:noWrap w:val="0"/>
            <w:vAlign w:val="center"/>
          </w:tcPr>
          <w:p w14:paraId="2130C158">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3个月</w:t>
            </w:r>
          </w:p>
        </w:tc>
      </w:tr>
      <w:tr w14:paraId="7198E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dxa"/>
            <w:gridSpan w:val="2"/>
            <w:noWrap w:val="0"/>
            <w:tcMar>
              <w:top w:w="16" w:type="dxa"/>
              <w:left w:w="16" w:type="dxa"/>
              <w:right w:w="16" w:type="dxa"/>
            </w:tcMar>
            <w:vAlign w:val="center"/>
          </w:tcPr>
          <w:p w14:paraId="173DA265">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是否开工建设</w:t>
            </w:r>
          </w:p>
        </w:tc>
        <w:tc>
          <w:tcPr>
            <w:tcW w:w="2148" w:type="dxa"/>
            <w:gridSpan w:val="2"/>
            <w:noWrap w:val="0"/>
            <w:vAlign w:val="center"/>
          </w:tcPr>
          <w:p w14:paraId="12FF2D61">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sym w:font="Wingdings 2" w:char="00A3"/>
            </w:r>
            <w:r>
              <w:rPr>
                <w:rFonts w:hint="eastAsia" w:ascii="Times New Roman" w:hAnsi="Times New Roman" w:eastAsia="宋体" w:cs="宋体"/>
                <w:color w:val="auto"/>
                <w:sz w:val="24"/>
                <w:szCs w:val="24"/>
                <w:highlight w:val="none"/>
              </w:rPr>
              <w:t>否</w:t>
            </w:r>
          </w:p>
          <w:p w14:paraId="0ABD1F4E">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rPr>
              <w:sym w:font="Wingdings 2" w:char="0052"/>
            </w:r>
            <w:r>
              <w:rPr>
                <w:rFonts w:hint="eastAsia" w:ascii="Times New Roman" w:hAnsi="Times New Roman" w:eastAsia="宋体" w:cs="宋体"/>
                <w:color w:val="auto"/>
                <w:sz w:val="24"/>
                <w:szCs w:val="24"/>
                <w:highlight w:val="none"/>
              </w:rPr>
              <w:t>是</w:t>
            </w:r>
            <w:r>
              <w:rPr>
                <w:rFonts w:hint="eastAsia" w:cs="宋体"/>
                <w:color w:val="auto"/>
                <w:sz w:val="24"/>
                <w:szCs w:val="24"/>
                <w:highlight w:val="none"/>
                <w:lang w:eastAsia="zh-CN"/>
              </w:rPr>
              <w:t>：</w:t>
            </w:r>
            <w:r>
              <w:rPr>
                <w:rFonts w:hint="eastAsia" w:cs="宋体"/>
                <w:color w:val="auto"/>
                <w:sz w:val="24"/>
                <w:szCs w:val="24"/>
                <w:highlight w:val="none"/>
                <w:u w:val="single"/>
                <w:lang w:val="en-US" w:eastAsia="zh-CN"/>
              </w:rPr>
              <w:t xml:space="preserve">设备已安装，未投入运营。    </w:t>
            </w:r>
          </w:p>
        </w:tc>
        <w:tc>
          <w:tcPr>
            <w:tcW w:w="2069" w:type="dxa"/>
            <w:noWrap w:val="0"/>
            <w:tcMar>
              <w:top w:w="16" w:type="dxa"/>
              <w:left w:w="16" w:type="dxa"/>
              <w:right w:w="16" w:type="dxa"/>
            </w:tcMar>
            <w:vAlign w:val="center"/>
          </w:tcPr>
          <w:p w14:paraId="10BE05FA">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pacing w:val="-6"/>
                <w:sz w:val="24"/>
                <w:szCs w:val="24"/>
                <w:highlight w:val="none"/>
              </w:rPr>
              <w:t>用地（用海）面积（</w:t>
            </w:r>
            <w:r>
              <w:rPr>
                <w:rFonts w:hint="default" w:ascii="Times New Roman" w:hAnsi="Times New Roman" w:eastAsia="宋体" w:cs="宋体"/>
                <w:color w:val="auto"/>
                <w:spacing w:val="-6"/>
                <w:sz w:val="24"/>
                <w:szCs w:val="24"/>
                <w:highlight w:val="none"/>
              </w:rPr>
              <w:t>m</w:t>
            </w:r>
            <w:r>
              <w:rPr>
                <w:rFonts w:hint="default" w:ascii="Times New Roman" w:hAnsi="Times New Roman" w:eastAsia="宋体" w:cs="宋体"/>
                <w:color w:val="auto"/>
                <w:spacing w:val="-6"/>
                <w:sz w:val="24"/>
                <w:szCs w:val="24"/>
                <w:highlight w:val="none"/>
                <w:vertAlign w:val="superscript"/>
              </w:rPr>
              <w:t>2</w:t>
            </w:r>
            <w:r>
              <w:rPr>
                <w:rFonts w:hint="eastAsia" w:ascii="Times New Roman" w:hAnsi="Times New Roman" w:eastAsia="宋体" w:cs="宋体"/>
                <w:color w:val="auto"/>
                <w:spacing w:val="-6"/>
                <w:sz w:val="24"/>
                <w:szCs w:val="24"/>
                <w:highlight w:val="none"/>
              </w:rPr>
              <w:t>）</w:t>
            </w:r>
          </w:p>
        </w:tc>
        <w:tc>
          <w:tcPr>
            <w:tcW w:w="3366" w:type="dxa"/>
            <w:noWrap w:val="0"/>
            <w:vAlign w:val="center"/>
          </w:tcPr>
          <w:p w14:paraId="48874D8B">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4000</w:t>
            </w:r>
          </w:p>
        </w:tc>
      </w:tr>
      <w:tr w14:paraId="0CCB4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2" w:type="dxa"/>
            <w:noWrap w:val="0"/>
            <w:vAlign w:val="center"/>
          </w:tcPr>
          <w:p w14:paraId="6F2F714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rPr>
              <w:t>专项评价设置情况</w:t>
            </w:r>
          </w:p>
        </w:tc>
        <w:tc>
          <w:tcPr>
            <w:tcW w:w="7994" w:type="dxa"/>
            <w:gridSpan w:val="5"/>
            <w:noWrap w:val="0"/>
            <w:vAlign w:val="center"/>
          </w:tcPr>
          <w:p w14:paraId="0F257A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kern w:val="0"/>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项目专项评价判定表如下：</w:t>
            </w:r>
          </w:p>
          <w:p w14:paraId="6D003A6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b/>
                <w:bCs/>
                <w:color w:val="auto"/>
                <w:kern w:val="0"/>
                <w:sz w:val="21"/>
                <w:szCs w:val="21"/>
                <w:highlight w:val="none"/>
                <w:lang w:val="en-US" w:eastAsia="zh-CN"/>
              </w:rPr>
              <w:t>表1-1 项目专项评价判定表</w:t>
            </w:r>
          </w:p>
          <w:tbl>
            <w:tblPr>
              <w:tblStyle w:val="31"/>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235"/>
              <w:gridCol w:w="2736"/>
              <w:gridCol w:w="1036"/>
            </w:tblGrid>
            <w:tr w14:paraId="39EF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8" w:type="dxa"/>
                  <w:noWrap w:val="0"/>
                  <w:vAlign w:val="center"/>
                </w:tcPr>
                <w:p w14:paraId="15D81CF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3235" w:type="dxa"/>
                  <w:noWrap w:val="0"/>
                  <w:vAlign w:val="center"/>
                </w:tcPr>
                <w:p w14:paraId="418750C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2736" w:type="dxa"/>
                  <w:noWrap w:val="0"/>
                  <w:vAlign w:val="center"/>
                </w:tcPr>
                <w:p w14:paraId="11B8902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1036" w:type="dxa"/>
                  <w:noWrap w:val="0"/>
                  <w:vAlign w:val="center"/>
                </w:tcPr>
                <w:p w14:paraId="63F0186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14:paraId="380C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8" w:type="dxa"/>
                  <w:noWrap w:val="0"/>
                  <w:vAlign w:val="center"/>
                </w:tcPr>
                <w:p w14:paraId="10BF9312">
                  <w:pPr>
                    <w:keepNext w:val="0"/>
                    <w:keepLines w:val="0"/>
                    <w:suppressLineNumbers w:val="0"/>
                    <w:tabs>
                      <w:tab w:val="left" w:pos="3255"/>
                    </w:tabs>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3235" w:type="dxa"/>
                  <w:noWrap w:val="0"/>
                  <w:vAlign w:val="center"/>
                </w:tcPr>
                <w:p w14:paraId="353CFC9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排放废气含有毒有害污染物 </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736" w:type="dxa"/>
                  <w:noWrap w:val="0"/>
                  <w:vAlign w:val="center"/>
                </w:tcPr>
                <w:p w14:paraId="4857E17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w:t>
                  </w:r>
                  <w:r>
                    <w:rPr>
                      <w:rFonts w:hint="eastAsia" w:cs="Times New Roman"/>
                      <w:color w:val="auto"/>
                      <w:kern w:val="0"/>
                      <w:sz w:val="21"/>
                      <w:szCs w:val="21"/>
                      <w:highlight w:val="none"/>
                      <w:vertAlign w:val="baseline"/>
                      <w:lang w:val="en-US" w:eastAsia="zh-CN"/>
                    </w:rPr>
                    <w:t>废气涉及甲醛，甲醛属于</w:t>
                  </w:r>
                  <w:r>
                    <w:rPr>
                      <w:rFonts w:hint="default" w:ascii="Times New Roman" w:hAnsi="Times New Roman" w:eastAsia="宋体" w:cs="Times New Roman"/>
                      <w:color w:val="auto"/>
                      <w:kern w:val="0"/>
                      <w:sz w:val="21"/>
                      <w:szCs w:val="21"/>
                      <w:highlight w:val="none"/>
                      <w:vertAlign w:val="baseline"/>
                      <w:lang w:val="en-US" w:eastAsia="zh-CN"/>
                    </w:rPr>
                    <w:t>有毒有害污染物</w:t>
                  </w:r>
                  <w:r>
                    <w:rPr>
                      <w:rFonts w:hint="eastAsia" w:cs="Times New Roman"/>
                      <w:color w:val="auto"/>
                      <w:kern w:val="0"/>
                      <w:sz w:val="21"/>
                      <w:szCs w:val="21"/>
                      <w:highlight w:val="none"/>
                      <w:vertAlign w:val="baseline"/>
                      <w:lang w:val="en-US" w:eastAsia="zh-CN"/>
                    </w:rPr>
                    <w:t>，且项目周边500m范围内无环境空气保护目标</w:t>
                  </w:r>
                  <w:r>
                    <w:rPr>
                      <w:rFonts w:hint="default" w:ascii="Times New Roman" w:hAnsi="Times New Roman" w:eastAsia="宋体" w:cs="Times New Roman"/>
                      <w:color w:val="auto"/>
                      <w:kern w:val="0"/>
                      <w:sz w:val="21"/>
                      <w:szCs w:val="21"/>
                      <w:highlight w:val="none"/>
                      <w:vertAlign w:val="baseline"/>
                      <w:lang w:val="en-US" w:eastAsia="zh-CN"/>
                    </w:rPr>
                    <w:t>。</w:t>
                  </w:r>
                </w:p>
              </w:tc>
              <w:tc>
                <w:tcPr>
                  <w:tcW w:w="1036" w:type="dxa"/>
                  <w:noWrap w:val="0"/>
                  <w:vAlign w:val="center"/>
                </w:tcPr>
                <w:p w14:paraId="32A76D5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否</w:t>
                  </w:r>
                </w:p>
              </w:tc>
            </w:tr>
            <w:tr w14:paraId="2B23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8" w:type="dxa"/>
                  <w:noWrap w:val="0"/>
                  <w:vAlign w:val="center"/>
                </w:tcPr>
                <w:p w14:paraId="4F6B007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地表水</w:t>
                  </w:r>
                </w:p>
              </w:tc>
              <w:tc>
                <w:tcPr>
                  <w:tcW w:w="3235" w:type="dxa"/>
                  <w:noWrap w:val="0"/>
                  <w:vAlign w:val="center"/>
                </w:tcPr>
                <w:p w14:paraId="35D80C8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2736" w:type="dxa"/>
                  <w:noWrap w:val="0"/>
                  <w:vAlign w:val="center"/>
                </w:tcPr>
                <w:p w14:paraId="03A663F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项目</w:t>
                  </w:r>
                  <w:r>
                    <w:rPr>
                      <w:rFonts w:hint="eastAsia" w:cs="Times New Roman"/>
                      <w:color w:val="auto"/>
                      <w:kern w:val="0"/>
                      <w:sz w:val="21"/>
                      <w:szCs w:val="21"/>
                      <w:highlight w:val="none"/>
                      <w:vertAlign w:val="baseline"/>
                      <w:lang w:val="en-US" w:eastAsia="zh-CN"/>
                    </w:rPr>
                    <w:t>生活污水经处理达标后回用于绿化，不外排。项目无生产废水</w:t>
                  </w:r>
                  <w:r>
                    <w:rPr>
                      <w:rFonts w:hint="default" w:ascii="Times New Roman" w:hAnsi="Times New Roman" w:cs="Times New Roman"/>
                      <w:color w:val="auto"/>
                      <w:kern w:val="0"/>
                      <w:sz w:val="21"/>
                      <w:szCs w:val="21"/>
                      <w:highlight w:val="none"/>
                      <w:vertAlign w:val="baseline"/>
                      <w:lang w:val="en-US" w:eastAsia="zh-CN"/>
                    </w:rPr>
                    <w:t>。</w:t>
                  </w:r>
                </w:p>
              </w:tc>
              <w:tc>
                <w:tcPr>
                  <w:tcW w:w="1036" w:type="dxa"/>
                  <w:noWrap w:val="0"/>
                  <w:vAlign w:val="center"/>
                </w:tcPr>
                <w:p w14:paraId="3CF6D65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否</w:t>
                  </w:r>
                </w:p>
              </w:tc>
            </w:tr>
            <w:tr w14:paraId="23FA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8" w:type="dxa"/>
                  <w:noWrap w:val="0"/>
                  <w:vAlign w:val="center"/>
                </w:tcPr>
                <w:p w14:paraId="0CDF46D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环境风险</w:t>
                  </w:r>
                </w:p>
              </w:tc>
              <w:tc>
                <w:tcPr>
                  <w:tcW w:w="3235" w:type="dxa"/>
                  <w:noWrap w:val="0"/>
                  <w:vAlign w:val="center"/>
                </w:tcPr>
                <w:p w14:paraId="09FE7CA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2736" w:type="dxa"/>
                  <w:noWrap w:val="0"/>
                  <w:vAlign w:val="center"/>
                </w:tcPr>
                <w:p w14:paraId="54DC3EE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w:t>
                  </w:r>
                  <w:r>
                    <w:rPr>
                      <w:rFonts w:hint="eastAsia" w:ascii="Times New Roman" w:hAnsi="Times New Roman" w:eastAsia="宋体" w:cs="Times New Roman"/>
                      <w:color w:val="auto"/>
                      <w:kern w:val="0"/>
                      <w:sz w:val="21"/>
                      <w:szCs w:val="21"/>
                      <w:highlight w:val="none"/>
                      <w:vertAlign w:val="baseline"/>
                      <w:lang w:val="en-US" w:eastAsia="zh-CN"/>
                    </w:rPr>
                    <w:t>及</w:t>
                  </w: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w:t>
                  </w:r>
                  <w:r>
                    <w:rPr>
                      <w:rFonts w:hint="eastAsia" w:ascii="Times New Roman" w:hAnsi="Times New Roman" w:eastAsia="宋体" w:cs="Times New Roman"/>
                      <w:color w:val="auto"/>
                      <w:kern w:val="0"/>
                      <w:sz w:val="21"/>
                      <w:szCs w:val="21"/>
                      <w:highlight w:val="none"/>
                      <w:vertAlign w:val="baseline"/>
                      <w:lang w:val="en-US" w:eastAsia="zh-CN"/>
                    </w:rPr>
                    <w:t>暂存量</w:t>
                  </w:r>
                  <w:r>
                    <w:rPr>
                      <w:rFonts w:hint="eastAsia" w:cs="Times New Roman"/>
                      <w:color w:val="auto"/>
                      <w:kern w:val="0"/>
                      <w:sz w:val="21"/>
                      <w:szCs w:val="21"/>
                      <w:highlight w:val="none"/>
                      <w:vertAlign w:val="baseline"/>
                      <w:lang w:val="en-US" w:eastAsia="zh-CN"/>
                    </w:rPr>
                    <w:t>与</w:t>
                  </w:r>
                  <w:r>
                    <w:rPr>
                      <w:rFonts w:hint="eastAsia" w:ascii="Times New Roman" w:hAnsi="Times New Roman" w:eastAsia="宋体" w:cs="Times New Roman"/>
                      <w:color w:val="auto"/>
                      <w:kern w:val="0"/>
                      <w:sz w:val="21"/>
                      <w:szCs w:val="21"/>
                      <w:highlight w:val="none"/>
                      <w:vertAlign w:val="baseline"/>
                      <w:lang w:val="en-US" w:eastAsia="zh-CN"/>
                    </w:rPr>
                    <w:t>临界量</w:t>
                  </w:r>
                  <w:r>
                    <w:rPr>
                      <w:rFonts w:hint="eastAsia" w:cs="Times New Roman"/>
                      <w:color w:val="auto"/>
                      <w:highlight w:val="none"/>
                      <w:lang w:val="en-US" w:eastAsia="zh-CN"/>
                    </w:rPr>
                    <w:t>未超过临界量</w:t>
                  </w:r>
                  <w:r>
                    <w:rPr>
                      <w:rFonts w:hint="default" w:ascii="Times New Roman" w:hAnsi="Times New Roman" w:eastAsia="宋体" w:cs="Times New Roman"/>
                      <w:color w:val="auto"/>
                      <w:kern w:val="0"/>
                      <w:sz w:val="21"/>
                      <w:szCs w:val="21"/>
                      <w:highlight w:val="none"/>
                      <w:vertAlign w:val="baseline"/>
                      <w:lang w:val="en-US" w:eastAsia="zh-CN"/>
                    </w:rPr>
                    <w:t>。</w:t>
                  </w:r>
                </w:p>
              </w:tc>
              <w:tc>
                <w:tcPr>
                  <w:tcW w:w="1036" w:type="dxa"/>
                  <w:noWrap w:val="0"/>
                  <w:vAlign w:val="center"/>
                </w:tcPr>
                <w:p w14:paraId="66478FA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否</w:t>
                  </w:r>
                </w:p>
              </w:tc>
            </w:tr>
            <w:tr w14:paraId="0F97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8" w:type="dxa"/>
                  <w:noWrap w:val="0"/>
                  <w:vAlign w:val="center"/>
                </w:tcPr>
                <w:p w14:paraId="03BF1A4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生态</w:t>
                  </w:r>
                </w:p>
              </w:tc>
              <w:tc>
                <w:tcPr>
                  <w:tcW w:w="3235" w:type="dxa"/>
                  <w:noWrap w:val="0"/>
                  <w:vAlign w:val="center"/>
                </w:tcPr>
                <w:p w14:paraId="5CA1884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2736" w:type="dxa"/>
                  <w:noWrap w:val="0"/>
                  <w:vAlign w:val="center"/>
                </w:tcPr>
                <w:p w14:paraId="1CC3823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项目不设取水口</w:t>
                  </w:r>
                  <w:r>
                    <w:rPr>
                      <w:rFonts w:hint="default" w:ascii="Times New Roman" w:hAnsi="Times New Roman" w:eastAsia="宋体" w:cs="Times New Roman"/>
                      <w:color w:val="auto"/>
                      <w:kern w:val="0"/>
                      <w:sz w:val="21"/>
                      <w:szCs w:val="21"/>
                      <w:highlight w:val="none"/>
                      <w:vertAlign w:val="baseline"/>
                      <w:lang w:val="en-US" w:eastAsia="zh-CN"/>
                    </w:rPr>
                    <w:t>。</w:t>
                  </w:r>
                </w:p>
              </w:tc>
              <w:tc>
                <w:tcPr>
                  <w:tcW w:w="1036" w:type="dxa"/>
                  <w:noWrap w:val="0"/>
                  <w:vAlign w:val="center"/>
                </w:tcPr>
                <w:p w14:paraId="16D994F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否</w:t>
                  </w:r>
                </w:p>
              </w:tc>
            </w:tr>
            <w:tr w14:paraId="1ACE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58" w:type="dxa"/>
                  <w:noWrap w:val="0"/>
                  <w:vAlign w:val="center"/>
                </w:tcPr>
                <w:p w14:paraId="1DB0542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海洋</w:t>
                  </w:r>
                </w:p>
              </w:tc>
              <w:tc>
                <w:tcPr>
                  <w:tcW w:w="3235" w:type="dxa"/>
                  <w:noWrap w:val="0"/>
                  <w:vAlign w:val="center"/>
                </w:tcPr>
                <w:p w14:paraId="4F933DF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2736" w:type="dxa"/>
                  <w:noWrap w:val="0"/>
                  <w:vAlign w:val="center"/>
                </w:tcPr>
                <w:p w14:paraId="53C114F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w:t>
                  </w:r>
                  <w:r>
                    <w:rPr>
                      <w:rFonts w:hint="eastAsia" w:ascii="Times New Roman" w:hAnsi="Times New Roman" w:eastAsia="宋体" w:cs="Times New Roman"/>
                      <w:color w:val="auto"/>
                      <w:kern w:val="0"/>
                      <w:sz w:val="21"/>
                      <w:szCs w:val="21"/>
                      <w:highlight w:val="none"/>
                      <w:vertAlign w:val="baseline"/>
                      <w:lang w:val="en-US" w:eastAsia="zh-CN"/>
                    </w:rPr>
                    <w:t>不属于</w:t>
                  </w:r>
                  <w:r>
                    <w:rPr>
                      <w:rFonts w:hint="default" w:ascii="Times New Roman" w:hAnsi="Times New Roman" w:eastAsia="宋体" w:cs="Times New Roman"/>
                      <w:color w:val="auto"/>
                      <w:kern w:val="0"/>
                      <w:sz w:val="21"/>
                      <w:szCs w:val="21"/>
                      <w:highlight w:val="none"/>
                      <w:vertAlign w:val="baseline"/>
                      <w:lang w:val="en-US" w:eastAsia="zh-CN"/>
                    </w:rPr>
                    <w:t>海洋工程建设项目</w:t>
                  </w:r>
                  <w:r>
                    <w:rPr>
                      <w:rFonts w:hint="eastAsia" w:ascii="Times New Roman" w:hAnsi="Times New Roman" w:eastAsia="宋体" w:cs="Times New Roman"/>
                      <w:color w:val="auto"/>
                      <w:kern w:val="0"/>
                      <w:sz w:val="21"/>
                      <w:szCs w:val="21"/>
                      <w:highlight w:val="none"/>
                      <w:vertAlign w:val="baseline"/>
                      <w:lang w:val="en-US" w:eastAsia="zh-CN"/>
                    </w:rPr>
                    <w:t>，</w:t>
                  </w:r>
                  <w:r>
                    <w:rPr>
                      <w:rFonts w:hint="default" w:ascii="Times New Roman" w:hAnsi="Times New Roman" w:eastAsia="宋体" w:cs="Times New Roman"/>
                      <w:color w:val="auto"/>
                      <w:kern w:val="0"/>
                      <w:sz w:val="21"/>
                      <w:szCs w:val="21"/>
                      <w:highlight w:val="none"/>
                      <w:vertAlign w:val="baseline"/>
                      <w:lang w:val="en-US" w:eastAsia="zh-CN"/>
                    </w:rPr>
                    <w:t>不向海洋排放污染物。</w:t>
                  </w:r>
                </w:p>
              </w:tc>
              <w:tc>
                <w:tcPr>
                  <w:tcW w:w="1036" w:type="dxa"/>
                  <w:noWrap w:val="0"/>
                  <w:vAlign w:val="center"/>
                </w:tcPr>
                <w:p w14:paraId="727421B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否</w:t>
                  </w:r>
                </w:p>
              </w:tc>
            </w:tr>
            <w:tr w14:paraId="41BE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65" w:type="dxa"/>
                  <w:gridSpan w:val="4"/>
                  <w:noWrap w:val="0"/>
                  <w:vAlign w:val="center"/>
                </w:tcPr>
                <w:p w14:paraId="3233C7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14:paraId="49AB66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14:paraId="2C98F3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w:t>
                  </w:r>
                  <w:r>
                    <w:rPr>
                      <w:rFonts w:hint="eastAsia" w:ascii="Times New Roman" w:hAnsi="Times New Roman" w:eastAsia="宋体" w:cs="Times New Roman"/>
                      <w:color w:val="auto"/>
                      <w:kern w:val="0"/>
                      <w:sz w:val="21"/>
                      <w:szCs w:val="21"/>
                      <w:highlight w:val="none"/>
                      <w:vertAlign w:val="baseline"/>
                      <w:lang w:val="en-US" w:eastAsia="zh-CN"/>
                    </w:rPr>
                    <w:t>及</w:t>
                  </w:r>
                  <w:r>
                    <w:rPr>
                      <w:rFonts w:hint="default" w:ascii="Times New Roman" w:hAnsi="Times New Roman" w:eastAsia="宋体" w:cs="Times New Roman"/>
                      <w:color w:val="auto"/>
                      <w:kern w:val="0"/>
                      <w:sz w:val="21"/>
                      <w:szCs w:val="21"/>
                      <w:highlight w:val="none"/>
                      <w:vertAlign w:val="baseline"/>
                      <w:lang w:val="en-US" w:eastAsia="zh-CN"/>
                    </w:rPr>
                    <w:t>其计算方法可参考《建设项目环境风险评价技术导则》（HJ 169）附录B、附录C.。</w:t>
                  </w:r>
                </w:p>
              </w:tc>
            </w:tr>
          </w:tbl>
          <w:p w14:paraId="179F4EF3">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宋体"/>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vertAlign w:val="baseline"/>
                <w:lang w:val="en-US" w:eastAsia="zh-CN"/>
              </w:rPr>
              <w:t>由上表可知，</w:t>
            </w:r>
            <w:r>
              <w:rPr>
                <w:rFonts w:hint="eastAsia" w:ascii="Times New Roman" w:hAnsi="Times New Roman" w:cs="Times New Roman"/>
                <w:b w:val="0"/>
                <w:bCs w:val="0"/>
                <w:color w:val="auto"/>
                <w:kern w:val="0"/>
                <w:sz w:val="24"/>
                <w:szCs w:val="24"/>
                <w:highlight w:val="none"/>
                <w:vertAlign w:val="baseline"/>
                <w:lang w:val="en-US" w:eastAsia="zh-CN"/>
              </w:rPr>
              <w:t>本</w:t>
            </w:r>
            <w:r>
              <w:rPr>
                <w:rFonts w:hint="default" w:ascii="Times New Roman" w:hAnsi="Times New Roman" w:cs="Times New Roman"/>
                <w:b w:val="0"/>
                <w:bCs w:val="0"/>
                <w:color w:val="auto"/>
                <w:kern w:val="0"/>
                <w:sz w:val="24"/>
                <w:szCs w:val="24"/>
                <w:highlight w:val="none"/>
                <w:vertAlign w:val="baseline"/>
                <w:lang w:val="en-US" w:eastAsia="zh-CN"/>
              </w:rPr>
              <w:t>项目</w:t>
            </w:r>
            <w:r>
              <w:rPr>
                <w:rFonts w:hint="eastAsia" w:cs="Times New Roman"/>
                <w:b w:val="0"/>
                <w:bCs w:val="0"/>
                <w:color w:val="auto"/>
                <w:kern w:val="0"/>
                <w:sz w:val="24"/>
                <w:szCs w:val="24"/>
                <w:highlight w:val="none"/>
                <w:vertAlign w:val="baseline"/>
                <w:lang w:val="en-US" w:eastAsia="zh-CN"/>
              </w:rPr>
              <w:t>无需</w:t>
            </w:r>
            <w:r>
              <w:rPr>
                <w:rFonts w:hint="default" w:ascii="Times New Roman" w:hAnsi="Times New Roman" w:cs="Times New Roman"/>
                <w:b w:val="0"/>
                <w:bCs w:val="0"/>
                <w:color w:val="auto"/>
                <w:kern w:val="0"/>
                <w:sz w:val="24"/>
                <w:szCs w:val="24"/>
                <w:highlight w:val="none"/>
                <w:vertAlign w:val="baseline"/>
                <w:lang w:val="en-US" w:eastAsia="zh-CN"/>
              </w:rPr>
              <w:t>设置专项评价</w:t>
            </w:r>
            <w:r>
              <w:rPr>
                <w:rFonts w:hint="eastAsia" w:ascii="Times New Roman" w:hAnsi="Times New Roman" w:cs="Times New Roman"/>
                <w:b w:val="0"/>
                <w:bCs w:val="0"/>
                <w:color w:val="auto"/>
                <w:kern w:val="0"/>
                <w:sz w:val="24"/>
                <w:szCs w:val="24"/>
                <w:highlight w:val="none"/>
                <w:vertAlign w:val="baseline"/>
                <w:lang w:val="en-US" w:eastAsia="zh-CN"/>
              </w:rPr>
              <w:t>。</w:t>
            </w:r>
          </w:p>
        </w:tc>
      </w:tr>
      <w:tr w14:paraId="064F5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2" w:type="dxa"/>
            <w:noWrap w:val="0"/>
            <w:vAlign w:val="center"/>
          </w:tcPr>
          <w:p w14:paraId="3ED0BDB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Times New Roman" w:hAnsi="Times New Roman" w:eastAsia="宋体" w:cs="宋体"/>
                <w:color w:val="auto"/>
                <w:kern w:val="0"/>
                <w:sz w:val="24"/>
                <w:szCs w:val="24"/>
              </w:rPr>
            </w:pPr>
            <w:r>
              <w:rPr>
                <w:rFonts w:hint="eastAsia" w:ascii="Times New Roman" w:hAnsi="Times New Roman" w:eastAsia="宋体" w:cs="宋体"/>
                <w:color w:val="auto"/>
                <w:sz w:val="24"/>
                <w:szCs w:val="24"/>
              </w:rPr>
              <w:t>规划情况</w:t>
            </w:r>
          </w:p>
        </w:tc>
        <w:tc>
          <w:tcPr>
            <w:tcW w:w="7994" w:type="dxa"/>
            <w:gridSpan w:val="5"/>
            <w:noWrap w:val="0"/>
            <w:vAlign w:val="center"/>
          </w:tcPr>
          <w:p w14:paraId="5DA75F57">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1、规划相关文件</w:t>
            </w:r>
          </w:p>
          <w:p w14:paraId="74736013">
            <w:pPr>
              <w:keepNext w:val="0"/>
              <w:keepLines w:val="0"/>
              <w:suppressLineNumbers w:val="0"/>
              <w:adjustRightInd w:val="0"/>
              <w:snapToGrid w:val="0"/>
              <w:spacing w:before="0" w:beforeAutospacing="0" w:after="0" w:afterAutospacing="0" w:line="360" w:lineRule="auto"/>
              <w:ind w:left="0" w:right="0" w:firstLine="482" w:firstLineChars="200"/>
              <w:rPr>
                <w:rFonts w:hint="eastAsia"/>
                <w:b/>
                <w:bCs/>
                <w:color w:val="auto"/>
                <w:sz w:val="24"/>
                <w:szCs w:val="24"/>
                <w:highlight w:val="none"/>
                <w:lang w:val="zh-CN" w:eastAsia="zh-CN"/>
              </w:rPr>
            </w:pPr>
            <w:r>
              <w:rPr>
                <w:rFonts w:hint="eastAsia"/>
                <w:b/>
                <w:bCs/>
                <w:color w:val="auto"/>
                <w:sz w:val="24"/>
                <w:szCs w:val="24"/>
                <w:highlight w:val="none"/>
                <w:lang w:val="zh-CN" w:eastAsia="zh-CN"/>
              </w:rPr>
              <w:t>规划名称：</w:t>
            </w:r>
            <w:r>
              <w:rPr>
                <w:rFonts w:hint="eastAsia"/>
                <w:b w:val="0"/>
                <w:bCs w:val="0"/>
                <w:color w:val="auto"/>
                <w:sz w:val="24"/>
                <w:szCs w:val="24"/>
                <w:highlight w:val="none"/>
                <w:lang w:val="zh-CN" w:eastAsia="zh-CN"/>
              </w:rPr>
              <w:t>《</w:t>
            </w:r>
            <w:r>
              <w:rPr>
                <w:rFonts w:hint="eastAsia"/>
                <w:b w:val="0"/>
                <w:bCs w:val="0"/>
                <w:color w:val="auto"/>
                <w:sz w:val="24"/>
                <w:szCs w:val="24"/>
                <w:highlight w:val="none"/>
                <w:lang w:val="en-US" w:eastAsia="zh-CN"/>
              </w:rPr>
              <w:t>云南寻甸产业园区总体规划修编（2021-2035年）</w:t>
            </w:r>
            <w:r>
              <w:rPr>
                <w:rFonts w:hint="eastAsia"/>
                <w:b w:val="0"/>
                <w:bCs w:val="0"/>
                <w:color w:val="auto"/>
                <w:sz w:val="24"/>
                <w:szCs w:val="24"/>
                <w:highlight w:val="none"/>
                <w:lang w:val="zh-CN" w:eastAsia="zh-CN"/>
              </w:rPr>
              <w:t>》</w:t>
            </w:r>
          </w:p>
          <w:p w14:paraId="4624BD9E">
            <w:pPr>
              <w:keepNext w:val="0"/>
              <w:keepLines w:val="0"/>
              <w:suppressLineNumbers w:val="0"/>
              <w:adjustRightInd w:val="0"/>
              <w:snapToGrid w:val="0"/>
              <w:spacing w:before="0" w:beforeAutospacing="0" w:after="0" w:afterAutospacing="0" w:line="360" w:lineRule="auto"/>
              <w:ind w:left="0" w:right="0" w:firstLine="482" w:firstLineChars="200"/>
              <w:rPr>
                <w:rFonts w:hint="eastAsia"/>
                <w:b w:val="0"/>
                <w:bCs w:val="0"/>
                <w:color w:val="auto"/>
                <w:sz w:val="24"/>
                <w:szCs w:val="24"/>
                <w:highlight w:val="none"/>
                <w:lang w:val="zh-CN" w:eastAsia="zh-CN"/>
              </w:rPr>
            </w:pPr>
            <w:r>
              <w:rPr>
                <w:rFonts w:hint="eastAsia"/>
                <w:b/>
                <w:bCs/>
                <w:color w:val="auto"/>
                <w:sz w:val="24"/>
                <w:szCs w:val="24"/>
                <w:highlight w:val="none"/>
                <w:lang w:val="zh-CN" w:eastAsia="zh-CN"/>
              </w:rPr>
              <w:t>审批机关：</w:t>
            </w:r>
            <w:r>
              <w:rPr>
                <w:rFonts w:hint="eastAsia"/>
                <w:b w:val="0"/>
                <w:bCs w:val="0"/>
                <w:color w:val="auto"/>
                <w:sz w:val="24"/>
                <w:szCs w:val="24"/>
                <w:highlight w:val="none"/>
                <w:lang w:val="zh-CN" w:eastAsia="zh-CN"/>
              </w:rPr>
              <w:t>云南省工业和信息化委</w:t>
            </w:r>
          </w:p>
          <w:p w14:paraId="1F1ADA21">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宋体"/>
                <w:color w:val="auto"/>
                <w:kern w:val="0"/>
                <w:sz w:val="24"/>
                <w:szCs w:val="24"/>
                <w:highlight w:val="none"/>
                <w:lang w:eastAsia="zh-CN"/>
              </w:rPr>
            </w:pPr>
            <w:r>
              <w:rPr>
                <w:rFonts w:hint="eastAsia" w:cs="Times New Roman"/>
                <w:b/>
                <w:bCs/>
                <w:color w:val="auto"/>
                <w:sz w:val="24"/>
                <w:szCs w:val="24"/>
                <w:highlight w:val="none"/>
                <w:lang w:val="zh-CN" w:eastAsia="zh-CN"/>
              </w:rPr>
              <w:t>审批文件名称及文号：</w:t>
            </w:r>
            <w:r>
              <w:rPr>
                <w:rFonts w:hint="eastAsia" w:cs="Times New Roman"/>
                <w:color w:val="auto"/>
                <w:sz w:val="24"/>
                <w:szCs w:val="24"/>
                <w:highlight w:val="none"/>
                <w:lang w:val="zh-CN" w:eastAsia="zh-CN"/>
              </w:rPr>
              <w:t>无</w:t>
            </w:r>
          </w:p>
        </w:tc>
      </w:tr>
      <w:tr w14:paraId="68E6D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32" w:type="dxa"/>
            <w:noWrap w:val="0"/>
            <w:vAlign w:val="center"/>
          </w:tcPr>
          <w:p w14:paraId="201AFE7A">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sz w:val="24"/>
                <w:szCs w:val="24"/>
              </w:rPr>
            </w:pPr>
            <w:r>
              <w:rPr>
                <w:rFonts w:hint="eastAsia" w:ascii="Times New Roman" w:hAnsi="Times New Roman" w:eastAsia="宋体" w:cs="宋体"/>
                <w:color w:val="auto"/>
                <w:sz w:val="24"/>
                <w:szCs w:val="24"/>
              </w:rPr>
              <w:t>规划环境影响</w:t>
            </w:r>
          </w:p>
          <w:p w14:paraId="69910398">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Times New Roman" w:hAnsi="Times New Roman" w:eastAsia="宋体" w:cs="宋体"/>
                <w:color w:val="auto"/>
                <w:kern w:val="0"/>
                <w:sz w:val="24"/>
                <w:szCs w:val="24"/>
              </w:rPr>
            </w:pPr>
            <w:r>
              <w:rPr>
                <w:rFonts w:hint="eastAsia" w:ascii="Times New Roman" w:hAnsi="Times New Roman" w:eastAsia="宋体" w:cs="宋体"/>
                <w:color w:val="auto"/>
                <w:sz w:val="24"/>
                <w:szCs w:val="24"/>
              </w:rPr>
              <w:t>评价情况</w:t>
            </w:r>
          </w:p>
        </w:tc>
        <w:tc>
          <w:tcPr>
            <w:tcW w:w="7994" w:type="dxa"/>
            <w:gridSpan w:val="5"/>
            <w:noWrap w:val="0"/>
            <w:vAlign w:val="center"/>
          </w:tcPr>
          <w:p w14:paraId="084DB0E2">
            <w:pPr>
              <w:pStyle w:val="73"/>
              <w:keepNext w:val="0"/>
              <w:keepLines w:val="0"/>
              <w:suppressLineNumbers w:val="0"/>
              <w:adjustRightInd/>
              <w:spacing w:before="0" w:beforeAutospacing="0" w:after="0" w:afterAutospacing="0"/>
              <w:ind w:left="0" w:right="0"/>
              <w:rPr>
                <w:rFonts w:hint="eastAsia" w:cs="Times New Roman"/>
                <w:b/>
                <w:bCs/>
                <w:color w:val="auto"/>
                <w:highlight w:val="none"/>
                <w:lang w:val="en-US" w:eastAsia="zh-CN"/>
              </w:rPr>
            </w:pPr>
            <w:r>
              <w:rPr>
                <w:rFonts w:hint="eastAsia" w:cs="Times New Roman"/>
                <w:b/>
                <w:bCs/>
                <w:color w:val="auto"/>
                <w:highlight w:val="none"/>
                <w:lang w:val="en-US" w:eastAsia="zh-CN"/>
              </w:rPr>
              <w:t>1、规划环评相关文件</w:t>
            </w:r>
          </w:p>
          <w:p w14:paraId="5235679B">
            <w:pPr>
              <w:pStyle w:val="73"/>
              <w:keepNext w:val="0"/>
              <w:keepLines w:val="0"/>
              <w:suppressLineNumbers w:val="0"/>
              <w:adjustRightInd/>
              <w:spacing w:before="0" w:beforeAutospacing="0" w:after="0" w:afterAutospacing="0"/>
              <w:ind w:left="0" w:right="0"/>
              <w:rPr>
                <w:rFonts w:hint="eastAsia" w:cs="Times New Roman"/>
                <w:color w:val="auto"/>
                <w:highlight w:val="none"/>
                <w:lang w:val="en-US" w:eastAsia="zh-CN"/>
              </w:rPr>
            </w:pPr>
            <w:r>
              <w:rPr>
                <w:rFonts w:hint="eastAsia" w:cs="Times New Roman"/>
                <w:b/>
                <w:bCs/>
                <w:color w:val="auto"/>
                <w:highlight w:val="none"/>
                <w:lang w:val="zh-CN" w:eastAsia="zh-CN"/>
              </w:rPr>
              <w:t>相关规划环评名称：</w:t>
            </w:r>
            <w:r>
              <w:rPr>
                <w:rFonts w:hint="eastAsia" w:cs="Times New Roman"/>
                <w:color w:val="auto"/>
                <w:highlight w:val="none"/>
                <w:lang w:val="en-US" w:eastAsia="zh-CN"/>
              </w:rPr>
              <w:t>《云南寻甸产业园区总体规划修编（2021-2035年）环境影响报告书》；</w:t>
            </w:r>
          </w:p>
          <w:p w14:paraId="283AE8CB">
            <w:pPr>
              <w:pStyle w:val="73"/>
              <w:keepNext w:val="0"/>
              <w:keepLines w:val="0"/>
              <w:suppressLineNumbers w:val="0"/>
              <w:adjustRightInd/>
              <w:spacing w:before="0" w:beforeAutospacing="0" w:after="0" w:afterAutospacing="0"/>
              <w:ind w:left="0" w:right="0"/>
              <w:rPr>
                <w:rFonts w:hint="eastAsia" w:cs="Times New Roman"/>
                <w:color w:val="auto"/>
                <w:highlight w:val="none"/>
                <w:lang w:val="en-US" w:eastAsia="zh-CN"/>
              </w:rPr>
            </w:pPr>
            <w:r>
              <w:rPr>
                <w:rFonts w:hint="eastAsia" w:cs="Times New Roman"/>
                <w:b/>
                <w:bCs/>
                <w:color w:val="auto"/>
                <w:highlight w:val="none"/>
                <w:lang w:val="en-US" w:eastAsia="zh-CN"/>
              </w:rPr>
              <w:t>审批机关：</w:t>
            </w:r>
            <w:r>
              <w:rPr>
                <w:rFonts w:hint="eastAsia" w:cs="Times New Roman"/>
                <w:color w:val="auto"/>
                <w:highlight w:val="none"/>
                <w:lang w:val="en-US" w:eastAsia="zh-CN"/>
              </w:rPr>
              <w:t>云南省生态环境厅；</w:t>
            </w:r>
          </w:p>
          <w:p w14:paraId="0F660770">
            <w:pPr>
              <w:pStyle w:val="73"/>
              <w:keepNext w:val="0"/>
              <w:keepLines w:val="0"/>
              <w:suppressLineNumbers w:val="0"/>
              <w:adjustRightInd/>
              <w:spacing w:before="0" w:beforeAutospacing="0" w:after="0" w:afterAutospacing="0"/>
              <w:ind w:left="0" w:leftChars="0" w:right="0" w:rightChars="0" w:firstLine="482" w:firstLineChars="200"/>
              <w:rPr>
                <w:rFonts w:hint="eastAsia" w:ascii="Times New Roman" w:hAnsi="Times New Roman" w:eastAsia="宋体" w:cs="宋体"/>
                <w:color w:val="auto"/>
                <w:kern w:val="0"/>
                <w:sz w:val="24"/>
                <w:szCs w:val="24"/>
                <w:highlight w:val="none"/>
                <w:lang w:eastAsia="zh-CN"/>
              </w:rPr>
            </w:pPr>
            <w:r>
              <w:rPr>
                <w:rFonts w:hint="eastAsia" w:cs="Times New Roman"/>
                <w:b/>
                <w:bCs/>
                <w:color w:val="auto"/>
                <w:highlight w:val="none"/>
                <w:lang w:val="zh-CN" w:eastAsia="zh-CN"/>
              </w:rPr>
              <w:t>审批文件名称及文号：</w:t>
            </w:r>
            <w:r>
              <w:rPr>
                <w:rFonts w:hint="eastAsia" w:cs="Times New Roman"/>
                <w:color w:val="auto"/>
                <w:highlight w:val="none"/>
                <w:lang w:val="en-US" w:eastAsia="zh-CN"/>
              </w:rPr>
              <w:t>昆明市生态环境局</w:t>
            </w:r>
            <w:r>
              <w:rPr>
                <w:rFonts w:hint="eastAsia" w:cs="Times New Roman"/>
                <w:color w:val="auto"/>
                <w:highlight w:val="none"/>
                <w:lang w:val="zh-CN" w:eastAsia="zh-CN"/>
              </w:rPr>
              <w:t>关于《</w:t>
            </w:r>
            <w:r>
              <w:rPr>
                <w:rFonts w:hint="eastAsia"/>
                <w:b w:val="0"/>
                <w:bCs w:val="0"/>
                <w:color w:val="auto"/>
                <w:sz w:val="24"/>
                <w:szCs w:val="24"/>
                <w:highlight w:val="none"/>
                <w:lang w:val="zh-CN" w:eastAsia="zh-CN"/>
              </w:rPr>
              <w:t>《</w:t>
            </w:r>
            <w:r>
              <w:rPr>
                <w:rFonts w:hint="eastAsia"/>
                <w:b w:val="0"/>
                <w:bCs w:val="0"/>
                <w:color w:val="auto"/>
                <w:sz w:val="24"/>
                <w:szCs w:val="24"/>
                <w:highlight w:val="none"/>
                <w:lang w:val="en-US" w:eastAsia="zh-CN"/>
              </w:rPr>
              <w:t>云南寻甸产业园区总体规划修编（2021-2035年）</w:t>
            </w:r>
            <w:r>
              <w:rPr>
                <w:rFonts w:hint="eastAsia"/>
                <w:b w:val="0"/>
                <w:bCs w:val="0"/>
                <w:color w:val="auto"/>
                <w:sz w:val="24"/>
                <w:szCs w:val="24"/>
                <w:highlight w:val="none"/>
                <w:lang w:val="zh-CN" w:eastAsia="zh-CN"/>
              </w:rPr>
              <w:t>》</w:t>
            </w:r>
            <w:r>
              <w:rPr>
                <w:rFonts w:hint="eastAsia" w:cs="Times New Roman"/>
                <w:color w:val="auto"/>
                <w:highlight w:val="none"/>
                <w:lang w:val="zh-CN" w:eastAsia="zh-CN"/>
              </w:rPr>
              <w:t>环境影响报告书》审查意见的函（</w:t>
            </w:r>
            <w:r>
              <w:rPr>
                <w:rFonts w:hint="eastAsia" w:cs="Times New Roman"/>
                <w:color w:val="auto"/>
                <w:highlight w:val="none"/>
                <w:lang w:val="en-US" w:eastAsia="zh-CN"/>
              </w:rPr>
              <w:t>昆环审</w:t>
            </w:r>
            <w:r>
              <w:rPr>
                <w:rFonts w:hint="eastAsia" w:cs="Times New Roman"/>
                <w:color w:val="auto"/>
                <w:highlight w:val="none"/>
                <w:lang w:val="zh-CN" w:eastAsia="zh-CN"/>
              </w:rPr>
              <w:t>【20</w:t>
            </w:r>
            <w:r>
              <w:rPr>
                <w:rFonts w:hint="eastAsia" w:cs="Times New Roman"/>
                <w:color w:val="auto"/>
                <w:highlight w:val="none"/>
                <w:lang w:val="en-US" w:eastAsia="zh-CN"/>
              </w:rPr>
              <w:t>23</w:t>
            </w:r>
            <w:r>
              <w:rPr>
                <w:rFonts w:hint="eastAsia" w:cs="Times New Roman"/>
                <w:color w:val="auto"/>
                <w:highlight w:val="none"/>
                <w:lang w:val="zh-CN" w:eastAsia="zh-CN"/>
              </w:rPr>
              <w:t>】</w:t>
            </w:r>
            <w:r>
              <w:rPr>
                <w:rFonts w:hint="eastAsia" w:cs="Times New Roman"/>
                <w:color w:val="auto"/>
                <w:highlight w:val="none"/>
                <w:lang w:val="en-US" w:eastAsia="zh-CN"/>
              </w:rPr>
              <w:t>5</w:t>
            </w:r>
            <w:r>
              <w:rPr>
                <w:rFonts w:hint="eastAsia" w:cs="Times New Roman"/>
                <w:color w:val="auto"/>
                <w:highlight w:val="none"/>
                <w:lang w:val="zh-CN" w:eastAsia="zh-CN"/>
              </w:rPr>
              <w:t>号）</w:t>
            </w:r>
          </w:p>
        </w:tc>
      </w:tr>
      <w:tr w14:paraId="111CD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32" w:type="dxa"/>
            <w:noWrap w:val="0"/>
            <w:vAlign w:val="center"/>
          </w:tcPr>
          <w:p w14:paraId="5A76226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rPr>
              <w:t>规划及规划环境影响评价符合性分析</w:t>
            </w:r>
          </w:p>
        </w:tc>
        <w:tc>
          <w:tcPr>
            <w:tcW w:w="7994" w:type="dxa"/>
            <w:gridSpan w:val="5"/>
            <w:noWrap w:val="0"/>
            <w:vAlign w:val="center"/>
          </w:tcPr>
          <w:p w14:paraId="774A3AD7">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b/>
                <w:bCs/>
                <w:color w:val="auto"/>
                <w:kern w:val="0"/>
                <w:sz w:val="24"/>
                <w:highlight w:val="none"/>
              </w:rPr>
            </w:pPr>
            <w:r>
              <w:rPr>
                <w:rFonts w:hint="eastAsia"/>
                <w:b/>
                <w:bCs/>
                <w:color w:val="auto"/>
                <w:kern w:val="0"/>
                <w:sz w:val="24"/>
                <w:highlight w:val="none"/>
                <w:lang w:val="en-US" w:eastAsia="zh-CN"/>
              </w:rPr>
              <w:t>1、</w:t>
            </w:r>
            <w:r>
              <w:rPr>
                <w:rFonts w:hint="default"/>
                <w:b/>
                <w:bCs/>
                <w:color w:val="auto"/>
                <w:kern w:val="0"/>
                <w:sz w:val="24"/>
                <w:highlight w:val="none"/>
              </w:rPr>
              <w:t>与</w:t>
            </w:r>
            <w:r>
              <w:rPr>
                <w:rFonts w:hint="eastAsia"/>
                <w:b/>
                <w:bCs/>
                <w:color w:val="auto"/>
                <w:sz w:val="24"/>
                <w:szCs w:val="24"/>
                <w:highlight w:val="none"/>
                <w:lang w:val="zh-CN" w:eastAsia="zh-CN"/>
              </w:rPr>
              <w:t>《</w:t>
            </w:r>
            <w:r>
              <w:rPr>
                <w:rFonts w:hint="eastAsia"/>
                <w:b/>
                <w:bCs/>
                <w:color w:val="auto"/>
                <w:sz w:val="24"/>
                <w:szCs w:val="24"/>
                <w:highlight w:val="none"/>
                <w:lang w:val="en-US" w:eastAsia="zh-CN"/>
              </w:rPr>
              <w:t>云南寻甸产业园区总体规划修编（2021-2035年）</w:t>
            </w:r>
            <w:r>
              <w:rPr>
                <w:rFonts w:hint="eastAsia"/>
                <w:b/>
                <w:bCs/>
                <w:color w:val="auto"/>
                <w:sz w:val="24"/>
                <w:szCs w:val="24"/>
                <w:highlight w:val="none"/>
                <w:lang w:val="zh-CN" w:eastAsia="zh-CN"/>
              </w:rPr>
              <w:t>》</w:t>
            </w:r>
            <w:r>
              <w:rPr>
                <w:rFonts w:hint="default"/>
                <w:b/>
                <w:bCs/>
                <w:color w:val="auto"/>
                <w:kern w:val="0"/>
                <w:sz w:val="24"/>
                <w:highlight w:val="none"/>
              </w:rPr>
              <w:t>相符性分析</w:t>
            </w:r>
          </w:p>
          <w:p w14:paraId="6E29FCF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云南寻甸产业园区总体规划修编（2021-2035年）</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，云南寻甸产业园区至2035年园区总面积控制为11.78km</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（1178.38公顷），由“一园三片”组成，即羊街片区、金所（天生桥）片区、倘甸片区，其中金所片区规划面积6.62km</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（662.27公顷）</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羊街片区规划面积2.63km</w:t>
            </w:r>
            <w:r>
              <w:rPr>
                <w:rFonts w:hint="default" w:ascii="Times New Roman" w:hAnsi="Times New Roman" w:eastAsia="宋体" w:cs="Times New Roman"/>
                <w:color w:val="auto"/>
                <w:sz w:val="24"/>
                <w:szCs w:val="24"/>
                <w:highlight w:val="none"/>
                <w:u w:val="none"/>
                <w:vertAlign w:val="superscript"/>
                <w:lang w:val="en-US" w:eastAsia="zh-CN"/>
              </w:rPr>
              <w:t xml:space="preserve">2 </w:t>
            </w:r>
            <w:r>
              <w:rPr>
                <w:rFonts w:hint="default" w:ascii="Times New Roman" w:hAnsi="Times New Roman" w:eastAsia="宋体" w:cs="Times New Roman"/>
                <w:color w:val="auto"/>
                <w:sz w:val="24"/>
                <w:szCs w:val="24"/>
                <w:highlight w:val="none"/>
                <w:u w:val="none"/>
                <w:lang w:val="en-US" w:eastAsia="zh-CN"/>
              </w:rPr>
              <w:t>（263.39 公顷）</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倘甸片区规划面积2.53km</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（252.72公顷）。本次规划修编将原规划</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一园两片区（总面积为18.23km</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调整为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一园三片区（11.78km</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，总规划面积减小6.45km</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，其中保留的金所片区较原规划面积缩小2.97km</w:t>
            </w:r>
            <w:r>
              <w:rPr>
                <w:rFonts w:hint="default" w:ascii="Times New Roman" w:hAnsi="Times New Roman" w:eastAsia="宋体"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，羊街片区较原规划面积缩小6.01km</w:t>
            </w:r>
            <w:r>
              <w:rPr>
                <w:rFonts w:hint="eastAsia" w:ascii="Times New Roman" w:hAnsi="Times New Roman" w:cs="Times New Roman"/>
                <w:color w:val="auto"/>
                <w:sz w:val="24"/>
                <w:szCs w:val="24"/>
                <w:highlight w:val="none"/>
                <w:u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。主要产业发展定位为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云南省层面一云南省省级园区产镇融合的先导区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滇东北城市群层面一滇中及滇东北城市群的产业转移集聚区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昆明市层面一昆明东部工业走廊的产业门户重地</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寻甸县层面一寻甸产业整合进园发展的承载重地。即园区定位为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消费品食品制造为主导，以绿色化工、先进装备制造为辅导产业（由</w:t>
            </w:r>
            <w:r>
              <w:rPr>
                <w:rFonts w:hint="eastAsia" w:cs="Times New Roman"/>
                <w:color w:val="auto"/>
                <w:sz w:val="24"/>
                <w:szCs w:val="24"/>
                <w:highlight w:val="none"/>
                <w:u w:val="none"/>
                <w:lang w:val="en-US" w:eastAsia="zh-CN"/>
              </w:rPr>
              <w:t>县委县政府</w:t>
            </w:r>
            <w:r>
              <w:rPr>
                <w:rFonts w:hint="default" w:ascii="Times New Roman" w:hAnsi="Times New Roman" w:eastAsia="宋体" w:cs="Times New Roman"/>
                <w:color w:val="auto"/>
                <w:sz w:val="24"/>
                <w:szCs w:val="24"/>
                <w:highlight w:val="none"/>
                <w:u w:val="none"/>
                <w:lang w:val="en-US" w:eastAsia="zh-CN"/>
              </w:rPr>
              <w:t>专题会议及工信委牵头</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一主两辅</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统筹研究确定）</w:t>
            </w:r>
            <w:r>
              <w:rPr>
                <w:rFonts w:hint="eastAsia" w:ascii="Times New Roman" w:hAnsi="Times New Roman" w:cs="Times New Roman"/>
                <w:color w:val="auto"/>
                <w:sz w:val="24"/>
                <w:szCs w:val="24"/>
                <w:highlight w:val="none"/>
                <w:u w:val="none"/>
                <w:lang w:val="en-US" w:eastAsia="zh-CN"/>
              </w:rPr>
              <w:t>”。</w:t>
            </w:r>
          </w:p>
          <w:p w14:paraId="30B693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u w:val="none"/>
                <w:lang w:val="en-US" w:eastAsia="zh-CN"/>
              </w:rPr>
              <w:t>本项目位于云南省昆明市寻甸县特色产业园区</w:t>
            </w:r>
            <w:r>
              <w:rPr>
                <w:rFonts w:hint="eastAsia" w:cs="Times New Roman"/>
                <w:color w:val="auto"/>
                <w:sz w:val="24"/>
                <w:szCs w:val="24"/>
                <w:highlight w:val="none"/>
                <w:u w:val="none"/>
                <w:lang w:val="en-US" w:eastAsia="zh-CN"/>
              </w:rPr>
              <w:t>羊街</w:t>
            </w:r>
            <w:r>
              <w:rPr>
                <w:rFonts w:hint="default" w:ascii="Times New Roman" w:hAnsi="Times New Roman" w:eastAsia="宋体" w:cs="Times New Roman"/>
                <w:color w:val="auto"/>
                <w:sz w:val="24"/>
                <w:szCs w:val="24"/>
                <w:highlight w:val="none"/>
                <w:u w:val="none"/>
                <w:lang w:val="en-US" w:eastAsia="zh-CN"/>
              </w:rPr>
              <w:t>片区，</w:t>
            </w:r>
            <w:r>
              <w:rPr>
                <w:rFonts w:hint="default" w:ascii="Times New Roman" w:hAnsi="Times New Roman" w:eastAsia="宋体" w:cs="Times New Roman"/>
                <w:color w:val="auto"/>
                <w:sz w:val="24"/>
                <w:szCs w:val="24"/>
                <w:highlight w:val="none"/>
                <w:u w:val="none"/>
                <w:lang w:val="zh-CN"/>
              </w:rPr>
              <w:t>项目用地性质为工业用地</w:t>
            </w:r>
            <w:r>
              <w:rPr>
                <w:rFonts w:hint="eastAsia" w:cs="Times New Roman"/>
                <w:color w:val="auto"/>
                <w:sz w:val="24"/>
                <w:szCs w:val="24"/>
                <w:highlight w:val="none"/>
                <w:u w:val="none"/>
                <w:lang w:val="zh-CN"/>
              </w:rPr>
              <w:t>，</w:t>
            </w:r>
            <w:r>
              <w:rPr>
                <w:rFonts w:hint="default" w:ascii="Times New Roman" w:hAnsi="Times New Roman" w:eastAsia="宋体" w:cs="Times New Roman"/>
                <w:color w:val="auto"/>
                <w:sz w:val="24"/>
                <w:highlight w:val="none"/>
                <w:lang w:val="zh-CN"/>
              </w:rPr>
              <w:t>本项目属于工业项目</w:t>
            </w:r>
            <w:r>
              <w:rPr>
                <w:rFonts w:hint="eastAsia" w:cs="Times New Roman"/>
                <w:color w:val="auto"/>
                <w:sz w:val="24"/>
                <w:szCs w:val="24"/>
                <w:highlight w:val="none"/>
                <w:u w:val="none"/>
                <w:lang w:val="zh-CN"/>
              </w:rPr>
              <w:t>。</w:t>
            </w:r>
            <w:r>
              <w:rPr>
                <w:rFonts w:hint="default" w:ascii="Times New Roman" w:hAnsi="Times New Roman" w:eastAsia="宋体" w:cs="Times New Roman"/>
                <w:color w:val="auto"/>
                <w:sz w:val="24"/>
                <w:szCs w:val="24"/>
                <w:highlight w:val="none"/>
                <w:u w:val="none"/>
                <w:lang w:val="zh-CN"/>
              </w:rPr>
              <w:t>本项目为</w:t>
            </w:r>
            <w:r>
              <w:rPr>
                <w:rFonts w:hint="default"/>
                <w:color w:val="auto"/>
                <w:sz w:val="24"/>
                <w:szCs w:val="24"/>
                <w:highlight w:val="none"/>
                <w:lang w:val="en-US" w:eastAsia="zh-CN"/>
              </w:rPr>
              <w:t>其他纸制品制造</w:t>
            </w:r>
            <w:r>
              <w:rPr>
                <w:rFonts w:hint="eastAsia"/>
                <w:color w:val="auto"/>
                <w:sz w:val="24"/>
                <w:szCs w:val="24"/>
                <w:highlight w:val="none"/>
                <w:lang w:eastAsia="zh-CN"/>
              </w:rPr>
              <w:t>项目</w:t>
            </w:r>
            <w:r>
              <w:rPr>
                <w:rFonts w:hint="default" w:ascii="Times New Roman" w:hAnsi="Times New Roman" w:eastAsia="宋体" w:cs="Times New Roman"/>
                <w:color w:val="auto"/>
                <w:sz w:val="24"/>
                <w:szCs w:val="24"/>
                <w:highlight w:val="none"/>
                <w:u w:val="none"/>
                <w:lang w:val="zh-CN"/>
              </w:rPr>
              <w:t>，</w:t>
            </w:r>
            <w:r>
              <w:rPr>
                <w:rFonts w:hint="eastAsia" w:cs="Times New Roman"/>
                <w:color w:val="auto"/>
                <w:sz w:val="24"/>
                <w:szCs w:val="24"/>
                <w:highlight w:val="none"/>
                <w:u w:val="none"/>
                <w:lang w:val="en-US" w:eastAsia="zh-CN"/>
              </w:rPr>
              <w:t>与园区产业发展定位不冲突，</w:t>
            </w:r>
            <w:r>
              <w:rPr>
                <w:rFonts w:hint="default" w:ascii="Times New Roman" w:hAnsi="Times New Roman" w:eastAsia="宋体" w:cs="Times New Roman"/>
                <w:color w:val="auto"/>
                <w:sz w:val="24"/>
                <w:szCs w:val="24"/>
                <w:highlight w:val="none"/>
                <w:u w:val="none"/>
                <w:lang w:val="en-US" w:eastAsia="zh-CN"/>
              </w:rPr>
              <w:t>且</w:t>
            </w:r>
            <w:r>
              <w:rPr>
                <w:rFonts w:hint="default" w:ascii="Times New Roman" w:hAnsi="Times New Roman" w:eastAsia="宋体" w:cs="Times New Roman"/>
                <w:color w:val="auto"/>
                <w:sz w:val="24"/>
                <w:highlight w:val="none"/>
                <w:lang w:val="zh-CN"/>
              </w:rPr>
              <w:t>202</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rPr>
              <w:t>年</w:t>
            </w:r>
            <w:r>
              <w:rPr>
                <w:rFonts w:hint="eastAsia" w:cs="Times New Roman"/>
                <w:color w:val="auto"/>
                <w:sz w:val="24"/>
                <w:highlight w:val="none"/>
                <w:lang w:val="en-US" w:eastAsia="zh-CN"/>
              </w:rPr>
              <w:t>11</w:t>
            </w:r>
            <w:r>
              <w:rPr>
                <w:rFonts w:hint="default" w:ascii="Times New Roman" w:hAnsi="Times New Roman" w:eastAsia="宋体" w:cs="Times New Roman"/>
                <w:color w:val="auto"/>
                <w:sz w:val="24"/>
                <w:highlight w:val="none"/>
                <w:lang w:val="zh-CN"/>
              </w:rPr>
              <w:t>月</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lang w:val="zh-CN"/>
              </w:rPr>
              <w:t>日</w:t>
            </w:r>
            <w:r>
              <w:rPr>
                <w:rFonts w:hint="default" w:ascii="Times New Roman" w:hAnsi="Times New Roman" w:eastAsia="宋体" w:cs="Times New Roman"/>
                <w:color w:val="auto"/>
                <w:sz w:val="24"/>
                <w:szCs w:val="24"/>
                <w:highlight w:val="none"/>
                <w:u w:val="none"/>
                <w:lang w:val="en-US" w:eastAsia="zh-CN"/>
              </w:rPr>
              <w:t>项目已取得寻甸特色产业园区管理委员会出具的项目入园申请同意书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highlight w:val="none"/>
                <w:lang w:val="en-US" w:eastAsia="zh-CN"/>
              </w:rPr>
              <w:t>同意书明确“项目符合</w:t>
            </w:r>
            <w:r>
              <w:rPr>
                <w:rFonts w:hint="default" w:ascii="Times New Roman" w:hAnsi="Times New Roman" w:eastAsia="宋体" w:cs="Times New Roman"/>
                <w:color w:val="auto"/>
                <w:sz w:val="24"/>
                <w:highlight w:val="none"/>
                <w:lang w:val="zh-CN"/>
              </w:rPr>
              <w:t>园区</w:t>
            </w:r>
            <w:r>
              <w:rPr>
                <w:rFonts w:hint="eastAsia" w:cs="Times New Roman"/>
                <w:color w:val="auto"/>
                <w:sz w:val="24"/>
                <w:highlight w:val="none"/>
                <w:lang w:val="en-US" w:eastAsia="zh-CN"/>
              </w:rPr>
              <w:t>产业发展</w:t>
            </w:r>
            <w:r>
              <w:rPr>
                <w:rFonts w:hint="default" w:ascii="Times New Roman" w:hAnsi="Times New Roman" w:eastAsia="宋体" w:cs="Times New Roman"/>
                <w:color w:val="auto"/>
                <w:sz w:val="24"/>
                <w:highlight w:val="none"/>
                <w:lang w:val="zh-CN"/>
              </w:rPr>
              <w:t>，</w:t>
            </w:r>
            <w:r>
              <w:rPr>
                <w:rFonts w:hint="eastAsia" w:cs="Times New Roman"/>
                <w:color w:val="auto"/>
                <w:sz w:val="24"/>
                <w:highlight w:val="none"/>
                <w:lang w:val="en-US" w:eastAsia="zh-CN"/>
              </w:rPr>
              <w:t>同意项目入驻</w:t>
            </w:r>
            <w:r>
              <w:rPr>
                <w:rFonts w:hint="default" w:ascii="Times New Roman" w:hAnsi="Times New Roman" w:eastAsia="宋体" w:cs="Times New Roman"/>
                <w:color w:val="auto"/>
                <w:sz w:val="24"/>
                <w:highlight w:val="none"/>
                <w:lang w:val="en-US" w:eastAsia="zh-CN"/>
              </w:rPr>
              <w:t>寻甸特色产业园区羊街片区”</w:t>
            </w:r>
            <w:r>
              <w:rPr>
                <w:rFonts w:hint="default" w:ascii="Times New Roman" w:hAnsi="Times New Roman" w:eastAsia="宋体" w:cs="Times New Roman"/>
                <w:color w:val="auto"/>
                <w:sz w:val="24"/>
                <w:szCs w:val="24"/>
                <w:highlight w:val="none"/>
                <w:lang w:val="en-US" w:eastAsia="zh-CN"/>
              </w:rPr>
              <w:t>。</w:t>
            </w:r>
          </w:p>
          <w:p w14:paraId="23DD96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yellow"/>
                <w:lang w:val="zh-CN"/>
              </w:rPr>
            </w:pPr>
            <w:r>
              <w:rPr>
                <w:rFonts w:hint="default" w:ascii="Times New Roman" w:hAnsi="Times New Roman" w:eastAsia="宋体" w:cs="Times New Roman"/>
                <w:color w:val="auto"/>
                <w:sz w:val="24"/>
                <w:szCs w:val="24"/>
                <w:highlight w:val="none"/>
                <w:lang w:val="en-US" w:eastAsia="zh-CN"/>
              </w:rPr>
              <w:t>综上分析，</w:t>
            </w:r>
            <w:r>
              <w:rPr>
                <w:rFonts w:hint="default" w:ascii="Times New Roman" w:hAnsi="Times New Roman" w:eastAsia="宋体" w:cs="Times New Roman"/>
                <w:color w:val="auto"/>
                <w:sz w:val="24"/>
                <w:szCs w:val="24"/>
                <w:highlight w:val="none"/>
                <w:lang w:val="zh-CN"/>
              </w:rPr>
              <w:t>项目建设</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u w:val="none"/>
                <w:lang w:val="en-US" w:eastAsia="zh-CN"/>
              </w:rPr>
              <w:t>云南寻甸产业园区总体规划修编（2021-2035年）</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不冲突</w:t>
            </w:r>
            <w:r>
              <w:rPr>
                <w:rFonts w:hint="default" w:ascii="Times New Roman" w:hAnsi="Times New Roman" w:eastAsia="宋体" w:cs="Times New Roman"/>
                <w:color w:val="auto"/>
                <w:sz w:val="24"/>
                <w:szCs w:val="24"/>
                <w:highlight w:val="none"/>
                <w:lang w:val="zh-CN"/>
              </w:rPr>
              <w:t>。</w:t>
            </w:r>
          </w:p>
          <w:p w14:paraId="48D8A46C">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2</w:t>
            </w:r>
            <w:r>
              <w:rPr>
                <w:rFonts w:hint="default" w:ascii="Times New Roman" w:hAnsi="Times New Roman" w:eastAsia="宋体" w:cs="Times New Roman"/>
                <w:b/>
                <w:bCs/>
                <w:color w:val="auto"/>
                <w:kern w:val="0"/>
                <w:sz w:val="24"/>
                <w:highlight w:val="none"/>
                <w:lang w:val="en-US" w:eastAsia="zh-CN"/>
              </w:rPr>
              <w:t>、与《</w:t>
            </w:r>
            <w:r>
              <w:rPr>
                <w:rFonts w:hint="eastAsia"/>
                <w:b/>
                <w:bCs/>
                <w:color w:val="auto"/>
                <w:sz w:val="24"/>
                <w:szCs w:val="24"/>
                <w:highlight w:val="none"/>
                <w:lang w:val="en-US" w:eastAsia="zh-CN"/>
              </w:rPr>
              <w:t>云南寻甸产业园区总体规划修编（2021-2035年）</w:t>
            </w:r>
            <w:r>
              <w:rPr>
                <w:rFonts w:hint="default" w:ascii="Times New Roman" w:hAnsi="Times New Roman" w:eastAsia="宋体" w:cs="Times New Roman"/>
                <w:b/>
                <w:bCs/>
                <w:color w:val="auto"/>
                <w:kern w:val="0"/>
                <w:sz w:val="24"/>
                <w:highlight w:val="none"/>
                <w:lang w:val="en-US" w:eastAsia="zh-CN"/>
              </w:rPr>
              <w:t>环境影响报告书》及其审查意见（</w:t>
            </w:r>
            <w:r>
              <w:rPr>
                <w:rFonts w:hint="eastAsia" w:cs="Times New Roman"/>
                <w:b/>
                <w:bCs/>
                <w:color w:val="auto"/>
                <w:kern w:val="0"/>
                <w:sz w:val="24"/>
                <w:highlight w:val="none"/>
                <w:lang w:val="en-US" w:eastAsia="zh-CN"/>
              </w:rPr>
              <w:t>昆环审</w:t>
            </w:r>
            <w:r>
              <w:rPr>
                <w:rFonts w:hint="default" w:ascii="Times New Roman" w:hAnsi="Times New Roman" w:eastAsia="宋体" w:cs="Times New Roman"/>
                <w:b/>
                <w:bCs/>
                <w:color w:val="auto"/>
                <w:kern w:val="0"/>
                <w:sz w:val="24"/>
                <w:highlight w:val="none"/>
                <w:lang w:val="en-US" w:eastAsia="zh-CN"/>
              </w:rPr>
              <w:t>【202</w:t>
            </w:r>
            <w:r>
              <w:rPr>
                <w:rFonts w:hint="eastAsia" w:cs="Times New Roman"/>
                <w:b/>
                <w:bCs/>
                <w:color w:val="auto"/>
                <w:kern w:val="0"/>
                <w:sz w:val="24"/>
                <w:highlight w:val="none"/>
                <w:lang w:val="en-US" w:eastAsia="zh-CN"/>
              </w:rPr>
              <w:t>3</w:t>
            </w:r>
            <w:r>
              <w:rPr>
                <w:rFonts w:hint="default" w:ascii="Times New Roman" w:hAnsi="Times New Roman" w:eastAsia="宋体" w:cs="Times New Roman"/>
                <w:b/>
                <w:bCs/>
                <w:color w:val="auto"/>
                <w:kern w:val="0"/>
                <w:sz w:val="24"/>
                <w:highlight w:val="none"/>
                <w:lang w:val="en-US" w:eastAsia="zh-CN"/>
              </w:rPr>
              <w:t>】</w:t>
            </w:r>
            <w:r>
              <w:rPr>
                <w:rFonts w:hint="eastAsia" w:cs="Times New Roman"/>
                <w:b/>
                <w:bCs/>
                <w:color w:val="auto"/>
                <w:kern w:val="0"/>
                <w:sz w:val="24"/>
                <w:highlight w:val="none"/>
                <w:lang w:val="en-US" w:eastAsia="zh-CN"/>
              </w:rPr>
              <w:t>5</w:t>
            </w:r>
            <w:r>
              <w:rPr>
                <w:rFonts w:hint="default" w:ascii="Times New Roman" w:hAnsi="Times New Roman" w:eastAsia="宋体" w:cs="Times New Roman"/>
                <w:b/>
                <w:bCs/>
                <w:color w:val="auto"/>
                <w:kern w:val="0"/>
                <w:sz w:val="24"/>
                <w:highlight w:val="none"/>
                <w:lang w:val="en-US" w:eastAsia="zh-CN"/>
              </w:rPr>
              <w:t>号）符合性分析</w:t>
            </w:r>
          </w:p>
          <w:p w14:paraId="34677C7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根据《</w:t>
            </w:r>
            <w:r>
              <w:rPr>
                <w:rFonts w:hint="eastAsia" w:cs="Times New Roman"/>
                <w:color w:val="auto"/>
                <w:sz w:val="24"/>
                <w:szCs w:val="24"/>
                <w:highlight w:val="none"/>
                <w:lang w:val="en-US" w:eastAsia="zh-CN"/>
              </w:rPr>
              <w:t>云南</w:t>
            </w:r>
            <w:r>
              <w:rPr>
                <w:rFonts w:hint="default" w:ascii="Times New Roman" w:hAnsi="Times New Roman" w:eastAsia="宋体" w:cs="Times New Roman"/>
                <w:color w:val="auto"/>
                <w:sz w:val="24"/>
                <w:szCs w:val="24"/>
                <w:highlight w:val="none"/>
                <w:lang w:val="zh-CN" w:eastAsia="zh-CN"/>
              </w:rPr>
              <w:t>寻甸产业园区总体规划修编（20</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zh-CN" w:eastAsia="zh-CN"/>
              </w:rPr>
              <w:t>-2035年）环境影响报告书》及其审查意见，项目与《</w:t>
            </w:r>
            <w:r>
              <w:rPr>
                <w:rFonts w:hint="eastAsia" w:cs="Times New Roman"/>
                <w:color w:val="auto"/>
                <w:sz w:val="24"/>
                <w:szCs w:val="24"/>
                <w:highlight w:val="none"/>
                <w:lang w:val="en-US" w:eastAsia="zh-CN"/>
              </w:rPr>
              <w:t>云南</w:t>
            </w:r>
            <w:r>
              <w:rPr>
                <w:rFonts w:hint="default" w:ascii="Times New Roman" w:hAnsi="Times New Roman" w:eastAsia="宋体" w:cs="Times New Roman"/>
                <w:color w:val="auto"/>
                <w:sz w:val="24"/>
                <w:szCs w:val="24"/>
                <w:highlight w:val="none"/>
                <w:lang w:val="zh-CN" w:eastAsia="zh-CN"/>
              </w:rPr>
              <w:t>寻甸产业园区总体规划修编（20</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zh-CN" w:eastAsia="zh-CN"/>
              </w:rPr>
              <w:t>-2035年）环境影响报告书》符合性分析详见表</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w:t>
            </w:r>
          </w:p>
          <w:p w14:paraId="089A5EE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黑体"/>
                <w:b/>
                <w:bCs/>
                <w:color w:val="auto"/>
                <w:highlight w:val="none"/>
              </w:rPr>
            </w:pPr>
            <w:r>
              <w:rPr>
                <w:rFonts w:hint="eastAsia" w:ascii="Times New Roman" w:hAnsi="Times New Roman" w:eastAsia="宋体" w:cs="黑体"/>
                <w:b/>
                <w:bCs/>
                <w:color w:val="auto"/>
                <w:highlight w:val="none"/>
              </w:rPr>
              <w:t>表</w:t>
            </w:r>
            <w:r>
              <w:rPr>
                <w:rFonts w:hint="eastAsia" w:ascii="Times New Roman" w:hAnsi="Times New Roman" w:eastAsia="宋体" w:cs="黑体"/>
                <w:b/>
                <w:bCs/>
                <w:color w:val="auto"/>
                <w:highlight w:val="none"/>
                <w:lang w:val="en-US" w:eastAsia="zh-CN"/>
              </w:rPr>
              <w:t>1</w:t>
            </w:r>
            <w:r>
              <w:rPr>
                <w:rFonts w:hint="eastAsia" w:ascii="Times New Roman" w:hAnsi="Times New Roman" w:eastAsia="宋体" w:cs="黑体"/>
                <w:b/>
                <w:bCs/>
                <w:color w:val="auto"/>
                <w:highlight w:val="none"/>
              </w:rPr>
              <w:t>-</w:t>
            </w:r>
            <w:r>
              <w:rPr>
                <w:rFonts w:hint="eastAsia" w:cs="黑体"/>
                <w:b/>
                <w:bCs/>
                <w:color w:val="auto"/>
                <w:highlight w:val="none"/>
                <w:lang w:val="en-US" w:eastAsia="zh-CN"/>
              </w:rPr>
              <w:t>2</w:t>
            </w:r>
            <w:r>
              <w:rPr>
                <w:rFonts w:hint="eastAsia" w:ascii="Times New Roman" w:hAnsi="Times New Roman" w:eastAsia="宋体" w:cs="黑体"/>
                <w:b/>
                <w:bCs/>
                <w:color w:val="auto"/>
                <w:highlight w:val="none"/>
                <w:lang w:val="en-US" w:eastAsia="zh-CN"/>
              </w:rPr>
              <w:t xml:space="preserve"> </w:t>
            </w:r>
            <w:r>
              <w:rPr>
                <w:rFonts w:hint="eastAsia" w:ascii="Times New Roman" w:hAnsi="Times New Roman" w:eastAsia="宋体" w:cs="黑体"/>
                <w:b/>
                <w:bCs/>
                <w:color w:val="auto"/>
                <w:highlight w:val="none"/>
              </w:rPr>
              <w:t xml:space="preserve"> 项目与规划环评相符性对比分析表</w:t>
            </w:r>
          </w:p>
          <w:tbl>
            <w:tblPr>
              <w:tblStyle w:val="30"/>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3855"/>
              <w:gridCol w:w="2510"/>
              <w:gridCol w:w="385"/>
            </w:tblGrid>
            <w:tr w14:paraId="19AA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60" w:type="dxa"/>
                  <w:vAlign w:val="center"/>
                </w:tcPr>
                <w:p w14:paraId="0571D0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highlight w:val="none"/>
                      <w:lang w:eastAsia="zh-CN"/>
                    </w:rPr>
                  </w:pPr>
                  <w:r>
                    <w:rPr>
                      <w:rFonts w:hint="eastAsia" w:cs="Times New Roman"/>
                      <w:b/>
                      <w:bCs/>
                      <w:color w:val="auto"/>
                      <w:highlight w:val="none"/>
                      <w:lang w:val="en-US" w:eastAsia="zh-CN"/>
                    </w:rPr>
                    <w:t>分类</w:t>
                  </w:r>
                </w:p>
              </w:tc>
              <w:tc>
                <w:tcPr>
                  <w:tcW w:w="3855" w:type="dxa"/>
                  <w:vAlign w:val="center"/>
                </w:tcPr>
                <w:p w14:paraId="34DB8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highlight w:val="none"/>
                      <w:lang w:eastAsia="zh-CN"/>
                    </w:rPr>
                  </w:pPr>
                  <w:r>
                    <w:rPr>
                      <w:rFonts w:hint="eastAsia" w:cs="Times New Roman"/>
                      <w:b/>
                      <w:bCs/>
                      <w:color w:val="auto"/>
                      <w:highlight w:val="none"/>
                      <w:lang w:val="en-US" w:eastAsia="zh-CN"/>
                    </w:rPr>
                    <w:t>控制内容</w:t>
                  </w:r>
                </w:p>
              </w:tc>
              <w:tc>
                <w:tcPr>
                  <w:tcW w:w="2510" w:type="dxa"/>
                  <w:vAlign w:val="center"/>
                </w:tcPr>
                <w:p w14:paraId="54693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项目建设内容</w:t>
                  </w:r>
                </w:p>
              </w:tc>
              <w:tc>
                <w:tcPr>
                  <w:tcW w:w="385" w:type="dxa"/>
                  <w:vAlign w:val="center"/>
                </w:tcPr>
                <w:p w14:paraId="01B325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符合性</w:t>
                  </w:r>
                </w:p>
              </w:tc>
            </w:tr>
            <w:tr w14:paraId="7299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60" w:type="dxa"/>
                  <w:vAlign w:val="center"/>
                </w:tcPr>
                <w:p w14:paraId="7C762E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水污染减缓措施</w:t>
                  </w:r>
                </w:p>
              </w:tc>
              <w:tc>
                <w:tcPr>
                  <w:tcW w:w="3855" w:type="dxa"/>
                  <w:vAlign w:val="center"/>
                </w:tcPr>
                <w:p w14:paraId="67AAFA3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eastAsia="zh-CN"/>
                    </w:rPr>
                  </w:pPr>
                  <w:r>
                    <w:rPr>
                      <w:rFonts w:hint="eastAsia" w:cs="Times New Roman"/>
                      <w:color w:val="auto"/>
                      <w:highlight w:val="none"/>
                      <w:lang w:val="en-US" w:eastAsia="zh-CN"/>
                    </w:rPr>
                    <w:t>①</w:t>
                  </w:r>
                  <w:r>
                    <w:rPr>
                      <w:rFonts w:hint="eastAsia" w:cs="Times New Roman"/>
                      <w:color w:val="auto"/>
                      <w:highlight w:val="none"/>
                      <w:lang w:eastAsia="zh-CN"/>
                    </w:rPr>
                    <w:t>根据《规划修编》实施对水环境的影响分析，规划建设覆盖规划区范围的“雨污分流”排水体制。各煤、磷、盐化工等企业内部自行收集初期雨水进行处理后回用，园区雨水经过雨水管网收集后汇入附近地表水体；金所组团现状煤磷盐化工企业及废水实现零排放企业按现状处置方式，即由企业处理达标后循环回用或经已建的排污管道排至摩洛河。</w:t>
                  </w:r>
                </w:p>
                <w:p w14:paraId="4106934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eastAsia="zh-CN"/>
                    </w:rPr>
                  </w:pPr>
                  <w:r>
                    <w:rPr>
                      <w:rFonts w:hint="eastAsia" w:cs="Times New Roman"/>
                      <w:color w:val="auto"/>
                      <w:highlight w:val="none"/>
                      <w:lang w:val="en-US" w:eastAsia="zh-CN"/>
                    </w:rPr>
                    <w:t>②</w:t>
                  </w:r>
                  <w:r>
                    <w:rPr>
                      <w:rFonts w:hint="eastAsia" w:cs="Times New Roman"/>
                      <w:color w:val="auto"/>
                      <w:highlight w:val="none"/>
                      <w:lang w:eastAsia="zh-CN"/>
                    </w:rPr>
                    <w:t>园区严格按照规划要求，建设污水集中和分散处理设施，提高园区水资源利用率，减少污水排放。各组团后续入驻企业废水严格按照规划排水方案执行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p>
                <w:p w14:paraId="0189B76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③</w:t>
                  </w:r>
                  <w:r>
                    <w:rPr>
                      <w:rFonts w:hint="eastAsia" w:cs="Times New Roman"/>
                      <w:color w:val="auto"/>
                      <w:highlight w:val="none"/>
                      <w:lang w:eastAsia="zh-CN"/>
                    </w:rPr>
                    <w:t>严格各污水处理设施的管理、监测工作，确保污水处理设施外排污水长期稳定达标。新建、迁建项目应采用先进的生产工艺和污染防治技术，其清洁生产水平应达到国内先进水平以上:实行严格的清洁生产审计，全过程降低对水的消耗和污染；工业企业应严格控制用水量，加大工业用水的重复利用率，发展节水型工业。</w:t>
                  </w:r>
                </w:p>
              </w:tc>
              <w:tc>
                <w:tcPr>
                  <w:tcW w:w="2510" w:type="dxa"/>
                  <w:vAlign w:val="center"/>
                </w:tcPr>
                <w:p w14:paraId="5EED208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①项目已实行雨污分流制，不产生生产废水，生活污水经处理达标后全部回用于绿化和洒水降尘，不外排；</w:t>
                  </w:r>
                </w:p>
                <w:p w14:paraId="21DA50F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②项目依托租用厂房已建污水处理站对产生的污水进行处理后全部回用，不外排；</w:t>
                  </w:r>
                </w:p>
                <w:p w14:paraId="4745008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③项目生产过程中不产生废水，生活废水通过“调节池+SBR生物膜”污水处理技术处理后回用，属于可行性污染防治技术。</w:t>
                  </w:r>
                </w:p>
              </w:tc>
              <w:tc>
                <w:tcPr>
                  <w:tcW w:w="385" w:type="dxa"/>
                  <w:vAlign w:val="center"/>
                </w:tcPr>
                <w:p w14:paraId="492A9E21">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14:paraId="4FC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60" w:type="dxa"/>
                  <w:vAlign w:val="center"/>
                </w:tcPr>
                <w:p w14:paraId="42D26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大气污染减缓措施</w:t>
                  </w:r>
                </w:p>
              </w:tc>
              <w:tc>
                <w:tcPr>
                  <w:tcW w:w="3855" w:type="dxa"/>
                  <w:vAlign w:val="center"/>
                </w:tcPr>
                <w:p w14:paraId="6BA9487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①按规划及其他相关要求规划区工业及民用均使用清洁能源。对严重污染大气环境的工艺、设备和产品实行淘汰制度；</w:t>
                  </w:r>
                </w:p>
                <w:p w14:paraId="5F389A6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②入驻的有大气污染源排放的项目环境影响评价文件中应将大气环境影响评价作为重点之一，深入分析项目入驻对区域大气环境的影响，明确环境空气污染防治措施并严格落实，要求作出明确的环境是否可行的结论；</w:t>
                  </w:r>
                </w:p>
                <w:p w14:paraId="67BCC82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③推行清洁能源，建议考虑集中供热，实施循环经济，并对大气污染物实行总量控制；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p>
                <w:p w14:paraId="134561A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④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510" w:type="dxa"/>
                  <w:vAlign w:val="center"/>
                </w:tcPr>
                <w:p w14:paraId="38AD4B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①项目使用能源为电和天然气，均属于清洁能源；</w:t>
                  </w:r>
                </w:p>
                <w:p w14:paraId="1ED7B60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②项目环评已将大气环境影响评价作为重点之一，本环评第四章第一节深入分析了项目入驻对区域大气的影响，并提出防治措施；</w:t>
                  </w:r>
                </w:p>
                <w:p w14:paraId="7C6C519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b w:val="0"/>
                      <w:bCs w:val="0"/>
                      <w:color w:val="auto"/>
                      <w:sz w:val="21"/>
                      <w:szCs w:val="21"/>
                      <w:highlight w:val="none"/>
                      <w:lang w:val="en-US" w:eastAsia="zh-CN"/>
                    </w:rPr>
                  </w:pPr>
                  <w:r>
                    <w:rPr>
                      <w:rFonts w:hint="eastAsia" w:cs="Times New Roman"/>
                      <w:color w:val="auto"/>
                      <w:highlight w:val="none"/>
                      <w:lang w:val="en-US" w:eastAsia="zh-CN"/>
                    </w:rPr>
                    <w:t>③项目生产供热使用清洁能源电和天然气，项目为纸制品制造业，不属于高污染高能耗项目，大气污染物主要为</w:t>
                  </w:r>
                  <w:r>
                    <w:rPr>
                      <w:rFonts w:hint="eastAsia" w:cs="Times New Roman"/>
                      <w:b w:val="0"/>
                      <w:bCs w:val="0"/>
                      <w:color w:val="auto"/>
                      <w:sz w:val="21"/>
                      <w:szCs w:val="21"/>
                      <w:highlight w:val="none"/>
                      <w:lang w:val="en-US" w:eastAsia="zh-CN"/>
                    </w:rPr>
                    <w:t>甲醛、VOCs、废气经集气罩收集、“UV光解+三级活性炭吸附净化装置”处理后，由15m高排气筒（DA001）排放；</w:t>
                  </w:r>
                </w:p>
                <w:p w14:paraId="7DCEE3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④本环评已按相关要求为项目制定大气污染物监测计划，要求企业投产后遵照执行。</w:t>
                  </w:r>
                </w:p>
              </w:tc>
              <w:tc>
                <w:tcPr>
                  <w:tcW w:w="385" w:type="dxa"/>
                  <w:vAlign w:val="center"/>
                </w:tcPr>
                <w:p w14:paraId="1B949A6F">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7F59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22A69C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地下水环境影响减缓措施</w:t>
                  </w:r>
                </w:p>
              </w:tc>
              <w:tc>
                <w:tcPr>
                  <w:tcW w:w="3855" w:type="dxa"/>
                  <w:vAlign w:val="center"/>
                </w:tcPr>
                <w:p w14:paraId="6735223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地下水》(HJ610-2016) 中各防渗区要求。工业固废堆存按照《一般工业固体废物贮存、处置污染控制标准》 (18599-2001) 要求选址及防渗设计。①杜绝高污染，高排水和淘汰落后工艺性质企业入园；②严禁入驻企业抽取地下水作为生产、生活用水；③规范各入驻企业废水处理设施、生产车间产污工段的地面应为硬化防渗地面，厂内污水沟应有相应防渗措施；④生活垃圾临时堆存点和厂内固废临时堆存点，必须具有防风、防雨、防渗措施，严禁露天乱堆放。堆存点应做到上有雨棚、底有混凝土层防渗周边至少有1.5~2m高的挡墙和环形截雨沟；</w:t>
                  </w:r>
                </w:p>
                <w:p w14:paraId="17C7E16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⑤浸出毒性是Ⅱ类一般工业固废和危险固废则需严格按国家有关规定、规范处理处置，杜绝乱堆放或混堆现象；</w:t>
                  </w:r>
                </w:p>
                <w:p w14:paraId="42464A4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⑥严禁入园企业向地下渗坑、岩溶洼地排水、落水洞排污。严禁入驻企业在园区内新建永久性固废处置场，危险废物委托有资质单位进行清运处置；⑦杜绝各企业生产废水、生活污水及废油、废酸、固体废弃物任意乱排放进入岩溶(洼地、落水洞)环境或农田、水体中，保护地下水环境免受污染；⑧工程建设前应进行厂区岩土工程地质细勘察和进一步的详细水文地质勘察，查明厂区所在处及其附近的断裂构造详情、地下水位埋深及水位动态变化等情况，取得更加详细的工程地质及水文地质资料，为工程设计提供资料。涉及重金属及危险化学品的企业在平面布局时需考虑场地地下水含水层分布情况，尽量使重大风险源、废水收集治理等可能出现渗漏风险的设施设置于泥岩隔水层之上。</w:t>
                  </w:r>
                </w:p>
                <w:p w14:paraId="7EF1DD4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⑨企业场地、各生产车间及原料、废渣临时堆放场地、污水处理设施等区域按照国家标准或行业防渗技术规范、《环境影响评价技术导则 地下水环境》 (HJ610-2016)中的防渗要求进行防渗设计，固废处置应符合相关法规和技术规范要求，渗滤液不得任意外排，避免渗滤液下渗污染地下水环境。</w:t>
                  </w:r>
                </w:p>
              </w:tc>
              <w:tc>
                <w:tcPr>
                  <w:tcW w:w="2510" w:type="dxa"/>
                  <w:vAlign w:val="center"/>
                </w:tcPr>
                <w:p w14:paraId="2342A33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本环评要求项目危废暂存间、一般固废暂存间分别按照《危险废物贮存污染控制标准》(GB18597-2023)、《一般工业固体废物贮存、处置污染控制标准》 (18599-2001) 进行建设；</w:t>
                  </w:r>
                </w:p>
                <w:p w14:paraId="3AAB2E2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①项目为纸制品制造业，不属于高污染高排水的行业，项目不涉及淘汰落后工艺；</w:t>
                  </w:r>
                </w:p>
                <w:p w14:paraId="1CE38AD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②项目生产生活用水为园区管网供水；</w:t>
                  </w:r>
                </w:p>
                <w:p w14:paraId="0545AA9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③项目租用已建成厂房进行建设，生产厂房和污水收集设施均已按要求硬化防渗；</w:t>
                  </w:r>
                </w:p>
                <w:p w14:paraId="7FD5836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④项目危废暂存间和一般固废暂存间均建设于现有厂房内，防风、防雨、防渗措施均设置到位；</w:t>
                  </w:r>
                </w:p>
                <w:p w14:paraId="311F51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⑤项目不涉及浸出毒性是Ⅱ类一般工业固废，且本环评要求危废暂存间按照《危险废物贮存污染控制标准》(GB18597-2023)进行建设；</w:t>
                  </w:r>
                </w:p>
                <w:p w14:paraId="1D79928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⑥项目区内不存在地下渗坑、岩溶洼地排水、落水洞，不新建永久性固废处置场，危险废物统一暂存于危废暂存间后委托有资质的单位清运处置；</w:t>
                  </w:r>
                </w:p>
                <w:p w14:paraId="497C729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⑦项目不产生生产废水，生活污水处理达标后全部回用于厂区绿化和道路浇洒，不外排；一般固废和危险废物统一收集后委托有资质的单位清运处置；</w:t>
                  </w:r>
                </w:p>
                <w:p w14:paraId="6A9C784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⑧项目租用已建成合规厂房建设，不涉及重金属及危险化学品；</w:t>
                  </w:r>
                </w:p>
                <w:p w14:paraId="78BD3D9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⑨项目租用已建成合规厂房建设，车间、污水处理设施均已按照国家标准或行业防渗技术规范、《环境影响评价技术导则 地下水环境》 (HJ610-2016)中的防渗要求进行防渗建设；固废均统一收集后委托有资质的单位进行清运处置，无渗滤液产生。</w:t>
                  </w:r>
                </w:p>
              </w:tc>
              <w:tc>
                <w:tcPr>
                  <w:tcW w:w="385" w:type="dxa"/>
                  <w:vAlign w:val="center"/>
                </w:tcPr>
                <w:p w14:paraId="7E5EB683">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15C6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4FA59E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土壤环境污染防治措施</w:t>
                  </w:r>
                </w:p>
              </w:tc>
              <w:tc>
                <w:tcPr>
                  <w:tcW w:w="3855" w:type="dxa"/>
                  <w:vAlign w:val="center"/>
                </w:tcPr>
                <w:p w14:paraId="3670409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①源头控制措施：选用合格的生产原料，从源头上控制污染物的产生；</w:t>
                  </w:r>
                </w:p>
                <w:p w14:paraId="77F4587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②末端控制措施， 废气经处理后外排，减少废气中的污染物排放；</w:t>
                  </w:r>
                </w:p>
                <w:p w14:paraId="6415295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③污染监控体系：实施覆盖生产区的土壤污染监控系统，及时发现污染及时控制；</w:t>
                  </w:r>
                </w:p>
                <w:p w14:paraId="7DD634B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④应急响应措施：一旦发现污染事故，立即启动应急预案、采取应急措施控制土壤，并使污染得到治理；</w:t>
                  </w:r>
                </w:p>
                <w:p w14:paraId="7EF1FF3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⑤绿化措施：合理利用项目区的空余空间，加强项目区的绿化；</w:t>
                  </w:r>
                </w:p>
                <w:p w14:paraId="27018D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⑥严格固体废物运输管理，避免在运输过程中的散落；一旦发生散落事件，及时清理收集，防止进入农田。</w:t>
                  </w:r>
                </w:p>
              </w:tc>
              <w:tc>
                <w:tcPr>
                  <w:tcW w:w="2510" w:type="dxa"/>
                  <w:vAlign w:val="center"/>
                </w:tcPr>
                <w:p w14:paraId="41D97D9D">
                  <w:pPr>
                    <w:pStyle w:val="7"/>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①项目生产原料主要为三聚氰胺甲醛树脂，满足《木材工业胶粘剂用脲醛、酚醛、三聚氰胺甲醛树脂》（GB/T 14732-2017）要求；</w:t>
                  </w:r>
                </w:p>
                <w:p w14:paraId="33CB72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②项目废气通过</w:t>
                  </w:r>
                  <w:r>
                    <w:rPr>
                      <w:rFonts w:hint="eastAsia" w:cs="Times New Roman"/>
                      <w:b w:val="0"/>
                      <w:bCs w:val="0"/>
                      <w:color w:val="auto"/>
                      <w:sz w:val="21"/>
                      <w:szCs w:val="21"/>
                      <w:highlight w:val="none"/>
                      <w:lang w:val="en-US" w:eastAsia="zh-CN"/>
                    </w:rPr>
                    <w:t>“UV光解+三级活性炭吸附净化装置”处理后通过15m高排气筒（DA001）排放；③项目租用已建成</w:t>
                  </w:r>
                  <w:r>
                    <w:rPr>
                      <w:rFonts w:hint="eastAsia" w:cs="Times New Roman"/>
                      <w:color w:val="auto"/>
                      <w:highlight w:val="none"/>
                      <w:lang w:val="en-US" w:eastAsia="zh-CN"/>
                    </w:rPr>
                    <w:t>合规厂房建设，生产区域均已进行硬化处理，无裸露土壤；</w:t>
                  </w:r>
                </w:p>
                <w:p w14:paraId="447ADF5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④本环评已在第四章提出相应应急措施；</w:t>
                  </w:r>
                </w:p>
                <w:p w14:paraId="431DF4A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⑤项目已在办公楼北侧进行260m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的绿化；</w:t>
                  </w:r>
                </w:p>
                <w:p w14:paraId="11B683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⑥项目固废统一收集后，委托有资质的单位进行清运处置。</w:t>
                  </w:r>
                </w:p>
              </w:tc>
              <w:tc>
                <w:tcPr>
                  <w:tcW w:w="385" w:type="dxa"/>
                  <w:vAlign w:val="center"/>
                </w:tcPr>
                <w:p w14:paraId="1C0A02D0">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63B6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166F07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噪声影响减缓措施</w:t>
                  </w:r>
                </w:p>
              </w:tc>
              <w:tc>
                <w:tcPr>
                  <w:tcW w:w="3855" w:type="dxa"/>
                  <w:vAlign w:val="center"/>
                </w:tcPr>
                <w:p w14:paraId="779F23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根据规划实施后对声环境的影响分析，本评价提出规划区应合理布局各企业位置，要将工业用地、公共设施用地等噪声污染较高的用地与住宅等需要安静的用地分隔开来，居住区应尽量离开交通干线40m以上，将仓储用地放于交通干道两侧，入园企业也要注意将生产区与办公区分离开来；</w:t>
                  </w:r>
                </w:p>
                <w:p w14:paraId="62136F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②入园企业如果使用一些高噪声设备如风机、空压机、冷却塔、发电机等，应做好消音降噪措施，建设过程中一定要对高噪声设备实行“同时设计同时施工、同时验收”的原则，杜绝先污染后治理的现象出现。</w:t>
                  </w:r>
                </w:p>
              </w:tc>
              <w:tc>
                <w:tcPr>
                  <w:tcW w:w="2510" w:type="dxa"/>
                  <w:vAlign w:val="center"/>
                </w:tcPr>
                <w:p w14:paraId="2EB9CF6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①项目位于工业园区内，用地性质为工业用地，生产厂房与办公楼已单独分离；</w:t>
                  </w:r>
                </w:p>
                <w:p w14:paraId="22E7736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②项目主要产噪设备为空压机、风机、搅拌机等，均已设置基础减震和厂房隔声措施；项目设备均已安装，但未投入使用，环评要求项目遵循“三同时原则”，杜绝先污染后治理的现象出现。</w:t>
                  </w:r>
                </w:p>
              </w:tc>
              <w:tc>
                <w:tcPr>
                  <w:tcW w:w="385" w:type="dxa"/>
                  <w:vAlign w:val="center"/>
                </w:tcPr>
                <w:p w14:paraId="664614C9">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5388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6CB31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固体废物污染防治措施</w:t>
                  </w:r>
                </w:p>
              </w:tc>
              <w:tc>
                <w:tcPr>
                  <w:tcW w:w="3855" w:type="dxa"/>
                  <w:vAlign w:val="center"/>
                </w:tcPr>
                <w:p w14:paraId="5FE6D89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p>
                <w:p w14:paraId="2C60D8C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②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14:paraId="4FD1072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③对于危险固废，需要按《危险废物贮存污染控制标准》(GB18597-2023)的要求进行贮存，委托危险废物中心处理;目前不能处置的废物，应在项目内妥善贮存。严格按照《中华人民共和国固体废物污染环境防治法》对危险废物污染环境污染防治的特别规定，做好危险废物的申报登记、处置和管理。</w:t>
                  </w:r>
                </w:p>
                <w:p w14:paraId="5360912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强化危险废物管理；</w:t>
                  </w:r>
                </w:p>
                <w:p w14:paraId="7A075DD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④规划区产生的生活垃圾则委托环卫部门统一收集并运至城市生活垃圾卫生填埋场进行处置;制定地方商品进入和消费的指导性政策，限制过度包装商品的进入，建立消费品包装物回收体系，逐步取缔一次性餐具类商品的销售和使用。鼓励净菜类产业和相关服务体系的发展，减少厨房残余垃圾产生量;</w:t>
                  </w:r>
                </w:p>
                <w:p w14:paraId="1469661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⑤工程开挖土石方、建筑垃圾和施工人员生活垃圾要及时清运，以免给周围环境带来影响。</w:t>
                  </w:r>
                </w:p>
              </w:tc>
              <w:tc>
                <w:tcPr>
                  <w:tcW w:w="2510" w:type="dxa"/>
                  <w:vAlign w:val="center"/>
                </w:tcPr>
                <w:p w14:paraId="4B671CE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①项目不涉及渣场；</w:t>
                  </w:r>
                </w:p>
                <w:p w14:paraId="42BE8FE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②项目已设置危废暂存间和一般固废暂存间，对项目固废进行统一收集暂存，其中，废包装材料外售给废品收购站，其余固废均由有资质的单位进行清运处置；</w:t>
                  </w:r>
                </w:p>
                <w:p w14:paraId="19E1666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③项目租用已建成合规厂房进行建设，在厂房东北角拟建危废暂存间，本环评要求严格按照</w:t>
                  </w:r>
                  <w:r>
                    <w:rPr>
                      <w:rFonts w:hint="eastAsia" w:cs="Times New Roman"/>
                      <w:color w:val="auto"/>
                      <w:highlight w:val="none"/>
                      <w:lang w:val="en-US" w:eastAsia="zh-CN"/>
                    </w:rPr>
                    <w:t>《危险废物贮存污染控制标准》(GB18597-2023)的要求进行建设和贮存；</w:t>
                  </w:r>
                  <w:r>
                    <w:rPr>
                      <w:rFonts w:hint="eastAsia" w:cs="Times New Roman"/>
                      <w:color w:val="auto"/>
                      <w:sz w:val="21"/>
                      <w:szCs w:val="21"/>
                      <w:highlight w:val="none"/>
                      <w:lang w:val="en-US" w:eastAsia="zh-CN"/>
                    </w:rPr>
                    <w:t>项目固废处置率100%，不存在</w:t>
                  </w:r>
                  <w:r>
                    <w:rPr>
                      <w:rFonts w:hint="eastAsia" w:cs="Times New Roman"/>
                      <w:color w:val="auto"/>
                      <w:highlight w:val="none"/>
                      <w:lang w:val="en-US" w:eastAsia="zh-CN"/>
                    </w:rPr>
                    <w:t>不能处置的废物</w:t>
                  </w:r>
                  <w:r>
                    <w:rPr>
                      <w:rFonts w:hint="eastAsia" w:cs="Times New Roman"/>
                      <w:color w:val="auto"/>
                      <w:sz w:val="21"/>
                      <w:szCs w:val="21"/>
                      <w:highlight w:val="none"/>
                      <w:lang w:val="en-US" w:eastAsia="zh-CN"/>
                    </w:rPr>
                    <w:t>；</w:t>
                  </w:r>
                </w:p>
                <w:p w14:paraId="27712E5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④项目已设置危废暂存间和一般固废暂存间，对项目固废进行统一收集暂存，并委托有资质的单位进行清运处置；项目不设置厨房，无厨余垃圾产生；</w:t>
                  </w:r>
                </w:p>
                <w:p w14:paraId="62388D24">
                  <w:pPr>
                    <w:pStyle w:val="7"/>
                    <w:keepNext w:val="0"/>
                    <w:keepLines w:val="0"/>
                    <w:suppressLineNumbers w:val="0"/>
                    <w:spacing w:before="0" w:beforeAutospacing="0" w:after="0" w:afterAutospacing="0"/>
                    <w:ind w:left="0" w:right="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⑤项目租用已建成合规厂房建设，不新增占地，施工期不涉及土石方开挖，施工期生活垃圾以及建筑垃圾已及时清运。</w:t>
                  </w:r>
                </w:p>
              </w:tc>
              <w:tc>
                <w:tcPr>
                  <w:tcW w:w="385" w:type="dxa"/>
                  <w:vAlign w:val="center"/>
                </w:tcPr>
                <w:p w14:paraId="43535661">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0A7E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1A9330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生态环境影响减缓措施</w:t>
                  </w:r>
                </w:p>
              </w:tc>
              <w:tc>
                <w:tcPr>
                  <w:tcW w:w="3855" w:type="dxa"/>
                  <w:vAlign w:val="center"/>
                </w:tcPr>
                <w:p w14:paraId="5FBCBAC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①强化规划区内项目建设施工期保护；</w:t>
                  </w:r>
                </w:p>
                <w:p w14:paraId="5DF4288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②</w:t>
                  </w:r>
                  <w:r>
                    <w:rPr>
                      <w:rFonts w:hint="default" w:cs="Times New Roman"/>
                      <w:color w:val="auto"/>
                      <w:highlight w:val="none"/>
                      <w:lang w:val="en-US" w:eastAsia="zh-CN"/>
                    </w:rPr>
                    <w:t>优先进行生态基础设施建设</w:t>
                  </w:r>
                  <w:r>
                    <w:rPr>
                      <w:rFonts w:hint="eastAsia" w:cs="Times New Roman"/>
                      <w:color w:val="auto"/>
                      <w:highlight w:val="none"/>
                      <w:lang w:val="en-US" w:eastAsia="zh-CN"/>
                    </w:rPr>
                    <w:t>；</w:t>
                  </w:r>
                </w:p>
                <w:p w14:paraId="2DF1B4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③</w:t>
                  </w:r>
                  <w:r>
                    <w:rPr>
                      <w:rFonts w:hint="default" w:cs="Times New Roman"/>
                      <w:color w:val="auto"/>
                      <w:highlight w:val="none"/>
                      <w:lang w:val="en-US" w:eastAsia="zh-CN"/>
                    </w:rPr>
                    <w:t>注重生态环境保护的管理和宣传教育</w:t>
                  </w:r>
                  <w:r>
                    <w:rPr>
                      <w:rFonts w:hint="eastAsia" w:cs="Times New Roman"/>
                      <w:color w:val="auto"/>
                      <w:highlight w:val="none"/>
                      <w:lang w:val="en-US" w:eastAsia="zh-CN"/>
                    </w:rPr>
                    <w:t>；</w:t>
                  </w:r>
                </w:p>
                <w:p w14:paraId="19EEB2A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④</w:t>
                  </w:r>
                  <w:r>
                    <w:rPr>
                      <w:rFonts w:hint="default" w:cs="Times New Roman"/>
                      <w:color w:val="auto"/>
                      <w:highlight w:val="none"/>
                      <w:lang w:val="en-US" w:eastAsia="zh-CN"/>
                    </w:rPr>
                    <w:t>规划实施建设活动时应尽量避开耕地、林地，尽量选择在灌</w:t>
                  </w:r>
                  <w:r>
                    <w:rPr>
                      <w:rFonts w:hint="eastAsia" w:cs="Times New Roman"/>
                      <w:color w:val="auto"/>
                      <w:highlight w:val="none"/>
                      <w:lang w:val="en-US" w:eastAsia="zh-CN"/>
                    </w:rPr>
                    <w:t>草丛</w:t>
                  </w:r>
                  <w:r>
                    <w:rPr>
                      <w:rFonts w:hint="default" w:cs="Times New Roman"/>
                      <w:color w:val="auto"/>
                      <w:highlight w:val="none"/>
                      <w:lang w:val="en-US" w:eastAsia="zh-CN"/>
                    </w:rPr>
                    <w:t>、荒地等植被较差或未开发利用的区域，以减少对植被的破坏</w:t>
                  </w:r>
                  <w:r>
                    <w:rPr>
                      <w:rFonts w:hint="eastAsia" w:cs="Times New Roman"/>
                      <w:color w:val="auto"/>
                      <w:highlight w:val="none"/>
                      <w:lang w:val="en-US" w:eastAsia="zh-CN"/>
                    </w:rPr>
                    <w:t>；</w:t>
                  </w:r>
                </w:p>
                <w:p w14:paraId="2146DDB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⑤</w:t>
                  </w:r>
                  <w:r>
                    <w:rPr>
                      <w:rFonts w:hint="default" w:cs="Times New Roman"/>
                      <w:color w:val="auto"/>
                      <w:highlight w:val="none"/>
                      <w:lang w:val="en-US" w:eastAsia="zh-CN"/>
                    </w:rPr>
                    <w:t>在保证质量的情况下尽量缩短工期，从而尽量减少对占地范围环境的扰动;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r>
                    <w:rPr>
                      <w:rFonts w:hint="eastAsia" w:cs="Times New Roman"/>
                      <w:color w:val="auto"/>
                      <w:highlight w:val="none"/>
                      <w:lang w:val="en-US" w:eastAsia="zh-CN"/>
                    </w:rPr>
                    <w:t>；</w:t>
                  </w:r>
                </w:p>
                <w:p w14:paraId="06A1CDB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olor w:val="auto"/>
                      <w:lang w:val="en-US" w:eastAsia="zh-CN"/>
                    </w:rPr>
                  </w:pPr>
                  <w:r>
                    <w:rPr>
                      <w:rFonts w:hint="eastAsia" w:cs="Times New Roman"/>
                      <w:color w:val="auto"/>
                      <w:highlight w:val="none"/>
                      <w:lang w:val="en-US" w:eastAsia="zh-CN"/>
                    </w:rPr>
                    <w:t>⑥</w:t>
                  </w:r>
                  <w:r>
                    <w:rPr>
                      <w:rFonts w:hint="default" w:cs="Times New Roman"/>
                      <w:color w:val="auto"/>
                      <w:highlight w:val="none"/>
                      <w:lang w:val="en-US" w:eastAsia="zh-CN"/>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 方等，某些关键节点采取临时围挡进行封闭施工。</w:t>
                  </w:r>
                </w:p>
              </w:tc>
              <w:tc>
                <w:tcPr>
                  <w:tcW w:w="2510" w:type="dxa"/>
                  <w:vAlign w:val="center"/>
                </w:tcPr>
                <w:p w14:paraId="34CE937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①项目租用已建成厂房进行建设，不新增占地，施工期不涉及土方开挖，施工仅进行设备安装，主要污染因子为扬尘，定期进行洒水降尘后对生态环境影响较小；</w:t>
                  </w:r>
                </w:p>
                <w:p w14:paraId="3DFFB87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②项目租用已建成厂房进行建设，已在办公楼北侧进行260m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的绿化建设；</w:t>
                  </w:r>
                </w:p>
                <w:p w14:paraId="4C1A1D7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③环评要求项目建设后应制定相应的环境管理制度，并及时、定期对员工进行培训；</w:t>
                  </w:r>
                </w:p>
                <w:p w14:paraId="3CE5876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④项目租用已建成厂房进行建设，不新增占地，不会对植被造成破坏；</w:t>
                  </w:r>
                </w:p>
                <w:p w14:paraId="5382E89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⑤项目租用已建成厂房进行建设，不新增占地，不涉及植被破坏、土地开垦等活动；</w:t>
                  </w:r>
                </w:p>
                <w:p w14:paraId="3A63A19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⑥项目租用已建成厂房进行建设，不新增占地，不涉及地表破坏和水土流失，无建筑垃圾产生。</w:t>
                  </w:r>
                </w:p>
              </w:tc>
              <w:tc>
                <w:tcPr>
                  <w:tcW w:w="385" w:type="dxa"/>
                  <w:vAlign w:val="center"/>
                </w:tcPr>
                <w:p w14:paraId="195462F0">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33A5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160" w:type="dxa"/>
                  <w:vAlign w:val="center"/>
                </w:tcPr>
                <w:p w14:paraId="1DBDA7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事故及风险防范措施</w:t>
                  </w:r>
                </w:p>
              </w:tc>
              <w:tc>
                <w:tcPr>
                  <w:tcW w:w="3855" w:type="dxa"/>
                  <w:vAlign w:val="center"/>
                </w:tcPr>
                <w:p w14:paraId="3760A3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①规划实施过程中，园区管委会和环保部门对进驻园区企业进行风险排查，掌握园区企业危险化学品使用、贮存和生产情况；</w:t>
                  </w:r>
                </w:p>
                <w:p w14:paraId="1908C2B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②企业进驻园区时，根据进驻企业的生产规模、产品方案、工艺流程以及危险化学品使用、贮存和生产情况，对进驻企业按照 HJ/T169-2018《建设项目环境风险评价技术导则》的要求进行环境风险评价，提出各项目的环境风险防范措施和应急预案，确定各项目的安全防护距离；</w:t>
                  </w:r>
                </w:p>
                <w:p w14:paraId="0082595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③根据进驻项目可能发生的风险事故和清消废水产生量，对存在环境风险的项目，在进行设计施工时，设置清消废水收集池，清消废水经收集处理达标后才能外排；</w:t>
                  </w:r>
                </w:p>
                <w:p w14:paraId="1ED62C2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④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14:paraId="54A2A7A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⑤园区周围环境目标众多，环境敏感程度较高，限制根据 HJ/T169-2018《建设项目环境风险评价技术导则》判定的极高危害企业 (P1) 入驻。</w:t>
                  </w:r>
                </w:p>
              </w:tc>
              <w:tc>
                <w:tcPr>
                  <w:tcW w:w="2510" w:type="dxa"/>
                  <w:vAlign w:val="center"/>
                </w:tcPr>
                <w:p w14:paraId="2D51209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①项目为纸制品制造业，涉及的危险化学品仅为天然气，项目天然气由园区管网供应，其贮存和输送过程均可控；</w:t>
                  </w:r>
                </w:p>
                <w:p w14:paraId="2E6AAA4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②本环评第四章已对项目提出</w:t>
                  </w:r>
                  <w:r>
                    <w:rPr>
                      <w:rFonts w:hint="eastAsia" w:cs="Times New Roman"/>
                      <w:color w:val="auto"/>
                      <w:highlight w:val="none"/>
                      <w:lang w:val="en-US" w:eastAsia="zh-CN"/>
                    </w:rPr>
                    <w:t>环境风险防范措施；并要求项目后续</w:t>
                  </w:r>
                  <w:r>
                    <w:rPr>
                      <w:rFonts w:hint="eastAsia" w:cs="Times New Roman"/>
                      <w:color w:val="auto"/>
                      <w:sz w:val="21"/>
                      <w:szCs w:val="21"/>
                      <w:highlight w:val="none"/>
                      <w:lang w:val="en-US" w:eastAsia="zh-CN"/>
                    </w:rPr>
                    <w:t>按要求编制突发环境事件应急预案并进行备案；</w:t>
                  </w:r>
                </w:p>
                <w:p w14:paraId="4386ACD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highlight w:val="none"/>
                      <w:lang w:val="en-US" w:eastAsia="zh-CN"/>
                    </w:rPr>
                  </w:pPr>
                  <w:r>
                    <w:rPr>
                      <w:rFonts w:hint="eastAsia" w:cs="Times New Roman"/>
                      <w:color w:val="auto"/>
                      <w:sz w:val="21"/>
                      <w:szCs w:val="21"/>
                      <w:highlight w:val="none"/>
                      <w:lang w:val="en-US" w:eastAsia="zh-CN"/>
                    </w:rPr>
                    <w:t>③环评提出项目需建设事故应急池，用来储存</w:t>
                  </w:r>
                  <w:r>
                    <w:rPr>
                      <w:rFonts w:hint="eastAsia" w:cs="Times New Roman"/>
                      <w:color w:val="auto"/>
                      <w:highlight w:val="none"/>
                      <w:lang w:val="en-US" w:eastAsia="zh-CN"/>
                    </w:rPr>
                    <w:t>清消废水，事故应急池有效容积不少于15m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w:t>
                  </w:r>
                </w:p>
                <w:p w14:paraId="483408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cs="Times New Roman"/>
                      <w:color w:val="auto"/>
                      <w:sz w:val="21"/>
                      <w:szCs w:val="21"/>
                      <w:highlight w:val="none"/>
                      <w:lang w:val="en-US" w:eastAsia="zh-CN"/>
                    </w:rPr>
                  </w:pPr>
                  <w:r>
                    <w:rPr>
                      <w:rFonts w:hint="eastAsia" w:cs="Times New Roman"/>
                      <w:color w:val="auto"/>
                      <w:highlight w:val="none"/>
                      <w:lang w:val="en-US" w:eastAsia="zh-CN"/>
                    </w:rPr>
                    <w:t>④项目为纸制品制造业，项目涉及的易燃易爆危险化学品为天然气，均为园区管道输送，</w:t>
                  </w:r>
                  <w:r>
                    <w:rPr>
                      <w:rFonts w:hint="eastAsia" w:cs="Times New Roman"/>
                      <w:color w:val="auto"/>
                      <w:sz w:val="21"/>
                      <w:szCs w:val="21"/>
                      <w:highlight w:val="none"/>
                      <w:lang w:val="en-US" w:eastAsia="zh-CN"/>
                    </w:rPr>
                    <w:t>其贮存和输送过程均可控，且项目不涉及其他</w:t>
                  </w:r>
                  <w:r>
                    <w:rPr>
                      <w:rFonts w:hint="eastAsia" w:cs="Times New Roman"/>
                      <w:color w:val="auto"/>
                      <w:highlight w:val="none"/>
                      <w:lang w:val="en-US" w:eastAsia="zh-CN"/>
                    </w:rPr>
                    <w:t>易燃、易爆、有毒有害等危险化学品的储存堆放</w:t>
                  </w:r>
                  <w:r>
                    <w:rPr>
                      <w:rFonts w:hint="eastAsia" w:cs="Times New Roman"/>
                      <w:color w:val="auto"/>
                      <w:sz w:val="21"/>
                      <w:szCs w:val="21"/>
                      <w:highlight w:val="none"/>
                      <w:lang w:val="en-US" w:eastAsia="zh-CN"/>
                    </w:rPr>
                    <w:t>；</w:t>
                  </w:r>
                </w:p>
                <w:p w14:paraId="25846B8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⑤项目危险物质工艺系统危险特性等级为P4；</w:t>
                  </w:r>
                </w:p>
              </w:tc>
              <w:tc>
                <w:tcPr>
                  <w:tcW w:w="385" w:type="dxa"/>
                  <w:vAlign w:val="center"/>
                </w:tcPr>
                <w:p w14:paraId="51A0AC33">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bl>
          <w:p w14:paraId="34346A69">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综上所述，项目建设与《</w:t>
            </w:r>
            <w:r>
              <w:rPr>
                <w:rFonts w:hint="eastAsia" w:cs="Times New Roman"/>
                <w:color w:val="auto"/>
                <w:sz w:val="24"/>
                <w:szCs w:val="24"/>
                <w:highlight w:val="none"/>
                <w:lang w:val="en-US" w:eastAsia="zh-CN"/>
              </w:rPr>
              <w:t>云南</w:t>
            </w:r>
            <w:r>
              <w:rPr>
                <w:rFonts w:hint="default" w:ascii="Times New Roman" w:hAnsi="Times New Roman" w:eastAsia="宋体" w:cs="Times New Roman"/>
                <w:color w:val="auto"/>
                <w:sz w:val="24"/>
                <w:szCs w:val="24"/>
                <w:highlight w:val="none"/>
                <w:lang w:val="zh-CN" w:eastAsia="zh-CN"/>
              </w:rPr>
              <w:t>寻甸产业园区总体规划修编（20</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zh-CN" w:eastAsia="zh-CN"/>
              </w:rPr>
              <w:t>-2035年）环境影响报告书》</w:t>
            </w:r>
            <w:r>
              <w:rPr>
                <w:rFonts w:hint="eastAsia" w:cs="Times New Roman"/>
                <w:color w:val="auto"/>
                <w:sz w:val="24"/>
                <w:szCs w:val="24"/>
                <w:highlight w:val="none"/>
                <w:lang w:val="zh-CN" w:eastAsia="zh-CN"/>
              </w:rPr>
              <w:t>要求</w:t>
            </w:r>
            <w:r>
              <w:rPr>
                <w:rFonts w:hint="default" w:ascii="Times New Roman" w:hAnsi="Times New Roman" w:eastAsia="宋体" w:cs="Times New Roman"/>
                <w:color w:val="auto"/>
                <w:sz w:val="24"/>
                <w:szCs w:val="24"/>
                <w:highlight w:val="none"/>
                <w:lang w:val="zh-CN" w:eastAsia="zh-CN"/>
              </w:rPr>
              <w:t>相符</w:t>
            </w:r>
            <w:r>
              <w:rPr>
                <w:rFonts w:hint="eastAsia" w:cs="Times New Roman"/>
                <w:color w:val="auto"/>
                <w:sz w:val="24"/>
                <w:szCs w:val="24"/>
                <w:highlight w:val="none"/>
                <w:lang w:val="zh-CN" w:eastAsia="zh-CN"/>
              </w:rPr>
              <w:t>。</w:t>
            </w:r>
          </w:p>
          <w:p w14:paraId="4D9B94C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zh-CN" w:eastAsia="zh-CN"/>
              </w:rPr>
            </w:pPr>
            <w:r>
              <w:rPr>
                <w:rFonts w:hint="eastAsia" w:ascii="Times New Roman" w:hAnsi="Times New Roman" w:cs="Times New Roman"/>
                <w:color w:val="auto"/>
                <w:sz w:val="24"/>
                <w:highlight w:val="none"/>
                <w:lang w:val="en-US" w:eastAsia="zh-CN"/>
              </w:rPr>
              <w:t>项目与云南省生态环境厅关于《</w:t>
            </w:r>
            <w:r>
              <w:rPr>
                <w:rFonts w:hint="eastAsia" w:cs="Times New Roman"/>
                <w:color w:val="auto"/>
                <w:sz w:val="24"/>
                <w:szCs w:val="24"/>
                <w:highlight w:val="none"/>
                <w:lang w:val="en-US" w:eastAsia="zh-CN"/>
              </w:rPr>
              <w:t>云南</w:t>
            </w:r>
            <w:r>
              <w:rPr>
                <w:rFonts w:hint="default" w:ascii="Times New Roman" w:hAnsi="Times New Roman" w:eastAsia="宋体" w:cs="Times New Roman"/>
                <w:color w:val="auto"/>
                <w:sz w:val="24"/>
                <w:szCs w:val="24"/>
                <w:highlight w:val="none"/>
                <w:lang w:val="zh-CN" w:eastAsia="zh-CN"/>
              </w:rPr>
              <w:t>寻甸产业园区总体规划修编（20</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zh-CN" w:eastAsia="zh-CN"/>
              </w:rPr>
              <w:t>-2035年）环境影响报告书</w:t>
            </w:r>
            <w:r>
              <w:rPr>
                <w:rFonts w:hint="eastAsia" w:ascii="Times New Roman" w:hAnsi="Times New Roman" w:cs="Times New Roman"/>
                <w:color w:val="auto"/>
                <w:sz w:val="24"/>
                <w:highlight w:val="none"/>
                <w:lang w:val="en-US" w:eastAsia="zh-CN"/>
              </w:rPr>
              <w:t>》审查意见的函（</w:t>
            </w:r>
            <w:r>
              <w:rPr>
                <w:rFonts w:hint="eastAsia" w:cs="Times New Roman"/>
                <w:color w:val="auto"/>
                <w:sz w:val="24"/>
                <w:highlight w:val="none"/>
                <w:lang w:val="en-US" w:eastAsia="zh-CN"/>
              </w:rPr>
              <w:t>昆环复</w:t>
            </w:r>
            <w:r>
              <w:rPr>
                <w:rFonts w:hint="eastAsia" w:ascii="Times New Roman" w:hAnsi="Times New Roman" w:cs="Times New Roman"/>
                <w:color w:val="auto"/>
                <w:sz w:val="24"/>
                <w:highlight w:val="none"/>
                <w:lang w:val="en-US" w:eastAsia="zh-CN"/>
              </w:rPr>
              <w:t>【202</w:t>
            </w:r>
            <w:r>
              <w:rPr>
                <w:rFonts w:hint="eastAsia" w:cs="Times New Roman"/>
                <w:color w:val="auto"/>
                <w:sz w:val="24"/>
                <w:highlight w:val="none"/>
                <w:lang w:val="en-US" w:eastAsia="zh-CN"/>
              </w:rPr>
              <w:t>3</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5</w:t>
            </w:r>
            <w:r>
              <w:rPr>
                <w:rFonts w:hint="eastAsia" w:ascii="Times New Roman" w:hAnsi="Times New Roman" w:cs="Times New Roman"/>
                <w:color w:val="auto"/>
                <w:sz w:val="24"/>
                <w:highlight w:val="none"/>
                <w:lang w:val="en-US" w:eastAsia="zh-CN"/>
              </w:rPr>
              <w:t>号）相符性分析见下表</w:t>
            </w:r>
            <w:r>
              <w:rPr>
                <w:rFonts w:hint="default" w:ascii="Times New Roman" w:hAnsi="Times New Roman" w:eastAsia="宋体" w:cs="Times New Roman"/>
                <w:color w:val="auto"/>
                <w:sz w:val="24"/>
                <w:szCs w:val="24"/>
                <w:highlight w:val="none"/>
                <w:lang w:val="zh-CN" w:eastAsia="zh-CN"/>
              </w:rPr>
              <w:t>。</w:t>
            </w:r>
          </w:p>
          <w:p w14:paraId="286B9A65">
            <w:pPr>
              <w:keepNext w:val="0"/>
              <w:keepLines w:val="0"/>
              <w:suppressLineNumbers w:val="0"/>
              <w:adjustRightInd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kern w:val="0"/>
                <w:sz w:val="21"/>
                <w:szCs w:val="21"/>
                <w:highlight w:val="none"/>
              </w:rPr>
              <w:t>表</w:t>
            </w:r>
            <w:r>
              <w:rPr>
                <w:rFonts w:hint="eastAsia" w:ascii="Times New Roman" w:hAnsi="Times New Roman" w:eastAsia="宋体" w:cs="Times New Roman"/>
                <w:b/>
                <w:color w:val="auto"/>
                <w:kern w:val="0"/>
                <w:sz w:val="21"/>
                <w:szCs w:val="21"/>
                <w:highlight w:val="none"/>
                <w:lang w:val="en-US" w:eastAsia="zh-CN"/>
              </w:rPr>
              <w:t>1</w:t>
            </w:r>
            <w:r>
              <w:rPr>
                <w:rFonts w:hint="default" w:ascii="Times New Roman" w:hAnsi="Times New Roman" w:eastAsia="宋体" w:cs="Times New Roman"/>
                <w:b/>
                <w:color w:val="auto"/>
                <w:kern w:val="0"/>
                <w:sz w:val="21"/>
                <w:szCs w:val="21"/>
                <w:highlight w:val="none"/>
              </w:rPr>
              <w:t>-</w:t>
            </w:r>
            <w:r>
              <w:rPr>
                <w:rFonts w:hint="eastAsia"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rPr>
              <w:t xml:space="preserve"> </w:t>
            </w:r>
            <w:r>
              <w:rPr>
                <w:rFonts w:hint="eastAsia" w:ascii="Times New Roman" w:hAnsi="Times New Roman" w:eastAsia="宋体" w:cs="Times New Roman"/>
                <w:b/>
                <w:color w:val="auto"/>
                <w:kern w:val="0"/>
                <w:sz w:val="21"/>
                <w:szCs w:val="21"/>
                <w:highlight w:val="none"/>
                <w:lang w:val="en-US" w:eastAsia="zh-CN"/>
              </w:rPr>
              <w:t xml:space="preserve"> </w:t>
            </w:r>
            <w:r>
              <w:rPr>
                <w:rFonts w:hint="default" w:ascii="Times New Roman" w:hAnsi="Times New Roman" w:eastAsia="宋体" w:cs="Times New Roman"/>
                <w:b/>
                <w:color w:val="auto"/>
                <w:kern w:val="0"/>
                <w:sz w:val="21"/>
                <w:szCs w:val="21"/>
                <w:highlight w:val="none"/>
              </w:rPr>
              <w:t>与审查意见相符性分析</w:t>
            </w:r>
          </w:p>
          <w:tbl>
            <w:tblPr>
              <w:tblStyle w:val="30"/>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2625"/>
              <w:gridCol w:w="604"/>
            </w:tblGrid>
            <w:tr w14:paraId="451B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536" w:type="dxa"/>
                  <w:noWrap w:val="0"/>
                  <w:vAlign w:val="center"/>
                </w:tcPr>
                <w:p w14:paraId="15573691">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审查意见提出要求</w:t>
                  </w:r>
                </w:p>
              </w:tc>
              <w:tc>
                <w:tcPr>
                  <w:tcW w:w="2625" w:type="dxa"/>
                  <w:noWrap w:val="0"/>
                  <w:vAlign w:val="center"/>
                </w:tcPr>
                <w:p w14:paraId="4A154AC7">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本项目情况</w:t>
                  </w:r>
                </w:p>
              </w:tc>
              <w:tc>
                <w:tcPr>
                  <w:tcW w:w="604" w:type="dxa"/>
                  <w:noWrap w:val="0"/>
                  <w:vAlign w:val="center"/>
                </w:tcPr>
                <w:p w14:paraId="0BE9FF11">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相符性分析</w:t>
                  </w:r>
                </w:p>
              </w:tc>
            </w:tr>
            <w:tr w14:paraId="4918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4536" w:type="dxa"/>
                  <w:noWrap w:val="0"/>
                  <w:vAlign w:val="center"/>
                </w:tcPr>
                <w:p w14:paraId="320BDC05">
                  <w:pPr>
                    <w:keepNext w:val="0"/>
                    <w:keepLines w:val="0"/>
                    <w:suppressLineNumbers w:val="0"/>
                    <w:adjustRightInd w:val="0"/>
                    <w:snapToGrid w:val="0"/>
                    <w:spacing w:before="0" w:beforeAutospacing="0" w:after="0" w:afterAutospacing="0" w:line="240" w:lineRule="auto"/>
                    <w:ind w:left="0" w:leftChars="0" w:right="0" w:firstLine="420" w:firstLineChars="200"/>
                    <w:jc w:val="left"/>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17A73639">
                  <w:pPr>
                    <w:keepNext w:val="0"/>
                    <w:keepLines w:val="0"/>
                    <w:suppressLineNumbers w:val="0"/>
                    <w:adjustRightInd w:val="0"/>
                    <w:snapToGrid w:val="0"/>
                    <w:spacing w:before="0" w:beforeAutospacing="0" w:after="0" w:afterAutospacing="0" w:line="240" w:lineRule="auto"/>
                    <w:ind w:left="0" w:leftChars="0" w:right="0" w:firstLine="420" w:firstLineChars="200"/>
                    <w:jc w:val="left"/>
                    <w:rPr>
                      <w:rFonts w:hint="default" w:ascii="Times New Roman" w:hAnsi="Times New Roman" w:eastAsia="宋体" w:cs="Times New Roman"/>
                      <w:b w:val="0"/>
                      <w:bCs w:val="0"/>
                      <w:color w:val="auto"/>
                      <w:sz w:val="21"/>
                      <w:szCs w:val="21"/>
                      <w:highlight w:val="none"/>
                      <w:lang w:val="en-US" w:eastAsia="zh-CN"/>
                    </w:rPr>
                  </w:pPr>
                </w:p>
              </w:tc>
              <w:tc>
                <w:tcPr>
                  <w:tcW w:w="2625" w:type="dxa"/>
                  <w:noWrap w:val="0"/>
                  <w:vAlign w:val="center"/>
                </w:tcPr>
                <w:p w14:paraId="3208FF67">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项目调胶和烘干过程产生的甲醛、VOCs废气经集气罩收集、“UV光解+三级活性炭吸附净化装置”处理后，由15m高排气筒（DA001）排放。项目使用清洁能源天然气作为生产热源燃料。项目采取的环保措施</w:t>
                  </w:r>
                  <w:r>
                    <w:rPr>
                      <w:rFonts w:hint="default" w:ascii="Times New Roman" w:hAnsi="Times New Roman" w:eastAsia="宋体" w:cs="Times New Roman"/>
                      <w:b w:val="0"/>
                      <w:bCs w:val="0"/>
                      <w:color w:val="auto"/>
                      <w:sz w:val="21"/>
                      <w:szCs w:val="21"/>
                      <w:highlight w:val="none"/>
                      <w:lang w:val="en-US" w:eastAsia="zh-CN"/>
                    </w:rPr>
                    <w:t>可</w:t>
                  </w:r>
                  <w:r>
                    <w:rPr>
                      <w:rFonts w:hint="default" w:ascii="Times New Roman" w:hAnsi="Times New Roman" w:eastAsia="宋体" w:cs="Times New Roman"/>
                      <w:color w:val="auto"/>
                      <w:sz w:val="21"/>
                      <w:szCs w:val="21"/>
                      <w:highlight w:val="none"/>
                    </w:rPr>
                    <w:t>有效减少主要污染物</w:t>
                  </w:r>
                  <w:r>
                    <w:rPr>
                      <w:rFonts w:hint="eastAsia" w:cs="Times New Roman"/>
                      <w:b w:val="0"/>
                      <w:bCs w:val="0"/>
                      <w:color w:val="auto"/>
                      <w:sz w:val="21"/>
                      <w:szCs w:val="21"/>
                      <w:highlight w:val="none"/>
                      <w:lang w:val="en-US" w:eastAsia="zh-CN"/>
                    </w:rPr>
                    <w:t>甲醛、VOCs、NOx和SO</w:t>
                  </w:r>
                  <w:r>
                    <w:rPr>
                      <w:rFonts w:hint="eastAsia" w:cs="Times New Roman"/>
                      <w:b w:val="0"/>
                      <w:bCs w:val="0"/>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rPr>
                    <w:t>的排放总量</w:t>
                  </w:r>
                  <w:r>
                    <w:rPr>
                      <w:rFonts w:hint="eastAsia" w:cs="Times New Roman"/>
                      <w:color w:val="auto"/>
                      <w:sz w:val="21"/>
                      <w:szCs w:val="21"/>
                      <w:highlight w:val="none"/>
                      <w:lang w:eastAsia="zh-CN"/>
                    </w:rPr>
                    <w:t>；</w:t>
                  </w:r>
                </w:p>
              </w:tc>
              <w:tc>
                <w:tcPr>
                  <w:tcW w:w="604" w:type="dxa"/>
                  <w:noWrap w:val="0"/>
                  <w:vAlign w:val="center"/>
                </w:tcPr>
                <w:p w14:paraId="0E8E8D53">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相符</w:t>
                  </w:r>
                </w:p>
              </w:tc>
            </w:tr>
            <w:tr w14:paraId="4E30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4536" w:type="dxa"/>
                  <w:noWrap w:val="0"/>
                  <w:vAlign w:val="center"/>
                </w:tcPr>
                <w:p w14:paraId="2B9186DA">
                  <w:pPr>
                    <w:keepNext w:val="0"/>
                    <w:keepLines w:val="0"/>
                    <w:suppressLineNumbers w:val="0"/>
                    <w:adjustRightInd w:val="0"/>
                    <w:snapToGrid w:val="0"/>
                    <w:spacing w:before="0" w:beforeAutospacing="0" w:after="0" w:afterAutospacing="0" w:line="240" w:lineRule="auto"/>
                    <w:ind w:left="0" w:leftChars="0" w:right="0" w:firstLine="420" w:firstLineChars="200"/>
                    <w:jc w:val="left"/>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14:paraId="0A497F8E">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cs="Times New Roman"/>
                      <w:b w:val="0"/>
                      <w:bCs w:val="0"/>
                      <w:color w:val="auto"/>
                      <w:sz w:val="21"/>
                      <w:szCs w:val="21"/>
                      <w:highlight w:val="none"/>
                      <w:lang w:val="en-US" w:eastAsia="zh-CN"/>
                    </w:rPr>
                  </w:pPr>
                </w:p>
              </w:tc>
              <w:tc>
                <w:tcPr>
                  <w:tcW w:w="2625" w:type="dxa"/>
                  <w:noWrap w:val="0"/>
                  <w:vAlign w:val="center"/>
                </w:tcPr>
                <w:p w14:paraId="0C0AF360">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项目已优化生产工艺，减少了生水的使用，不产生生产废水。项目不产生生产废水，生活污水通过污水处理站处理达标后回用于厂区绿化和道路浇洒，不外排；</w:t>
                  </w:r>
                </w:p>
              </w:tc>
              <w:tc>
                <w:tcPr>
                  <w:tcW w:w="604" w:type="dxa"/>
                  <w:noWrap w:val="0"/>
                  <w:vAlign w:val="center"/>
                </w:tcPr>
                <w:p w14:paraId="2AAA0036">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相符</w:t>
                  </w:r>
                </w:p>
              </w:tc>
            </w:tr>
            <w:tr w14:paraId="121E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trPr>
              <w:tc>
                <w:tcPr>
                  <w:tcW w:w="4536" w:type="dxa"/>
                  <w:noWrap w:val="0"/>
                  <w:vAlign w:val="center"/>
                </w:tcPr>
                <w:p w14:paraId="1F0EA8FA">
                  <w:pPr>
                    <w:keepNext w:val="0"/>
                    <w:keepLines w:val="0"/>
                    <w:suppressLineNumbers w:val="0"/>
                    <w:adjustRightInd w:val="0"/>
                    <w:snapToGrid w:val="0"/>
                    <w:spacing w:before="0" w:beforeAutospacing="0" w:after="0" w:afterAutospacing="0" w:line="240" w:lineRule="auto"/>
                    <w:ind w:left="0" w:leftChars="0" w:right="0" w:firstLine="420" w:firstLineChars="200"/>
                    <w:jc w:val="left"/>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2EF49AAD">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cs="Times New Roman"/>
                      <w:b w:val="0"/>
                      <w:bCs w:val="0"/>
                      <w:color w:val="auto"/>
                      <w:sz w:val="21"/>
                      <w:szCs w:val="21"/>
                      <w:highlight w:val="none"/>
                      <w:lang w:val="en-US" w:eastAsia="zh-CN"/>
                    </w:rPr>
                  </w:pPr>
                </w:p>
              </w:tc>
              <w:tc>
                <w:tcPr>
                  <w:tcW w:w="2625" w:type="dxa"/>
                  <w:noWrap w:val="0"/>
                  <w:vAlign w:val="center"/>
                </w:tcPr>
                <w:p w14:paraId="31734C99">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根据《报告书》中提出的地下水环境红线划分情况，项目位于其他区域，属于可引导开发的区域。</w:t>
                  </w:r>
                </w:p>
              </w:tc>
              <w:tc>
                <w:tcPr>
                  <w:tcW w:w="604" w:type="dxa"/>
                  <w:noWrap w:val="0"/>
                  <w:vAlign w:val="center"/>
                </w:tcPr>
                <w:p w14:paraId="4F61B2A1">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相符</w:t>
                  </w:r>
                </w:p>
              </w:tc>
            </w:tr>
            <w:tr w14:paraId="25E3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4536" w:type="dxa"/>
                  <w:noWrap w:val="0"/>
                  <w:vAlign w:val="center"/>
                </w:tcPr>
                <w:p w14:paraId="0F3B5C0C">
                  <w:pPr>
                    <w:keepNext w:val="0"/>
                    <w:keepLines w:val="0"/>
                    <w:suppressLineNumbers w:val="0"/>
                    <w:adjustRightInd w:val="0"/>
                    <w:snapToGrid w:val="0"/>
                    <w:spacing w:before="0" w:beforeAutospacing="0" w:after="0" w:afterAutospacing="0" w:line="240" w:lineRule="auto"/>
                    <w:ind w:left="0" w:leftChars="0" w:right="0" w:firstLine="420" w:firstLineChars="200"/>
                    <w:jc w:val="left"/>
                    <w:rPr>
                      <w:rFonts w:hint="default" w:ascii="Times New Roman" w:hAnsi="Times New Roman" w:eastAsia="宋体" w:cs="Times New Roman"/>
                      <w:b w:val="0"/>
                      <w:bCs w:val="0"/>
                      <w:color w:val="auto"/>
                      <w:sz w:val="21"/>
                      <w:szCs w:val="21"/>
                      <w:highlight w:val="none"/>
                      <w:lang w:eastAsia="zh-CN"/>
                    </w:rPr>
                  </w:pPr>
                  <w:r>
                    <w:rPr>
                      <w:rFonts w:hint="default" w:cs="Times New Roman"/>
                      <w:b w:val="0"/>
                      <w:bCs w:val="0"/>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w:t>
                  </w:r>
                  <w:r>
                    <w:rPr>
                      <w:rFonts w:hint="eastAsia" w:cs="Times New Roman"/>
                      <w:b w:val="0"/>
                      <w:bCs w:val="0"/>
                      <w:color w:val="auto"/>
                      <w:sz w:val="21"/>
                      <w:szCs w:val="21"/>
                      <w:highlight w:val="none"/>
                      <w:lang w:val="en-US" w:eastAsia="zh-CN"/>
                    </w:rPr>
                    <w:t>、</w:t>
                  </w:r>
                  <w:r>
                    <w:rPr>
                      <w:rFonts w:hint="default" w:cs="Times New Roman"/>
                      <w:b w:val="0"/>
                      <w:bCs w:val="0"/>
                      <w:color w:val="auto"/>
                      <w:sz w:val="21"/>
                      <w:szCs w:val="21"/>
                      <w:highlight w:val="none"/>
                      <w:lang w:val="en-US" w:eastAsia="zh-CN"/>
                    </w:rPr>
                    <w:t>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r>
                    <w:rPr>
                      <w:rFonts w:hint="eastAsia" w:cs="Times New Roman"/>
                      <w:b w:val="0"/>
                      <w:bCs w:val="0"/>
                      <w:color w:val="auto"/>
                      <w:sz w:val="21"/>
                      <w:szCs w:val="21"/>
                      <w:highlight w:val="none"/>
                      <w:lang w:val="en-US" w:eastAsia="zh-CN"/>
                    </w:rPr>
                    <w:t>。</w:t>
                  </w:r>
                </w:p>
              </w:tc>
              <w:tc>
                <w:tcPr>
                  <w:tcW w:w="2625" w:type="dxa"/>
                  <w:noWrap w:val="0"/>
                  <w:vAlign w:val="center"/>
                </w:tcPr>
                <w:p w14:paraId="6978EB3A">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本项目不涉及</w:t>
                  </w:r>
                  <w:r>
                    <w:rPr>
                      <w:rFonts w:hint="default" w:ascii="Times New Roman" w:hAnsi="Times New Roman" w:eastAsia="宋体" w:cs="Times New Roman"/>
                      <w:color w:val="auto"/>
                      <w:sz w:val="21"/>
                      <w:szCs w:val="21"/>
                      <w:highlight w:val="none"/>
                    </w:rPr>
                    <w:t>危险化学品储运</w:t>
                  </w:r>
                  <w:r>
                    <w:rPr>
                      <w:rFonts w:hint="default" w:ascii="Times New Roman" w:hAnsi="Times New Roman" w:eastAsia="宋体" w:cs="Times New Roman"/>
                      <w:color w:val="auto"/>
                      <w:sz w:val="21"/>
                      <w:szCs w:val="21"/>
                      <w:highlight w:val="none"/>
                      <w:lang w:eastAsia="zh-CN"/>
                    </w:rPr>
                    <w:t>，也不属于</w:t>
                  </w:r>
                  <w:r>
                    <w:rPr>
                      <w:rFonts w:hint="default" w:ascii="Times New Roman" w:hAnsi="Times New Roman" w:eastAsia="宋体" w:cs="Times New Roman"/>
                      <w:color w:val="auto"/>
                      <w:sz w:val="21"/>
                      <w:szCs w:val="21"/>
                      <w:highlight w:val="none"/>
                    </w:rPr>
                    <w:t>煤、磷、盐化工企业</w:t>
                  </w:r>
                  <w:r>
                    <w:rPr>
                      <w:rFonts w:hint="default" w:ascii="Times New Roman" w:hAnsi="Times New Roman" w:eastAsia="宋体" w:cs="Times New Roman"/>
                      <w:color w:val="auto"/>
                      <w:sz w:val="21"/>
                      <w:szCs w:val="21"/>
                      <w:highlight w:val="none"/>
                      <w:lang w:eastAsia="zh-CN"/>
                    </w:rPr>
                    <w:t>，环境风险一般，在采取相应的措施后，环境风险能</w:t>
                  </w:r>
                  <w:r>
                    <w:rPr>
                      <w:rFonts w:hint="eastAsia" w:cs="Times New Roman"/>
                      <w:color w:val="auto"/>
                      <w:sz w:val="21"/>
                      <w:szCs w:val="21"/>
                      <w:highlight w:val="none"/>
                      <w:lang w:eastAsia="zh-CN"/>
                    </w:rPr>
                    <w:t>达到</w:t>
                  </w:r>
                  <w:r>
                    <w:rPr>
                      <w:rFonts w:hint="default" w:ascii="Times New Roman" w:hAnsi="Times New Roman" w:eastAsia="宋体" w:cs="Times New Roman"/>
                      <w:color w:val="auto"/>
                      <w:sz w:val="21"/>
                      <w:szCs w:val="21"/>
                      <w:highlight w:val="none"/>
                      <w:lang w:eastAsia="zh-CN"/>
                    </w:rPr>
                    <w:t>可接受水平</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项目将按要求编制</w:t>
                  </w:r>
                  <w:r>
                    <w:rPr>
                      <w:rFonts w:hint="default" w:cs="Times New Roman"/>
                      <w:b w:val="0"/>
                      <w:bCs w:val="0"/>
                      <w:color w:val="auto"/>
                      <w:sz w:val="21"/>
                      <w:szCs w:val="21"/>
                      <w:highlight w:val="none"/>
                      <w:lang w:val="en-US" w:eastAsia="zh-CN"/>
                    </w:rPr>
                    <w:t>突发环境事件应急预案</w:t>
                  </w:r>
                  <w:r>
                    <w:rPr>
                      <w:rFonts w:hint="eastAsia" w:cs="Times New Roman"/>
                      <w:b w:val="0"/>
                      <w:bCs w:val="0"/>
                      <w:color w:val="auto"/>
                      <w:sz w:val="21"/>
                      <w:szCs w:val="21"/>
                      <w:highlight w:val="none"/>
                      <w:lang w:val="en-US" w:eastAsia="zh-CN"/>
                    </w:rPr>
                    <w:t>。</w:t>
                  </w:r>
                </w:p>
              </w:tc>
              <w:tc>
                <w:tcPr>
                  <w:tcW w:w="604" w:type="dxa"/>
                  <w:noWrap w:val="0"/>
                  <w:vAlign w:val="center"/>
                </w:tcPr>
                <w:p w14:paraId="09D2CEAF">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相符</w:t>
                  </w:r>
                </w:p>
              </w:tc>
            </w:tr>
            <w:tr w14:paraId="2796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536" w:type="dxa"/>
                  <w:noWrap w:val="0"/>
                  <w:vAlign w:val="center"/>
                </w:tcPr>
                <w:p w14:paraId="1703BBD4">
                  <w:pPr>
                    <w:keepNext w:val="0"/>
                    <w:keepLines w:val="0"/>
                    <w:suppressLineNumbers w:val="0"/>
                    <w:adjustRightInd w:val="0"/>
                    <w:snapToGrid w:val="0"/>
                    <w:spacing w:before="0" w:beforeAutospacing="0" w:after="0" w:afterAutospacing="0" w:line="240" w:lineRule="auto"/>
                    <w:ind w:left="0" w:leftChars="0" w:right="0" w:firstLine="420" w:firstLineChars="200"/>
                    <w:jc w:val="left"/>
                    <w:rPr>
                      <w:rFonts w:hint="default" w:ascii="Times New Roman" w:hAnsi="Times New Roman" w:eastAsia="宋体" w:cs="Times New Roman"/>
                      <w:b w:val="0"/>
                      <w:bCs w:val="0"/>
                      <w:color w:val="auto"/>
                      <w:sz w:val="21"/>
                      <w:szCs w:val="21"/>
                      <w:highlight w:val="none"/>
                      <w:lang w:eastAsia="zh-CN"/>
                    </w:rPr>
                  </w:pPr>
                  <w:r>
                    <w:rPr>
                      <w:rFonts w:hint="default" w:cs="Times New Roman"/>
                      <w:b w:val="0"/>
                      <w:bCs w:val="0"/>
                      <w:color w:val="auto"/>
                      <w:sz w:val="21"/>
                      <w:szCs w:val="21"/>
                      <w:highlight w:val="none"/>
                      <w:lang w:val="en-US" w:eastAsia="zh-CN"/>
                    </w:rPr>
                    <w:t>落实《关于“十四五”大宗固体废弃物综合利用的指导意见》(发改环资[2021] 381 号)、《昆明市加快推动磷石膏综合利用二十条措施》等要求，按无害化、减量化、资源化的原则积极探索园区固体废弃物的源头减量、资源化综合利用途径，着力提升磷石膏综合利用率 (量 )，化解磷石膏处理处置困难带来的环境问题。做好危险废物的收集、贮存、转运和处置各个环节的监管工作。园区固体废物暂存 (处置) 场的选址和建设必须按照相关要求严格落实污染防治措施，确保园区固废得到妥善处置。</w:t>
                  </w:r>
                </w:p>
              </w:tc>
              <w:tc>
                <w:tcPr>
                  <w:tcW w:w="2625" w:type="dxa"/>
                  <w:noWrap w:val="0"/>
                  <w:vAlign w:val="center"/>
                </w:tcPr>
                <w:p w14:paraId="512E11F8">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lang w:val="en-US" w:eastAsia="zh-CN"/>
                    </w:rPr>
                    <w:t>项目不涉及磷石膏，且项目已设置危废暂存间和一般固废暂存间，委托有资质的单位清运处置，固废处置率100%。</w:t>
                  </w:r>
                </w:p>
              </w:tc>
              <w:tc>
                <w:tcPr>
                  <w:tcW w:w="604" w:type="dxa"/>
                  <w:noWrap w:val="0"/>
                  <w:vAlign w:val="center"/>
                </w:tcPr>
                <w:p w14:paraId="32B99F23">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相符</w:t>
                  </w:r>
                </w:p>
              </w:tc>
            </w:tr>
          </w:tbl>
          <w:p w14:paraId="396969B2">
            <w:pPr>
              <w:pStyle w:val="73"/>
              <w:keepNext w:val="0"/>
              <w:keepLines w:val="0"/>
              <w:pageBreakBefore w:val="0"/>
              <w:widowControl w:val="0"/>
              <w:kinsoku/>
              <w:wordWrap/>
              <w:overflowPunct/>
              <w:topLinePunct w:val="0"/>
              <w:autoSpaceDE w:val="0"/>
              <w:autoSpaceDN w:val="0"/>
              <w:bidi w:val="0"/>
              <w:snapToGrid w:val="0"/>
              <w:spacing w:before="0" w:after="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由上表可知，</w:t>
            </w:r>
            <w:r>
              <w:rPr>
                <w:rFonts w:hint="default" w:ascii="Times New Roman" w:hAnsi="Times New Roman" w:eastAsia="宋体" w:cs="Times New Roman"/>
                <w:color w:val="auto"/>
                <w:sz w:val="24"/>
                <w:highlight w:val="none"/>
              </w:rPr>
              <w:t>项目与规划环评</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审查意见</w:t>
            </w:r>
            <w:r>
              <w:rPr>
                <w:rFonts w:hint="default" w:ascii="Times New Roman" w:hAnsi="Times New Roman" w:eastAsia="宋体" w:cs="Times New Roman"/>
                <w:color w:val="auto"/>
                <w:sz w:val="24"/>
                <w:szCs w:val="24"/>
                <w:highlight w:val="none"/>
              </w:rPr>
              <w:t>相符</w:t>
            </w:r>
            <w:r>
              <w:rPr>
                <w:rFonts w:hint="default" w:ascii="Times New Roman" w:hAnsi="Times New Roman" w:eastAsia="宋体" w:cs="Times New Roman"/>
                <w:color w:val="auto"/>
                <w:sz w:val="24"/>
                <w:szCs w:val="24"/>
                <w:highlight w:val="none"/>
                <w:lang w:eastAsia="zh-CN"/>
              </w:rPr>
              <w:t>。</w:t>
            </w:r>
          </w:p>
          <w:p w14:paraId="7B796E6E">
            <w:pPr>
              <w:keepNext w:val="0"/>
              <w:keepLines w:val="0"/>
              <w:suppressLineNumbers w:val="0"/>
              <w:adjustRightInd w:val="0"/>
              <w:snapToGrid w:val="0"/>
              <w:spacing w:before="0" w:beforeAutospacing="0" w:after="0" w:afterAutospacing="0" w:line="360" w:lineRule="auto"/>
              <w:ind w:left="0" w:right="0" w:firstLine="480" w:firstLineChars="200"/>
              <w:rPr>
                <w:rFonts w:hint="eastAsia"/>
                <w:b/>
                <w:bCs/>
                <w:color w:val="auto"/>
                <w:sz w:val="24"/>
                <w:szCs w:val="24"/>
                <w:highlight w:val="none"/>
                <w:lang w:val="en-US" w:eastAsia="zh-CN"/>
              </w:rPr>
            </w:pPr>
            <w:r>
              <w:rPr>
                <w:rFonts w:hint="default" w:ascii="Times New Roman" w:hAnsi="Times New Roman" w:eastAsia="宋体" w:cs="Times New Roman"/>
                <w:color w:val="auto"/>
                <w:sz w:val="24"/>
                <w:highlight w:val="none"/>
              </w:rPr>
              <w:t>综上所述，项目建设与</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szCs w:val="24"/>
                <w:highlight w:val="none"/>
                <w:lang w:val="en-US" w:eastAsia="zh-CN"/>
              </w:rPr>
              <w:t>云南</w:t>
            </w:r>
            <w:r>
              <w:rPr>
                <w:rFonts w:hint="default" w:ascii="Times New Roman" w:hAnsi="Times New Roman" w:eastAsia="宋体" w:cs="Times New Roman"/>
                <w:color w:val="auto"/>
                <w:sz w:val="24"/>
                <w:szCs w:val="24"/>
                <w:highlight w:val="none"/>
                <w:lang w:val="zh-CN" w:eastAsia="zh-CN"/>
              </w:rPr>
              <w:t>寻甸产业园区总体规划修编（20</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zh-CN" w:eastAsia="zh-CN"/>
              </w:rPr>
              <w:t>-2035年）环境影响报告书</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规划环评及审查意见</w:t>
            </w:r>
            <w:r>
              <w:rPr>
                <w:rFonts w:hint="default" w:ascii="Times New Roman" w:hAnsi="Times New Roman" w:eastAsia="宋体" w:cs="Times New Roman"/>
                <w:color w:val="auto"/>
                <w:sz w:val="24"/>
                <w:szCs w:val="24"/>
                <w:highlight w:val="none"/>
              </w:rPr>
              <w:t>相符</w:t>
            </w:r>
            <w:r>
              <w:rPr>
                <w:rFonts w:hint="default" w:ascii="Times New Roman" w:hAnsi="Times New Roman" w:eastAsia="宋体" w:cs="Times New Roman"/>
                <w:color w:val="auto"/>
                <w:sz w:val="24"/>
                <w:highlight w:val="none"/>
              </w:rPr>
              <w:t>。</w:t>
            </w:r>
          </w:p>
          <w:p w14:paraId="08D49773">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kern w:val="0"/>
                <w:sz w:val="24"/>
                <w:highlight w:val="none"/>
                <w:lang w:val="zh-CN" w:eastAsia="zh-CN"/>
              </w:rPr>
            </w:pPr>
            <w:r>
              <w:rPr>
                <w:rFonts w:hint="eastAsia" w:ascii="Times New Roman" w:hAnsi="Times New Roman" w:eastAsia="宋体" w:cs="Times New Roman"/>
                <w:b/>
                <w:bCs/>
                <w:color w:val="auto"/>
                <w:kern w:val="0"/>
                <w:sz w:val="24"/>
                <w:highlight w:val="none"/>
                <w:lang w:val="en-US" w:eastAsia="zh-CN"/>
              </w:rPr>
              <w:t>3</w:t>
            </w:r>
            <w:r>
              <w:rPr>
                <w:rFonts w:hint="default" w:ascii="Times New Roman" w:hAnsi="Times New Roman" w:eastAsia="宋体" w:cs="Times New Roman"/>
                <w:b/>
                <w:bCs/>
                <w:color w:val="auto"/>
                <w:kern w:val="0"/>
                <w:sz w:val="24"/>
                <w:highlight w:val="none"/>
                <w:lang w:val="zh-CN" w:eastAsia="zh-CN"/>
              </w:rPr>
              <w:t>、与《</w:t>
            </w:r>
            <w:r>
              <w:rPr>
                <w:rFonts w:hint="eastAsia" w:cs="Times New Roman"/>
                <w:b/>
                <w:bCs/>
                <w:color w:val="auto"/>
                <w:kern w:val="0"/>
                <w:sz w:val="24"/>
                <w:highlight w:val="none"/>
                <w:lang w:val="en-US" w:eastAsia="zh-CN"/>
              </w:rPr>
              <w:t>云南</w:t>
            </w:r>
            <w:r>
              <w:rPr>
                <w:rFonts w:hint="default" w:ascii="Times New Roman" w:hAnsi="Times New Roman" w:eastAsia="宋体" w:cs="Times New Roman"/>
                <w:b/>
                <w:bCs/>
                <w:color w:val="auto"/>
                <w:kern w:val="0"/>
                <w:sz w:val="24"/>
                <w:highlight w:val="none"/>
                <w:lang w:val="zh-CN" w:eastAsia="zh-CN"/>
              </w:rPr>
              <w:t>寻甸产业园区总体规划修编（20</w:t>
            </w:r>
            <w:r>
              <w:rPr>
                <w:rFonts w:hint="eastAsia" w:cs="Times New Roman"/>
                <w:b/>
                <w:bCs/>
                <w:color w:val="auto"/>
                <w:kern w:val="0"/>
                <w:sz w:val="24"/>
                <w:highlight w:val="none"/>
                <w:lang w:val="en-US" w:eastAsia="zh-CN"/>
              </w:rPr>
              <w:t>21</w:t>
            </w:r>
            <w:r>
              <w:rPr>
                <w:rFonts w:hint="default" w:ascii="Times New Roman" w:hAnsi="Times New Roman" w:eastAsia="宋体" w:cs="Times New Roman"/>
                <w:b/>
                <w:bCs/>
                <w:color w:val="auto"/>
                <w:kern w:val="0"/>
                <w:sz w:val="24"/>
                <w:highlight w:val="none"/>
                <w:lang w:val="zh-CN" w:eastAsia="zh-CN"/>
              </w:rPr>
              <w:t>-2035年）环境影响报告书》</w:t>
            </w:r>
            <w:r>
              <w:rPr>
                <w:rFonts w:hint="eastAsia" w:ascii="Times New Roman" w:hAnsi="Times New Roman" w:eastAsia="宋体" w:cs="Times New Roman"/>
                <w:b/>
                <w:bCs/>
                <w:color w:val="auto"/>
                <w:kern w:val="0"/>
                <w:sz w:val="24"/>
                <w:highlight w:val="none"/>
                <w:lang w:val="zh-CN" w:eastAsia="zh-CN"/>
              </w:rPr>
              <w:t>中环境准入条件</w:t>
            </w:r>
            <w:r>
              <w:rPr>
                <w:rFonts w:hint="default" w:ascii="Times New Roman" w:hAnsi="Times New Roman" w:eastAsia="宋体" w:cs="Times New Roman"/>
                <w:b/>
                <w:bCs/>
                <w:color w:val="auto"/>
                <w:kern w:val="0"/>
                <w:sz w:val="24"/>
                <w:highlight w:val="none"/>
                <w:lang w:val="zh-CN" w:eastAsia="zh-CN"/>
              </w:rPr>
              <w:t>符合性分析</w:t>
            </w:r>
          </w:p>
          <w:p w14:paraId="2D88763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t>根据</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云南</w:t>
            </w:r>
            <w:r>
              <w:rPr>
                <w:rFonts w:hint="default" w:ascii="Times New Roman" w:hAnsi="Times New Roman" w:eastAsia="宋体" w:cs="Times New Roman"/>
                <w:color w:val="auto"/>
                <w:sz w:val="24"/>
                <w:szCs w:val="24"/>
                <w:highlight w:val="none"/>
                <w:lang w:val="zh-CN" w:eastAsia="zh-CN"/>
              </w:rPr>
              <w:t>寻甸产业园区总体规划修编（20</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zh-CN" w:eastAsia="zh-CN"/>
              </w:rPr>
              <w:t>-2035年）</w:t>
            </w:r>
            <w:r>
              <w:rPr>
                <w:rFonts w:hint="default" w:ascii="Times New Roman" w:hAnsi="Times New Roman" w:cs="Times New Roman"/>
                <w:color w:val="auto"/>
                <w:sz w:val="24"/>
                <w:szCs w:val="24"/>
                <w:highlight w:val="none"/>
                <w:lang w:val="en-US" w:eastAsia="zh-CN"/>
              </w:rPr>
              <w:t>环境影响报告书》</w:t>
            </w:r>
            <w:r>
              <w:rPr>
                <w:rFonts w:hint="default" w:ascii="Times New Roman" w:hAnsi="Times New Roman" w:cs="Times New Roman"/>
                <w:color w:val="auto"/>
                <w:sz w:val="24"/>
                <w:szCs w:val="24"/>
                <w:highlight w:val="none"/>
                <w:lang w:val="zh-CN" w:eastAsia="zh-CN"/>
              </w:rPr>
              <w:t>，园区准入负面清单及对照情况如下：</w:t>
            </w:r>
          </w:p>
          <w:p w14:paraId="49AB2C7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黑体"/>
                <w:b/>
                <w:bCs/>
                <w:color w:val="auto"/>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黑体"/>
                <w:b/>
                <w:bCs/>
                <w:color w:val="auto"/>
                <w:highlight w:val="none"/>
              </w:rPr>
              <w:t>项目与规划环评</w:t>
            </w:r>
            <w:r>
              <w:rPr>
                <w:rFonts w:hint="eastAsia" w:cs="黑体"/>
                <w:b/>
                <w:bCs/>
                <w:color w:val="auto"/>
                <w:highlight w:val="none"/>
                <w:lang w:val="en-US" w:eastAsia="zh-CN"/>
              </w:rPr>
              <w:t>环境准入负面清单</w:t>
            </w:r>
            <w:r>
              <w:rPr>
                <w:rFonts w:hint="eastAsia" w:ascii="Times New Roman" w:hAnsi="Times New Roman" w:eastAsia="宋体" w:cs="黑体"/>
                <w:b/>
                <w:bCs/>
                <w:color w:val="auto"/>
                <w:highlight w:val="none"/>
              </w:rPr>
              <w:t>相符性对比分析表</w:t>
            </w:r>
          </w:p>
          <w:tbl>
            <w:tblPr>
              <w:tblStyle w:val="30"/>
              <w:tblW w:w="7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659"/>
              <w:gridCol w:w="3705"/>
              <w:gridCol w:w="2505"/>
              <w:gridCol w:w="395"/>
            </w:tblGrid>
            <w:tr w14:paraId="1DF4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60" w:type="dxa"/>
                  <w:gridSpan w:val="2"/>
                  <w:vAlign w:val="center"/>
                </w:tcPr>
                <w:p w14:paraId="1B8546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highlight w:val="none"/>
                      <w:lang w:eastAsia="zh-CN"/>
                    </w:rPr>
                  </w:pPr>
                  <w:r>
                    <w:rPr>
                      <w:rFonts w:hint="eastAsia" w:cs="Times New Roman"/>
                      <w:b/>
                      <w:bCs/>
                      <w:color w:val="auto"/>
                      <w:highlight w:val="none"/>
                      <w:lang w:val="en-US" w:eastAsia="zh-CN"/>
                    </w:rPr>
                    <w:t>分类</w:t>
                  </w:r>
                </w:p>
              </w:tc>
              <w:tc>
                <w:tcPr>
                  <w:tcW w:w="3705" w:type="dxa"/>
                  <w:vAlign w:val="center"/>
                </w:tcPr>
                <w:p w14:paraId="374C49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highlight w:val="none"/>
                      <w:lang w:eastAsia="zh-CN"/>
                    </w:rPr>
                  </w:pPr>
                  <w:r>
                    <w:rPr>
                      <w:rFonts w:hint="eastAsia" w:cs="Times New Roman"/>
                      <w:b/>
                      <w:bCs/>
                      <w:color w:val="auto"/>
                      <w:highlight w:val="none"/>
                      <w:lang w:val="en-US" w:eastAsia="zh-CN"/>
                    </w:rPr>
                    <w:t>控制内容</w:t>
                  </w:r>
                </w:p>
              </w:tc>
              <w:tc>
                <w:tcPr>
                  <w:tcW w:w="2505" w:type="dxa"/>
                  <w:vAlign w:val="center"/>
                </w:tcPr>
                <w:p w14:paraId="4A2562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项目建设内容</w:t>
                  </w:r>
                </w:p>
              </w:tc>
              <w:tc>
                <w:tcPr>
                  <w:tcW w:w="395" w:type="dxa"/>
                  <w:vAlign w:val="center"/>
                </w:tcPr>
                <w:p w14:paraId="199CC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符合性</w:t>
                  </w:r>
                </w:p>
              </w:tc>
            </w:tr>
            <w:tr w14:paraId="1674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restart"/>
                  <w:vAlign w:val="center"/>
                </w:tcPr>
                <w:p w14:paraId="519962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总体要求</w:t>
                  </w:r>
                </w:p>
              </w:tc>
              <w:tc>
                <w:tcPr>
                  <w:tcW w:w="659" w:type="dxa"/>
                  <w:vAlign w:val="center"/>
                </w:tcPr>
                <w:p w14:paraId="56C4D6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禁入行业</w:t>
                  </w:r>
                </w:p>
              </w:tc>
              <w:tc>
                <w:tcPr>
                  <w:tcW w:w="3705" w:type="dxa"/>
                  <w:vAlign w:val="center"/>
                </w:tcPr>
                <w:p w14:paraId="79B6D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default" w:ascii="Times New Roman" w:hAnsi="Times New Roman" w:eastAsia="宋体" w:cs="Times New Roman"/>
                      <w:color w:val="auto"/>
                      <w:highlight w:val="none"/>
                    </w:rPr>
                    <w:t>《产业结构调整指导目录 (2019 年本</w:t>
                  </w:r>
                  <w:r>
                    <w:rPr>
                      <w:rFonts w:hint="eastAsia" w:cs="Times New Roman"/>
                      <w:color w:val="auto"/>
                      <w:highlight w:val="none"/>
                      <w:lang w:eastAsia="zh-CN"/>
                    </w:rPr>
                    <w:t>，</w:t>
                  </w:r>
                  <w:r>
                    <w:rPr>
                      <w:rFonts w:hint="eastAsia" w:cs="Times New Roman"/>
                      <w:color w:val="auto"/>
                      <w:highlight w:val="none"/>
                      <w:lang w:val="en-US" w:eastAsia="zh-CN"/>
                    </w:rPr>
                    <w:t>2021年修订）</w:t>
                  </w:r>
                  <w:r>
                    <w:rPr>
                      <w:rFonts w:hint="default" w:ascii="Times New Roman" w:hAnsi="Times New Roman" w:eastAsia="宋体" w:cs="Times New Roman"/>
                      <w:color w:val="auto"/>
                      <w:highlight w:val="none"/>
                    </w:rPr>
                    <w:t>》 中禁止、限制类的行业。</w:t>
                  </w:r>
                </w:p>
                <w:p w14:paraId="72239D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《外商投资产业指导目录 (2017 年修订)》中禁止类。</w:t>
                  </w:r>
                </w:p>
                <w:p w14:paraId="0C9B23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生产《环境保护综合名录 (2021 年版)》中“高污染、环境风险”产品</w:t>
                  </w:r>
                  <w:r>
                    <w:rPr>
                      <w:rFonts w:hint="eastAsia" w:cs="Times New Roman"/>
                      <w:color w:val="auto"/>
                      <w:highlight w:val="none"/>
                      <w:lang w:eastAsia="zh-CN"/>
                    </w:rPr>
                    <w:t>；</w:t>
                  </w:r>
                </w:p>
                <w:p w14:paraId="7A319F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4）</w:t>
                  </w:r>
                  <w:r>
                    <w:rPr>
                      <w:rFonts w:hint="default" w:ascii="Times New Roman" w:hAnsi="Times New Roman" w:eastAsia="宋体" w:cs="Times New Roman"/>
                      <w:color w:val="auto"/>
                      <w:highlight w:val="none"/>
                    </w:rPr>
                    <w:t>禁止引入其他不在园区产业定位、不符合园区环保要求项目，如造纸制浆、印染、染料、制革、电镀、水泥、炼焦、炼硫、炼砷、炼油、电镀、农药、氮肥、有色金属等项目。</w:t>
                  </w:r>
                </w:p>
                <w:p w14:paraId="36880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金所片区、羊街片区禁止引入造纸、印染、食品饮料、农副产品加工等需水量大，生产废水不能实现园区零排放的企业。</w:t>
                  </w:r>
                </w:p>
                <w:p w14:paraId="29061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6）</w:t>
                  </w:r>
                  <w:r>
                    <w:rPr>
                      <w:rFonts w:hint="default" w:ascii="Times New Roman" w:hAnsi="Times New Roman" w:eastAsia="宋体" w:cs="Times New Roman"/>
                      <w:color w:val="auto"/>
                      <w:highlight w:val="none"/>
                    </w:rPr>
                    <w:t>污水成分复杂或废水、废液按现有技术无法妥善处置的产业。</w:t>
                  </w:r>
                </w:p>
                <w:p w14:paraId="3F3901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7）</w:t>
                  </w:r>
                  <w:r>
                    <w:rPr>
                      <w:rFonts w:hint="default" w:ascii="Times New Roman" w:hAnsi="Times New Roman" w:eastAsia="宋体" w:cs="Times New Roman"/>
                      <w:color w:val="auto"/>
                      <w:highlight w:val="none"/>
                    </w:rPr>
                    <w:t>物耗、能耗相对较高，产生的大气污染类型复杂、环境风险较大的产业、项目或工艺</w:t>
                  </w:r>
                  <w:r>
                    <w:rPr>
                      <w:rFonts w:hint="eastAsia" w:cs="Times New Roman"/>
                      <w:color w:val="auto"/>
                      <w:highlight w:val="none"/>
                      <w:lang w:eastAsia="zh-CN"/>
                    </w:rPr>
                    <w:t>，</w:t>
                  </w:r>
                  <w:r>
                    <w:rPr>
                      <w:rFonts w:hint="default" w:ascii="Times New Roman" w:hAnsi="Times New Roman" w:eastAsia="宋体" w:cs="Times New Roman"/>
                      <w:color w:val="auto"/>
                      <w:highlight w:val="none"/>
                    </w:rPr>
                    <w:t>且产生的大气污染物无法自身治理或妥善处置或处理成本较高的产生。</w:t>
                  </w:r>
                </w:p>
                <w:p w14:paraId="4AD90D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不能严格按“三同时”要求建厂的企业，无法满足卫生防护距离、大气环境防护距离的企业。</w:t>
                  </w:r>
                </w:p>
                <w:p w14:paraId="296EA69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9）</w:t>
                  </w:r>
                  <w:r>
                    <w:rPr>
                      <w:rFonts w:hint="default" w:ascii="Times New Roman" w:hAnsi="Times New Roman" w:eastAsia="宋体" w:cs="Times New Roman"/>
                      <w:color w:val="auto"/>
                      <w:highlight w:val="none"/>
                    </w:rPr>
                    <w:t>与《云南省牛栏江保护条例》存在冲突的项目。</w:t>
                  </w:r>
                </w:p>
                <w:p w14:paraId="723744A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10）</w:t>
                  </w:r>
                  <w:r>
                    <w:rPr>
                      <w:rFonts w:hint="default" w:ascii="Times New Roman" w:hAnsi="Times New Roman" w:eastAsia="宋体" w:cs="Times New Roman"/>
                      <w:color w:val="auto"/>
                      <w:highlight w:val="none"/>
                    </w:rPr>
                    <w:t>禁止引入单位产品能耗、物耗、污染物产生量和排放量等清洁生产指标达不到国内先进水平的产业(项目)</w:t>
                  </w:r>
                  <w:r>
                    <w:rPr>
                      <w:rFonts w:hint="eastAsia" w:cs="Times New Roman"/>
                      <w:color w:val="auto"/>
                      <w:highlight w:val="none"/>
                      <w:lang w:eastAsia="zh-CN"/>
                    </w:rPr>
                    <w:t>；</w:t>
                  </w:r>
                  <w:r>
                    <w:rPr>
                      <w:rFonts w:hint="default" w:ascii="Times New Roman" w:hAnsi="Times New Roman" w:eastAsia="宋体" w:cs="Times New Roman"/>
                      <w:color w:val="auto"/>
                      <w:highlight w:val="none"/>
                    </w:rPr>
                    <w:t>资源综合利用率低、产生废物量大，且按近期技术水平不能综合利用的行业</w:t>
                  </w:r>
                  <w:r>
                    <w:rPr>
                      <w:rFonts w:hint="eastAsia" w:cs="Times New Roman"/>
                      <w:color w:val="auto"/>
                      <w:highlight w:val="none"/>
                      <w:lang w:eastAsia="zh-CN"/>
                    </w:rPr>
                    <w:t>，</w:t>
                  </w:r>
                  <w:r>
                    <w:rPr>
                      <w:rFonts w:hint="default" w:ascii="Times New Roman" w:hAnsi="Times New Roman" w:eastAsia="宋体" w:cs="Times New Roman"/>
                      <w:color w:val="auto"/>
                      <w:highlight w:val="none"/>
                    </w:rPr>
                    <w:t>高耗水且排放污水、废液按现有技术经济无法治理或妥善处置的产业。</w:t>
                  </w:r>
                </w:p>
              </w:tc>
              <w:tc>
                <w:tcPr>
                  <w:tcW w:w="2505" w:type="dxa"/>
                  <w:vAlign w:val="center"/>
                </w:tcPr>
                <w:p w14:paraId="37EFD9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olor w:val="auto"/>
                      <w:sz w:val="21"/>
                      <w:szCs w:val="21"/>
                      <w:highlight w:val="none"/>
                      <w:lang w:val="en-US" w:eastAsia="zh-CN"/>
                    </w:rPr>
                  </w:pPr>
                  <w:r>
                    <w:rPr>
                      <w:rFonts w:hint="eastAsia"/>
                      <w:color w:val="auto"/>
                      <w:sz w:val="21"/>
                      <w:szCs w:val="21"/>
                      <w:highlight w:val="none"/>
                    </w:rPr>
                    <w:t>项目</w:t>
                  </w:r>
                  <w:r>
                    <w:rPr>
                      <w:rFonts w:hint="eastAsia"/>
                      <w:color w:val="auto"/>
                      <w:sz w:val="21"/>
                      <w:szCs w:val="21"/>
                      <w:highlight w:val="none"/>
                      <w:lang w:val="en-US" w:eastAsia="zh-CN"/>
                    </w:rPr>
                    <w:t>为纸制品制造行业。</w:t>
                  </w:r>
                </w:p>
                <w:p w14:paraId="23784FED">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s="Times New Roman"/>
                      <w:color w:val="auto"/>
                      <w:sz w:val="21"/>
                      <w:szCs w:val="21"/>
                      <w:highlight w:val="none"/>
                      <w:lang w:eastAsia="zh-CN"/>
                    </w:rPr>
                  </w:pPr>
                  <w:r>
                    <w:rPr>
                      <w:rFonts w:hint="eastAsia"/>
                      <w:color w:val="auto"/>
                      <w:sz w:val="21"/>
                      <w:szCs w:val="21"/>
                      <w:highlight w:val="none"/>
                      <w:lang w:val="en-US" w:eastAsia="zh-CN"/>
                    </w:rPr>
                    <w:t>属于</w:t>
                  </w:r>
                  <w:r>
                    <w:rPr>
                      <w:rFonts w:hint="default" w:ascii="Times New Roman" w:hAnsi="Times New Roman" w:eastAsia="宋体" w:cs="Times New Roman"/>
                      <w:color w:val="auto"/>
                      <w:highlight w:val="none"/>
                    </w:rPr>
                    <w:t>《产业结构调整指导目录 (2019 年本</w:t>
                  </w:r>
                  <w:r>
                    <w:rPr>
                      <w:rFonts w:hint="eastAsia" w:cs="Times New Roman"/>
                      <w:color w:val="auto"/>
                      <w:highlight w:val="none"/>
                      <w:lang w:eastAsia="zh-CN"/>
                    </w:rPr>
                    <w:t>，</w:t>
                  </w:r>
                  <w:r>
                    <w:rPr>
                      <w:rFonts w:hint="eastAsia" w:cs="Times New Roman"/>
                      <w:color w:val="auto"/>
                      <w:highlight w:val="none"/>
                      <w:lang w:val="en-US" w:eastAsia="zh-CN"/>
                    </w:rPr>
                    <w:t>2021年修订）</w:t>
                  </w:r>
                  <w:r>
                    <w:rPr>
                      <w:rFonts w:hint="default" w:ascii="Times New Roman" w:hAnsi="Times New Roman" w:eastAsia="宋体" w:cs="Times New Roman"/>
                      <w:color w:val="auto"/>
                      <w:highlight w:val="none"/>
                    </w:rPr>
                    <w:t>》 中</w:t>
                  </w:r>
                  <w:r>
                    <w:rPr>
                      <w:rFonts w:hint="eastAsia" w:cs="Times New Roman"/>
                      <w:color w:val="auto"/>
                      <w:highlight w:val="none"/>
                      <w:lang w:val="en-US" w:eastAsia="zh-CN"/>
                    </w:rPr>
                    <w:t>的允许类项目</w:t>
                  </w:r>
                  <w:r>
                    <w:rPr>
                      <w:rFonts w:hint="eastAsia" w:cs="Times New Roman"/>
                      <w:color w:val="auto"/>
                      <w:sz w:val="21"/>
                      <w:szCs w:val="21"/>
                      <w:highlight w:val="none"/>
                      <w:lang w:eastAsia="zh-CN"/>
                    </w:rPr>
                    <w:t>；</w:t>
                  </w:r>
                </w:p>
                <w:p w14:paraId="35FD03BE">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textAlignment w:val="auto"/>
                    <w:rPr>
                      <w:rFonts w:hint="eastAsia" w:cs="Times New Roman"/>
                      <w:color w:val="auto"/>
                      <w:highlight w:val="none"/>
                      <w:lang w:val="en-US" w:eastAsia="zh-CN"/>
                    </w:rPr>
                  </w:pPr>
                  <w:r>
                    <w:rPr>
                      <w:rFonts w:hint="eastAsia" w:cs="Times New Roman"/>
                      <w:color w:val="auto"/>
                      <w:sz w:val="21"/>
                      <w:szCs w:val="21"/>
                      <w:highlight w:val="none"/>
                      <w:lang w:val="en-US" w:eastAsia="zh-CN"/>
                    </w:rPr>
                    <w:t>不属于</w:t>
                  </w:r>
                  <w:r>
                    <w:rPr>
                      <w:rFonts w:hint="default" w:ascii="Times New Roman" w:hAnsi="Times New Roman" w:eastAsia="宋体" w:cs="Times New Roman"/>
                      <w:color w:val="auto"/>
                      <w:highlight w:val="none"/>
                    </w:rPr>
                    <w:t>《外商投资产业指导目录 (2017年修订)》中禁止类</w:t>
                  </w:r>
                  <w:r>
                    <w:rPr>
                      <w:rFonts w:hint="eastAsia" w:cs="Times New Roman"/>
                      <w:color w:val="auto"/>
                      <w:highlight w:val="none"/>
                      <w:lang w:val="en-US" w:eastAsia="zh-CN"/>
                    </w:rPr>
                    <w:t>项目；</w:t>
                  </w:r>
                </w:p>
                <w:p w14:paraId="6F3FB826">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产品为三聚氰胺浸渍纸，不属于</w:t>
                  </w:r>
                  <w:r>
                    <w:rPr>
                      <w:rFonts w:hint="default" w:ascii="Times New Roman" w:hAnsi="Times New Roman" w:eastAsia="宋体" w:cs="Times New Roman"/>
                      <w:color w:val="auto"/>
                      <w:highlight w:val="none"/>
                    </w:rPr>
                    <w:t>《环境保护综合名录 (2021年版)</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中“高污染、环境风险”产品</w:t>
                  </w:r>
                  <w:r>
                    <w:rPr>
                      <w:rFonts w:hint="eastAsia" w:ascii="Times New Roman" w:hAnsi="Times New Roman" w:eastAsia="宋体" w:cs="Times New Roman"/>
                      <w:color w:val="auto"/>
                      <w:highlight w:val="none"/>
                      <w:lang w:val="en-US" w:eastAsia="zh-CN"/>
                    </w:rPr>
                    <w:t>；</w:t>
                  </w:r>
                </w:p>
                <w:p w14:paraId="1F33FD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产品为三聚氰胺浸渍纸，作为家具生产的原材料，符合羊街片区</w:t>
                  </w:r>
                  <w:r>
                    <w:rPr>
                      <w:rFonts w:hint="eastAsia" w:ascii="Times New Roman" w:hAnsi="Times New Roman" w:eastAsia="宋体" w:cs="Times New Roman"/>
                      <w:color w:val="auto"/>
                      <w:highlight w:val="none"/>
                      <w:lang w:val="en-US" w:eastAsia="zh-CN"/>
                    </w:rPr>
                    <w:t>园区产业定位，</w:t>
                  </w:r>
                  <w:r>
                    <w:rPr>
                      <w:rFonts w:hint="eastAsia" w:cs="Times New Roman"/>
                      <w:color w:val="auto"/>
                      <w:highlight w:val="none"/>
                      <w:lang w:val="en-US" w:eastAsia="zh-CN"/>
                    </w:rPr>
                    <w:t>项目不涉及</w:t>
                  </w:r>
                  <w:r>
                    <w:rPr>
                      <w:rFonts w:hint="default" w:ascii="Times New Roman" w:hAnsi="Times New Roman" w:eastAsia="宋体" w:cs="Times New Roman"/>
                      <w:color w:val="auto"/>
                      <w:highlight w:val="none"/>
                    </w:rPr>
                    <w:t>造纸制浆、印染、染料、制革、电镀、水泥、炼焦、炼硫、炼砷、炼油、电镀、农药、氮肥、有色金属</w:t>
                  </w:r>
                  <w:r>
                    <w:rPr>
                      <w:rFonts w:hint="eastAsia" w:cs="Times New Roman"/>
                      <w:color w:val="auto"/>
                      <w:highlight w:val="none"/>
                      <w:lang w:val="en-US" w:eastAsia="zh-CN"/>
                    </w:rPr>
                    <w:t>等工艺</w:t>
                  </w:r>
                  <w:r>
                    <w:rPr>
                      <w:rFonts w:hint="eastAsia" w:ascii="Times New Roman" w:hAnsi="Times New Roman" w:eastAsia="宋体" w:cs="Times New Roman"/>
                      <w:color w:val="auto"/>
                      <w:highlight w:val="none"/>
                      <w:lang w:val="en-US" w:eastAsia="zh-CN"/>
                    </w:rPr>
                    <w:t>；</w:t>
                  </w:r>
                </w:p>
                <w:p w14:paraId="5F3E32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项目位于羊街片区，但不属于</w:t>
                  </w:r>
                  <w:r>
                    <w:rPr>
                      <w:rFonts w:hint="default" w:ascii="Times New Roman" w:hAnsi="Times New Roman" w:eastAsia="宋体" w:cs="Times New Roman"/>
                      <w:color w:val="auto"/>
                      <w:highlight w:val="none"/>
                    </w:rPr>
                    <w:t>造纸、印染、食品饮料、农副产品加工等</w:t>
                  </w: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，项目无生产废水产生，生活污水通过污水处理设备处理达标后全部回用于厂区绿化和道路浇洒，不外排</w:t>
                  </w:r>
                  <w:r>
                    <w:rPr>
                      <w:rFonts w:hint="eastAsia" w:ascii="Times New Roman" w:hAnsi="Times New Roman" w:eastAsia="宋体" w:cs="Times New Roman"/>
                      <w:color w:val="auto"/>
                      <w:highlight w:val="none"/>
                      <w:lang w:val="en-US" w:eastAsia="zh-CN"/>
                    </w:rPr>
                    <w:t>；</w:t>
                  </w:r>
                </w:p>
                <w:p w14:paraId="39F8B9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（6）项目</w:t>
                  </w:r>
                  <w:r>
                    <w:rPr>
                      <w:rFonts w:hint="eastAsia" w:cs="Times New Roman"/>
                      <w:color w:val="auto"/>
                      <w:highlight w:val="none"/>
                      <w:lang w:val="en-US" w:eastAsia="zh-CN"/>
                    </w:rPr>
                    <w:t>无废液产生，</w:t>
                  </w:r>
                  <w:r>
                    <w:rPr>
                      <w:rFonts w:hint="eastAsia" w:ascii="Times New Roman" w:hAnsi="Times New Roman" w:eastAsia="宋体" w:cs="Times New Roman"/>
                      <w:color w:val="auto"/>
                      <w:highlight w:val="none"/>
                      <w:lang w:val="en-US" w:eastAsia="zh-CN"/>
                    </w:rPr>
                    <w:t>产生</w:t>
                  </w:r>
                  <w:r>
                    <w:rPr>
                      <w:rFonts w:hint="eastAsia" w:cs="Times New Roman"/>
                      <w:color w:val="auto"/>
                      <w:highlight w:val="none"/>
                      <w:lang w:val="en-US" w:eastAsia="zh-CN"/>
                    </w:rPr>
                    <w:t>的</w:t>
                  </w:r>
                  <w:r>
                    <w:rPr>
                      <w:rFonts w:hint="eastAsia" w:ascii="Times New Roman" w:hAnsi="Times New Roman" w:eastAsia="宋体" w:cs="Times New Roman"/>
                      <w:color w:val="auto"/>
                      <w:highlight w:val="none"/>
                      <w:lang w:val="en-US" w:eastAsia="zh-CN"/>
                    </w:rPr>
                    <w:t>废水仅为生活污水，成分不复杂</w:t>
                  </w:r>
                  <w:r>
                    <w:rPr>
                      <w:rFonts w:hint="eastAsia" w:cs="Times New Roman"/>
                      <w:color w:val="auto"/>
                      <w:highlight w:val="none"/>
                      <w:lang w:val="en-US" w:eastAsia="zh-CN"/>
                    </w:rPr>
                    <w:t>，通过污水处理设备处理达标后全部回用于厂区绿化和道路浇洒，不外排</w:t>
                  </w:r>
                  <w:r>
                    <w:rPr>
                      <w:rFonts w:hint="eastAsia" w:ascii="Times New Roman" w:hAnsi="Times New Roman" w:eastAsia="宋体" w:cs="Times New Roman"/>
                      <w:color w:val="auto"/>
                      <w:highlight w:val="none"/>
                      <w:lang w:val="en-US" w:eastAsia="zh-CN"/>
                    </w:rPr>
                    <w:t>；</w:t>
                  </w:r>
                </w:p>
                <w:p w14:paraId="38EC1FD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（7）项目能耗较低，产生的大气污染物主要为挥发性有机物，且经过“UV光解+活性炭吸附”后可达标排放；</w:t>
                  </w:r>
                </w:p>
                <w:p w14:paraId="430D854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（8）项目无需设置大气环境防护距离，且能严格按照“三同时”要求建厂；</w:t>
                  </w:r>
                </w:p>
                <w:p w14:paraId="34FFC47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（9）项目与</w:t>
                  </w:r>
                  <w:r>
                    <w:rPr>
                      <w:rFonts w:hint="default" w:ascii="Times New Roman" w:hAnsi="Times New Roman" w:eastAsia="宋体" w:cs="Times New Roman"/>
                      <w:color w:val="auto"/>
                      <w:highlight w:val="none"/>
                    </w:rPr>
                    <w:t>《云南省牛栏江保护条例》</w:t>
                  </w:r>
                  <w:r>
                    <w:rPr>
                      <w:rFonts w:hint="eastAsia" w:ascii="Times New Roman" w:hAnsi="Times New Roman" w:eastAsia="宋体" w:cs="Times New Roman"/>
                      <w:color w:val="auto"/>
                      <w:highlight w:val="none"/>
                      <w:lang w:val="en-US" w:eastAsia="zh-CN"/>
                    </w:rPr>
                    <w:t>不冲突；</w:t>
                  </w:r>
                </w:p>
                <w:p w14:paraId="4C3D100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default"/>
                      <w:color w:val="auto"/>
                      <w:lang w:val="en-US" w:eastAsia="zh-CN"/>
                    </w:rPr>
                  </w:pPr>
                  <w:r>
                    <w:rPr>
                      <w:rFonts w:hint="eastAsia" w:ascii="Times New Roman" w:hAnsi="Times New Roman" w:eastAsia="宋体" w:cs="Times New Roman"/>
                      <w:color w:val="auto"/>
                      <w:highlight w:val="none"/>
                      <w:lang w:val="en-US" w:eastAsia="zh-CN"/>
                    </w:rPr>
                    <w:t>（10）项目能耗较低，资源综合利用率较高，产生的污染物质均能得到有效处置。</w:t>
                  </w:r>
                </w:p>
              </w:tc>
              <w:tc>
                <w:tcPr>
                  <w:tcW w:w="395" w:type="dxa"/>
                  <w:vAlign w:val="center"/>
                </w:tcPr>
                <w:p w14:paraId="626E6C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73DB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vAlign w:val="center"/>
                </w:tcPr>
                <w:p w14:paraId="1C79C8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highlight w:val="none"/>
                    </w:rPr>
                  </w:pPr>
                </w:p>
              </w:tc>
              <w:tc>
                <w:tcPr>
                  <w:tcW w:w="659" w:type="dxa"/>
                  <w:vAlign w:val="center"/>
                </w:tcPr>
                <w:p w14:paraId="084127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禁入工艺</w:t>
                  </w:r>
                </w:p>
              </w:tc>
              <w:tc>
                <w:tcPr>
                  <w:tcW w:w="3705" w:type="dxa"/>
                  <w:vAlign w:val="center"/>
                </w:tcPr>
                <w:p w14:paraId="1E34CE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default" w:ascii="Times New Roman" w:hAnsi="Times New Roman" w:eastAsia="宋体" w:cs="Times New Roman"/>
                      <w:color w:val="auto"/>
                      <w:highlight w:val="none"/>
                    </w:rPr>
                    <w:t>《产业结构调整指导目录 (2019年本</w:t>
                  </w:r>
                  <w:r>
                    <w:rPr>
                      <w:rFonts w:hint="eastAsia" w:cs="Times New Roman"/>
                      <w:color w:val="auto"/>
                      <w:highlight w:val="none"/>
                      <w:lang w:eastAsia="zh-CN"/>
                    </w:rPr>
                    <w:t>，</w:t>
                  </w:r>
                  <w:r>
                    <w:rPr>
                      <w:rFonts w:hint="eastAsia" w:cs="Times New Roman"/>
                      <w:color w:val="auto"/>
                      <w:highlight w:val="none"/>
                      <w:lang w:val="en-US" w:eastAsia="zh-CN"/>
                    </w:rPr>
                    <w:t>2021年修订）</w:t>
                  </w:r>
                  <w:r>
                    <w:rPr>
                      <w:rFonts w:hint="default" w:ascii="Times New Roman" w:hAnsi="Times New Roman" w:eastAsia="宋体" w:cs="Times New Roman"/>
                      <w:color w:val="auto"/>
                      <w:highlight w:val="none"/>
                    </w:rPr>
                    <w:t>》</w:t>
                  </w:r>
                  <w:r>
                    <w:rPr>
                      <w:rFonts w:hint="default" w:cs="Times New Roman"/>
                      <w:color w:val="auto"/>
                      <w:highlight w:val="none"/>
                      <w:lang w:eastAsia="zh-CN"/>
                    </w:rPr>
                    <w:t>中淘汰、落后的生产工艺</w:t>
                  </w:r>
                  <w:r>
                    <w:rPr>
                      <w:rFonts w:hint="eastAsia" w:cs="Times New Roman"/>
                      <w:color w:val="auto"/>
                      <w:highlight w:val="none"/>
                      <w:lang w:eastAsia="zh-CN"/>
                    </w:rPr>
                    <w:t>；</w:t>
                  </w:r>
                </w:p>
                <w:p w14:paraId="5FE141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default" w:cs="Times New Roman"/>
                      <w:color w:val="auto"/>
                      <w:highlight w:val="none"/>
                      <w:lang w:eastAsia="zh-CN"/>
                    </w:rPr>
                    <w:t>《部分工业行业淘汰落后生产工艺装备和产品指导目录(2010年本)》的生产工艺</w:t>
                  </w:r>
                  <w:r>
                    <w:rPr>
                      <w:rFonts w:hint="eastAsia" w:cs="Times New Roman"/>
                      <w:color w:val="auto"/>
                      <w:highlight w:val="none"/>
                      <w:lang w:eastAsia="zh-CN"/>
                    </w:rPr>
                    <w:t>；</w:t>
                  </w:r>
                </w:p>
                <w:p w14:paraId="1CBD48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3）</w:t>
                  </w:r>
                  <w:r>
                    <w:rPr>
                      <w:rFonts w:hint="default" w:cs="Times New Roman"/>
                      <w:color w:val="auto"/>
                      <w:highlight w:val="none"/>
                      <w:lang w:eastAsia="zh-CN"/>
                    </w:rPr>
                    <w:t>现有污染治理技术不成熟，或现有技术经济条件难以承受污染物治理成本的</w:t>
                  </w:r>
                  <w:r>
                    <w:rPr>
                      <w:rFonts w:hint="eastAsia" w:cs="Times New Roman"/>
                      <w:color w:val="auto"/>
                      <w:highlight w:val="none"/>
                      <w:lang w:eastAsia="zh-CN"/>
                    </w:rPr>
                    <w:t>；</w:t>
                  </w:r>
                </w:p>
                <w:p w14:paraId="16DB49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4）</w:t>
                  </w:r>
                  <w:r>
                    <w:rPr>
                      <w:rFonts w:hint="default" w:cs="Times New Roman"/>
                      <w:color w:val="auto"/>
                      <w:highlight w:val="none"/>
                      <w:lang w:eastAsia="zh-CN"/>
                    </w:rPr>
                    <w:t>装备制造产业中含电镀、钝化、传统磺化等不能实现工业废水循环回用的企业禁止入驻</w:t>
                  </w:r>
                  <w:r>
                    <w:rPr>
                      <w:rFonts w:hint="eastAsia" w:cs="Times New Roman"/>
                      <w:color w:val="auto"/>
                      <w:highlight w:val="none"/>
                      <w:lang w:eastAsia="zh-CN"/>
                    </w:rPr>
                    <w:t>；</w:t>
                  </w:r>
                </w:p>
                <w:p w14:paraId="6CE54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5）</w:t>
                  </w:r>
                  <w:r>
                    <w:rPr>
                      <w:rFonts w:hint="default" w:cs="Times New Roman"/>
                      <w:color w:val="auto"/>
                      <w:highlight w:val="none"/>
                      <w:lang w:eastAsia="zh-CN"/>
                    </w:rPr>
                    <w:t>涂装、印刷、粘合、工业清洗行业中淘汰以三氟氯乙烷、甲基</w:t>
                  </w:r>
                  <w:r>
                    <w:rPr>
                      <w:rFonts w:hint="eastAsia" w:cs="Times New Roman"/>
                      <w:color w:val="auto"/>
                      <w:highlight w:val="none"/>
                      <w:lang w:eastAsia="zh-CN"/>
                    </w:rPr>
                    <w:t>苯</w:t>
                  </w:r>
                  <w:r>
                    <w:rPr>
                      <w:rFonts w:hint="default" w:cs="Times New Roman"/>
                      <w:color w:val="auto"/>
                      <w:highlight w:val="none"/>
                      <w:lang w:eastAsia="zh-CN"/>
                    </w:rPr>
                    <w:t>和四氯化碳为清洗剂或溶剂的生产工艺</w:t>
                  </w:r>
                  <w:r>
                    <w:rPr>
                      <w:rFonts w:hint="eastAsia" w:cs="Times New Roman"/>
                      <w:color w:val="auto"/>
                      <w:highlight w:val="none"/>
                      <w:lang w:eastAsia="zh-CN"/>
                    </w:rPr>
                    <w:t>；</w:t>
                  </w:r>
                </w:p>
                <w:p w14:paraId="20A6A7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6）</w:t>
                  </w:r>
                  <w:r>
                    <w:rPr>
                      <w:rFonts w:hint="default" w:cs="Times New Roman"/>
                      <w:color w:val="auto"/>
                      <w:highlight w:val="none"/>
                      <w:lang w:eastAsia="zh-CN"/>
                    </w:rPr>
                    <w:t>园区不再统一规划固废处置场，未来入驻企业禁止在园区内新建永久性工业固废处置场</w:t>
                  </w:r>
                  <w:r>
                    <w:rPr>
                      <w:rFonts w:hint="eastAsia" w:cs="Times New Roman"/>
                      <w:color w:val="auto"/>
                      <w:highlight w:val="none"/>
                      <w:lang w:eastAsia="zh-CN"/>
                    </w:rPr>
                    <w:t>；</w:t>
                  </w:r>
                </w:p>
                <w:p w14:paraId="4496F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7）</w:t>
                  </w:r>
                  <w:r>
                    <w:rPr>
                      <w:rFonts w:hint="default" w:cs="Times New Roman"/>
                      <w:color w:val="auto"/>
                      <w:highlight w:val="none"/>
                      <w:lang w:eastAsia="zh-CN"/>
                    </w:rPr>
                    <w:t>禁止入园企业开采地下水作为生产、生活用水。</w:t>
                  </w:r>
                </w:p>
              </w:tc>
              <w:tc>
                <w:tcPr>
                  <w:tcW w:w="2505" w:type="dxa"/>
                  <w:vAlign w:val="center"/>
                </w:tcPr>
                <w:p w14:paraId="6040A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（1）项目不使用</w:t>
                  </w:r>
                  <w:r>
                    <w:rPr>
                      <w:rFonts w:hint="default" w:cs="Times New Roman"/>
                      <w:color w:val="auto"/>
                      <w:highlight w:val="none"/>
                      <w:lang w:val="en-US" w:eastAsia="zh-CN"/>
                    </w:rPr>
                    <w:t>《产业结构调整指导目录 (2019年本</w:t>
                  </w:r>
                  <w:r>
                    <w:rPr>
                      <w:rFonts w:hint="eastAsia" w:cs="Times New Roman"/>
                      <w:color w:val="auto"/>
                      <w:highlight w:val="none"/>
                      <w:lang w:val="en-US" w:eastAsia="zh-CN"/>
                    </w:rPr>
                    <w:t>，2021年修订）</w:t>
                  </w:r>
                  <w:r>
                    <w:rPr>
                      <w:rFonts w:hint="default" w:cs="Times New Roman"/>
                      <w:color w:val="auto"/>
                      <w:highlight w:val="none"/>
                      <w:lang w:val="en-US" w:eastAsia="zh-CN"/>
                    </w:rPr>
                    <w:t>》中淘汰、落后的生产工艺</w:t>
                  </w:r>
                  <w:r>
                    <w:rPr>
                      <w:rFonts w:hint="eastAsia" w:cs="Times New Roman"/>
                      <w:color w:val="auto"/>
                      <w:highlight w:val="none"/>
                      <w:lang w:val="en-US" w:eastAsia="zh-CN"/>
                    </w:rPr>
                    <w:t>；</w:t>
                  </w:r>
                </w:p>
                <w:p w14:paraId="4137DD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s="Times New Roman"/>
                      <w:color w:val="auto"/>
                      <w:highlight w:val="none"/>
                      <w:lang w:eastAsia="zh-CN"/>
                    </w:rPr>
                  </w:pPr>
                  <w:r>
                    <w:rPr>
                      <w:rFonts w:hint="eastAsia" w:cs="Times New Roman"/>
                      <w:color w:val="auto"/>
                      <w:highlight w:val="none"/>
                      <w:lang w:val="en-US" w:eastAsia="zh-CN"/>
                    </w:rPr>
                    <w:t>（2）项目不使用</w:t>
                  </w:r>
                  <w:r>
                    <w:rPr>
                      <w:rFonts w:hint="default" w:cs="Times New Roman"/>
                      <w:color w:val="auto"/>
                      <w:highlight w:val="none"/>
                      <w:lang w:eastAsia="zh-CN"/>
                    </w:rPr>
                    <w:t>《部分工业行业淘汰落后生产工艺装备和产品指导目录(2010年本)》</w:t>
                  </w:r>
                  <w:r>
                    <w:rPr>
                      <w:rFonts w:hint="eastAsia" w:cs="Times New Roman"/>
                      <w:color w:val="auto"/>
                      <w:highlight w:val="none"/>
                      <w:lang w:val="en-US" w:eastAsia="zh-CN"/>
                    </w:rPr>
                    <w:t>中</w:t>
                  </w:r>
                  <w:r>
                    <w:rPr>
                      <w:rFonts w:hint="default" w:cs="Times New Roman"/>
                      <w:color w:val="auto"/>
                      <w:highlight w:val="none"/>
                      <w:lang w:eastAsia="zh-CN"/>
                    </w:rPr>
                    <w:t>的生产工艺</w:t>
                  </w:r>
                  <w:r>
                    <w:rPr>
                      <w:rFonts w:hint="eastAsia" w:cs="Times New Roman"/>
                      <w:color w:val="auto"/>
                      <w:highlight w:val="none"/>
                      <w:lang w:eastAsia="zh-CN"/>
                    </w:rPr>
                    <w:t>；</w:t>
                  </w:r>
                </w:p>
                <w:p w14:paraId="3EA7C8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3）项目生活污水处理使用SBR工艺处理技术；挥发性有机废气采用“UV光解+活性炭吸附”工艺，均为较成熟的治理工艺；</w:t>
                  </w:r>
                </w:p>
                <w:p w14:paraId="37804E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（4）项目不属于装备制造业，且不涉及</w:t>
                  </w:r>
                  <w:r>
                    <w:rPr>
                      <w:rFonts w:hint="default" w:cs="Times New Roman"/>
                      <w:color w:val="auto"/>
                      <w:sz w:val="21"/>
                      <w:szCs w:val="21"/>
                      <w:highlight w:val="none"/>
                      <w:lang w:eastAsia="zh-CN"/>
                    </w:rPr>
                    <w:t>电镀、钝化、传统磺化</w:t>
                  </w:r>
                  <w:r>
                    <w:rPr>
                      <w:rFonts w:hint="eastAsia" w:cs="Times New Roman"/>
                      <w:color w:val="auto"/>
                      <w:sz w:val="21"/>
                      <w:szCs w:val="21"/>
                      <w:highlight w:val="none"/>
                      <w:lang w:val="en-US" w:eastAsia="zh-CN"/>
                    </w:rPr>
                    <w:t>等工段，项目无生产废水产生，生活污水通过污水处理设备处理达标后全部回用于厂区绿化和道路浇洒，不外排；</w:t>
                  </w:r>
                </w:p>
                <w:p w14:paraId="7D61A4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（5）项目不涉及</w:t>
                  </w:r>
                  <w:r>
                    <w:rPr>
                      <w:rFonts w:hint="default" w:cs="Times New Roman"/>
                      <w:color w:val="auto"/>
                      <w:highlight w:val="none"/>
                      <w:lang w:eastAsia="zh-CN"/>
                    </w:rPr>
                    <w:t>涂装、印刷、粘合、工业清洗</w:t>
                  </w:r>
                  <w:r>
                    <w:rPr>
                      <w:rFonts w:hint="eastAsia" w:cs="Times New Roman"/>
                      <w:color w:val="auto"/>
                      <w:highlight w:val="none"/>
                      <w:lang w:val="en-US" w:eastAsia="zh-CN"/>
                    </w:rPr>
                    <w:t>等工艺；</w:t>
                  </w:r>
                </w:p>
                <w:p w14:paraId="03BF2A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（6）项目固废均委托有资质的单位进行清运处置，不建设永久固废处置场；</w:t>
                  </w:r>
                </w:p>
                <w:p w14:paraId="1C8EE1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olor w:val="auto"/>
                      <w:lang w:val="en-US"/>
                    </w:rPr>
                  </w:pPr>
                  <w:r>
                    <w:rPr>
                      <w:rFonts w:hint="eastAsia" w:cs="Times New Roman"/>
                      <w:color w:val="auto"/>
                      <w:highlight w:val="none"/>
                      <w:lang w:val="en-US" w:eastAsia="zh-CN"/>
                    </w:rPr>
                    <w:t>（7）项目用水为园区供水，不涉及地下水开采。</w:t>
                  </w:r>
                </w:p>
              </w:tc>
              <w:tc>
                <w:tcPr>
                  <w:tcW w:w="395" w:type="dxa"/>
                  <w:vAlign w:val="center"/>
                </w:tcPr>
                <w:p w14:paraId="5FFBF5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69E4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vAlign w:val="center"/>
                </w:tcPr>
                <w:p w14:paraId="22097C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highlight w:val="none"/>
                    </w:rPr>
                  </w:pPr>
                </w:p>
              </w:tc>
              <w:tc>
                <w:tcPr>
                  <w:tcW w:w="659" w:type="dxa"/>
                  <w:vAlign w:val="center"/>
                </w:tcPr>
                <w:p w14:paraId="1A69E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禁入产品</w:t>
                  </w:r>
                </w:p>
              </w:tc>
              <w:tc>
                <w:tcPr>
                  <w:tcW w:w="3705" w:type="dxa"/>
                  <w:vAlign w:val="center"/>
                </w:tcPr>
                <w:p w14:paraId="3569FB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2010年本</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w:t>
                  </w:r>
                  <w:r>
                    <w:rPr>
                      <w:rFonts w:hint="eastAsia" w:ascii="Times New Roman" w:hAnsi="Times New Roman" w:eastAsia="宋体" w:cs="Times New Roman"/>
                      <w:color w:val="auto"/>
                      <w:sz w:val="21"/>
                      <w:szCs w:val="21"/>
                      <w:highlight w:val="none"/>
                      <w:lang w:val="en-US" w:eastAsia="zh-CN"/>
                    </w:rPr>
                    <w:t>产品。</w:t>
                  </w:r>
                </w:p>
              </w:tc>
              <w:tc>
                <w:tcPr>
                  <w:tcW w:w="2505" w:type="dxa"/>
                  <w:vAlign w:val="center"/>
                </w:tcPr>
                <w:p w14:paraId="0C424A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w:t>
                  </w:r>
                  <w:r>
                    <w:rPr>
                      <w:rFonts w:hint="eastAsia" w:cs="Times New Roman"/>
                      <w:color w:val="auto"/>
                      <w:sz w:val="21"/>
                      <w:szCs w:val="21"/>
                      <w:highlight w:val="none"/>
                      <w:lang w:val="en-US" w:eastAsia="zh-CN"/>
                    </w:rPr>
                    <w:t>产品为三聚氰胺浸渍纸，不属于</w:t>
                  </w:r>
                  <w:r>
                    <w:rPr>
                      <w:rFonts w:hint="default" w:ascii="Times New Roman" w:hAnsi="Times New Roman" w:eastAsia="宋体" w:cs="Times New Roman"/>
                      <w:color w:val="auto"/>
                      <w:sz w:val="21"/>
                      <w:szCs w:val="21"/>
                      <w:highlight w:val="none"/>
                    </w:rPr>
                    <w:t>《部分工业行业淘汰落后生产工艺装备和产品指导目录</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2010年本</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rPr>
                    <w:t>的</w:t>
                  </w:r>
                  <w:r>
                    <w:rPr>
                      <w:rFonts w:hint="eastAsia" w:cs="Times New Roman"/>
                      <w:color w:val="auto"/>
                      <w:sz w:val="21"/>
                      <w:szCs w:val="21"/>
                      <w:highlight w:val="none"/>
                      <w:lang w:val="en-US" w:eastAsia="zh-CN"/>
                    </w:rPr>
                    <w:t>产品。</w:t>
                  </w:r>
                </w:p>
              </w:tc>
              <w:tc>
                <w:tcPr>
                  <w:tcW w:w="395" w:type="dxa"/>
                  <w:vAlign w:val="center"/>
                </w:tcPr>
                <w:p w14:paraId="1D84B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15CF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vAlign w:val="center"/>
                </w:tcPr>
                <w:p w14:paraId="0A5512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59" w:type="dxa"/>
                  <w:vAlign w:val="center"/>
                </w:tcPr>
                <w:p w14:paraId="4C2934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清洁生产水平</w:t>
                  </w:r>
                </w:p>
              </w:tc>
              <w:tc>
                <w:tcPr>
                  <w:tcW w:w="3705" w:type="dxa"/>
                  <w:vAlign w:val="center"/>
                </w:tcPr>
                <w:p w14:paraId="56D9E3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清洁生产水平低于国家生产标准的国内先进水平。</w:t>
                  </w:r>
                </w:p>
              </w:tc>
              <w:tc>
                <w:tcPr>
                  <w:tcW w:w="2505" w:type="dxa"/>
                  <w:vAlign w:val="center"/>
                </w:tcPr>
                <w:p w14:paraId="2DDE00EB">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项目</w:t>
                  </w:r>
                  <w:r>
                    <w:rPr>
                      <w:rFonts w:hint="eastAsia" w:cs="Times New Roman"/>
                      <w:color w:val="auto"/>
                      <w:sz w:val="21"/>
                      <w:szCs w:val="21"/>
                      <w:highlight w:val="none"/>
                      <w:lang w:val="en-US" w:eastAsia="zh-CN"/>
                    </w:rPr>
                    <w:t>清洁生产水平不低于国家生产标准的国内先进水平。</w:t>
                  </w:r>
                </w:p>
              </w:tc>
              <w:tc>
                <w:tcPr>
                  <w:tcW w:w="395" w:type="dxa"/>
                  <w:vAlign w:val="center"/>
                </w:tcPr>
                <w:p w14:paraId="276B271E">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14:paraId="1B13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3" w:hRule="atLeast"/>
                <w:jc w:val="center"/>
              </w:trPr>
              <w:tc>
                <w:tcPr>
                  <w:tcW w:w="501" w:type="dxa"/>
                  <w:vMerge w:val="continue"/>
                  <w:vAlign w:val="center"/>
                </w:tcPr>
                <w:p w14:paraId="778914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59" w:type="dxa"/>
                  <w:vAlign w:val="center"/>
                </w:tcPr>
                <w:p w14:paraId="6E4BF7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限制进入</w:t>
                  </w:r>
                </w:p>
              </w:tc>
              <w:tc>
                <w:tcPr>
                  <w:tcW w:w="3705" w:type="dxa"/>
                  <w:vAlign w:val="center"/>
                </w:tcPr>
                <w:p w14:paraId="71509A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default"/>
                      <w:color w:val="auto"/>
                      <w:sz w:val="21"/>
                      <w:szCs w:val="21"/>
                      <w:highlight w:val="none"/>
                      <w:lang w:eastAsia="zh-CN"/>
                    </w:rPr>
                    <w:t>《产业结构调整指导目录 (2019 年本</w:t>
                  </w:r>
                  <w:r>
                    <w:rPr>
                      <w:rFonts w:hint="eastAsia"/>
                      <w:color w:val="auto"/>
                      <w:sz w:val="21"/>
                      <w:szCs w:val="21"/>
                      <w:highlight w:val="none"/>
                      <w:lang w:eastAsia="zh-CN"/>
                    </w:rPr>
                    <w:t>，</w:t>
                  </w:r>
                  <w:r>
                    <w:rPr>
                      <w:rFonts w:hint="eastAsia"/>
                      <w:color w:val="auto"/>
                      <w:sz w:val="21"/>
                      <w:szCs w:val="21"/>
                      <w:highlight w:val="none"/>
                      <w:lang w:val="en-US" w:eastAsia="zh-CN"/>
                    </w:rPr>
                    <w:t>2021年修订）</w:t>
                  </w:r>
                  <w:r>
                    <w:rPr>
                      <w:rFonts w:hint="default"/>
                      <w:color w:val="auto"/>
                      <w:sz w:val="21"/>
                      <w:szCs w:val="21"/>
                      <w:highlight w:val="none"/>
                      <w:lang w:eastAsia="zh-CN"/>
                    </w:rPr>
                    <w:t>》中所列的限制类项目</w:t>
                  </w:r>
                  <w:r>
                    <w:rPr>
                      <w:rFonts w:hint="eastAsia"/>
                      <w:color w:val="auto"/>
                      <w:sz w:val="21"/>
                      <w:szCs w:val="21"/>
                      <w:highlight w:val="none"/>
                      <w:lang w:eastAsia="zh-CN"/>
                    </w:rPr>
                    <w:t>；</w:t>
                  </w:r>
                </w:p>
                <w:p w14:paraId="53A459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default"/>
                      <w:color w:val="auto"/>
                      <w:sz w:val="21"/>
                      <w:szCs w:val="21"/>
                      <w:highlight w:val="none"/>
                      <w:lang w:eastAsia="zh-CN"/>
                    </w:rPr>
                    <w:t>《外商投资产业指导目录 (2017 年修订)》中所列的限制类项目</w:t>
                  </w:r>
                  <w:r>
                    <w:rPr>
                      <w:rFonts w:hint="eastAsia"/>
                      <w:color w:val="auto"/>
                      <w:sz w:val="21"/>
                      <w:szCs w:val="21"/>
                      <w:highlight w:val="none"/>
                      <w:lang w:eastAsia="zh-CN"/>
                    </w:rPr>
                    <w:t>；</w:t>
                  </w:r>
                </w:p>
                <w:p w14:paraId="6292D3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default"/>
                      <w:color w:val="auto"/>
                      <w:sz w:val="21"/>
                      <w:szCs w:val="21"/>
                      <w:highlight w:val="none"/>
                      <w:lang w:eastAsia="zh-CN"/>
                    </w:rPr>
                    <w:t>严格限制引进涉及《中国严格限制进出口的有毒化学品目录(2018年本)》中所列有毒化学品的项目</w:t>
                  </w:r>
                  <w:r>
                    <w:rPr>
                      <w:rFonts w:hint="eastAsia"/>
                      <w:color w:val="auto"/>
                      <w:sz w:val="21"/>
                      <w:szCs w:val="21"/>
                      <w:highlight w:val="none"/>
                      <w:lang w:eastAsia="zh-CN"/>
                    </w:rPr>
                    <w:t>；</w:t>
                  </w:r>
                </w:p>
                <w:p w14:paraId="32DD14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4）</w:t>
                  </w:r>
                  <w:r>
                    <w:rPr>
                      <w:rFonts w:hint="default"/>
                      <w:color w:val="auto"/>
                      <w:sz w:val="21"/>
                      <w:szCs w:val="21"/>
                      <w:highlight w:val="none"/>
                      <w:lang w:eastAsia="zh-CN"/>
                    </w:rPr>
                    <w:t>严禁引入技术含量较低的加工类产业</w:t>
                  </w:r>
                  <w:r>
                    <w:rPr>
                      <w:rFonts w:hint="eastAsia"/>
                      <w:color w:val="auto"/>
                      <w:sz w:val="21"/>
                      <w:szCs w:val="21"/>
                      <w:highlight w:val="none"/>
                      <w:lang w:eastAsia="zh-CN"/>
                    </w:rPr>
                    <w:t>；</w:t>
                  </w:r>
                </w:p>
                <w:p w14:paraId="157AFD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5）</w:t>
                  </w:r>
                  <w:r>
                    <w:rPr>
                      <w:rFonts w:hint="default"/>
                      <w:color w:val="auto"/>
                      <w:sz w:val="21"/>
                      <w:szCs w:val="21"/>
                      <w:highlight w:val="none"/>
                      <w:lang w:eastAsia="zh-CN"/>
                    </w:rPr>
                    <w:t>严禁引入物耗、水耗和能耗相对较高，但符合园区总体规划产业类别的其他产业(</w:t>
                  </w:r>
                  <w:r>
                    <w:rPr>
                      <w:rFonts w:hint="eastAsia"/>
                      <w:color w:val="auto"/>
                      <w:sz w:val="21"/>
                      <w:szCs w:val="21"/>
                      <w:highlight w:val="none"/>
                      <w:lang w:val="en-US" w:eastAsia="zh-CN"/>
                    </w:rPr>
                    <w:t>①</w:t>
                  </w:r>
                  <w:r>
                    <w:rPr>
                      <w:rFonts w:hint="default"/>
                      <w:color w:val="auto"/>
                      <w:sz w:val="21"/>
                      <w:szCs w:val="21"/>
                      <w:highlight w:val="none"/>
                      <w:lang w:eastAsia="zh-CN"/>
                    </w:rPr>
                    <w:t>属于规划既定行业，但污染类型复杂、环境风险较大的产业、项目或工艺</w:t>
                  </w:r>
                  <w:r>
                    <w:rPr>
                      <w:rFonts w:hint="eastAsia"/>
                      <w:color w:val="auto"/>
                      <w:sz w:val="21"/>
                      <w:szCs w:val="21"/>
                      <w:highlight w:val="none"/>
                      <w:lang w:eastAsia="zh-CN"/>
                    </w:rPr>
                    <w:t>；</w:t>
                  </w:r>
                  <w:r>
                    <w:rPr>
                      <w:rFonts w:hint="eastAsia"/>
                      <w:color w:val="auto"/>
                      <w:sz w:val="21"/>
                      <w:szCs w:val="21"/>
                      <w:highlight w:val="none"/>
                      <w:lang w:val="en-US" w:eastAsia="zh-CN"/>
                    </w:rPr>
                    <w:t>②</w:t>
                  </w:r>
                  <w:r>
                    <w:rPr>
                      <w:rFonts w:hint="default"/>
                      <w:color w:val="auto"/>
                      <w:sz w:val="21"/>
                      <w:szCs w:val="21"/>
                      <w:highlight w:val="none"/>
                      <w:lang w:eastAsia="zh-CN"/>
                    </w:rPr>
                    <w:t>产生废物，且按自有技术水平无法治理或妥善处置的</w:t>
                  </w:r>
                  <w:r>
                    <w:rPr>
                      <w:rFonts w:hint="eastAsia"/>
                      <w:color w:val="auto"/>
                      <w:sz w:val="21"/>
                      <w:szCs w:val="21"/>
                      <w:highlight w:val="none"/>
                      <w:lang w:eastAsia="zh-CN"/>
                    </w:rPr>
                    <w:t>；</w:t>
                  </w:r>
                  <w:r>
                    <w:rPr>
                      <w:rFonts w:hint="eastAsia"/>
                      <w:color w:val="auto"/>
                      <w:sz w:val="21"/>
                      <w:szCs w:val="21"/>
                      <w:highlight w:val="none"/>
                      <w:lang w:val="en-US" w:eastAsia="zh-CN"/>
                    </w:rPr>
                    <w:t>③</w:t>
                  </w:r>
                  <w:r>
                    <w:rPr>
                      <w:rFonts w:hint="default"/>
                      <w:color w:val="auto"/>
                      <w:sz w:val="21"/>
                      <w:szCs w:val="21"/>
                      <w:highlight w:val="none"/>
                      <w:lang w:eastAsia="zh-CN"/>
                    </w:rPr>
                    <w:t>现有污染治理技术不成熟，或现有技术经济条件难以承受污染物治理成本的)。</w:t>
                  </w:r>
                </w:p>
              </w:tc>
              <w:tc>
                <w:tcPr>
                  <w:tcW w:w="2505" w:type="dxa"/>
                  <w:vAlign w:val="center"/>
                </w:tcPr>
                <w:p w14:paraId="7184BF74">
                  <w:pPr>
                    <w:keepNext w:val="0"/>
                    <w:keepLines w:val="0"/>
                    <w:suppressLineNumbers w:val="0"/>
                    <w:adjustRightInd w:val="0"/>
                    <w:snapToGrid w:val="0"/>
                    <w:spacing w:before="0" w:beforeAutospacing="0" w:after="0" w:afterAutospacing="0"/>
                    <w:ind w:left="0" w:right="0"/>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项目为纸制品制造行业。</w:t>
                  </w:r>
                </w:p>
                <w:p w14:paraId="2BDBC0EC">
                  <w:pPr>
                    <w:keepNext w:val="0"/>
                    <w:keepLines w:val="0"/>
                    <w:suppressLineNumbers w:val="0"/>
                    <w:adjustRightInd w:val="0"/>
                    <w:snapToGrid w:val="0"/>
                    <w:spacing w:before="0" w:beforeAutospacing="0" w:after="0" w:afterAutospacing="0"/>
                    <w:ind w:left="0" w:right="0"/>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（1）属于</w:t>
                  </w:r>
                  <w:r>
                    <w:rPr>
                      <w:rFonts w:hint="default" w:cs="Times New Roman"/>
                      <w:color w:val="auto"/>
                      <w:sz w:val="21"/>
                      <w:szCs w:val="21"/>
                      <w:highlight w:val="none"/>
                      <w:lang w:val="en-US" w:eastAsia="zh-CN"/>
                    </w:rPr>
                    <w:t>《产业结构调整指导目录 (2019 年本</w:t>
                  </w:r>
                  <w:r>
                    <w:rPr>
                      <w:rFonts w:hint="eastAsia" w:cs="Times New Roman"/>
                      <w:color w:val="auto"/>
                      <w:sz w:val="21"/>
                      <w:szCs w:val="21"/>
                      <w:highlight w:val="none"/>
                      <w:lang w:val="en-US" w:eastAsia="zh-CN"/>
                    </w:rPr>
                    <w:t>，2021年修订）</w:t>
                  </w:r>
                  <w:r>
                    <w:rPr>
                      <w:rFonts w:hint="default" w:cs="Times New Roman"/>
                      <w:color w:val="auto"/>
                      <w:sz w:val="21"/>
                      <w:szCs w:val="21"/>
                      <w:highlight w:val="none"/>
                      <w:lang w:val="en-US" w:eastAsia="zh-CN"/>
                    </w:rPr>
                    <w:t>》 中</w:t>
                  </w:r>
                  <w:r>
                    <w:rPr>
                      <w:rFonts w:hint="eastAsia" w:cs="Times New Roman"/>
                      <w:color w:val="auto"/>
                      <w:sz w:val="21"/>
                      <w:szCs w:val="21"/>
                      <w:highlight w:val="none"/>
                      <w:lang w:val="en-US" w:eastAsia="zh-CN"/>
                    </w:rPr>
                    <w:t>的允许类项目；</w:t>
                  </w:r>
                </w:p>
                <w:p w14:paraId="7A5E75DC">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（2）不属于</w:t>
                  </w:r>
                  <w:r>
                    <w:rPr>
                      <w:rFonts w:hint="default" w:cs="Times New Roman"/>
                      <w:color w:val="auto"/>
                      <w:sz w:val="21"/>
                      <w:szCs w:val="21"/>
                      <w:highlight w:val="none"/>
                      <w:lang w:val="en-US" w:eastAsia="zh-CN"/>
                    </w:rPr>
                    <w:t>《外商投资产业指导目录 (2017 年修订)》中所列的限制类项目</w:t>
                  </w:r>
                  <w:r>
                    <w:rPr>
                      <w:rFonts w:hint="eastAsia" w:cs="Times New Roman"/>
                      <w:color w:val="auto"/>
                      <w:sz w:val="21"/>
                      <w:szCs w:val="21"/>
                      <w:highlight w:val="none"/>
                      <w:lang w:val="en-US" w:eastAsia="zh-CN"/>
                    </w:rPr>
                    <w:t>；</w:t>
                  </w:r>
                </w:p>
                <w:p w14:paraId="69BA82A0">
                  <w:pPr>
                    <w:keepNext w:val="0"/>
                    <w:keepLines w:val="0"/>
                    <w:suppressLineNumbers w:val="0"/>
                    <w:adjustRightInd w:val="0"/>
                    <w:snapToGrid w:val="0"/>
                    <w:spacing w:before="0" w:beforeAutospacing="0" w:after="0" w:afterAutospacing="0"/>
                    <w:ind w:left="0" w:right="0"/>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（3）项目不</w:t>
                  </w:r>
                  <w:r>
                    <w:rPr>
                      <w:rFonts w:hint="default" w:cs="Times New Roman"/>
                      <w:color w:val="auto"/>
                      <w:sz w:val="21"/>
                      <w:szCs w:val="21"/>
                      <w:highlight w:val="none"/>
                      <w:lang w:val="en-US" w:eastAsia="zh-CN"/>
                    </w:rPr>
                    <w:t>涉及《中国严格限制进出口的有毒化学品目录(2018年本)》中所列有毒化学品的项目</w:t>
                  </w:r>
                  <w:r>
                    <w:rPr>
                      <w:rFonts w:hint="eastAsia" w:cs="Times New Roman"/>
                      <w:color w:val="auto"/>
                      <w:sz w:val="21"/>
                      <w:szCs w:val="21"/>
                      <w:highlight w:val="none"/>
                      <w:lang w:val="en-US" w:eastAsia="zh-CN"/>
                    </w:rPr>
                    <w:t>；</w:t>
                  </w:r>
                </w:p>
                <w:p w14:paraId="2589242B">
                  <w:pPr>
                    <w:keepNext w:val="0"/>
                    <w:keepLines w:val="0"/>
                    <w:suppressLineNumbers w:val="0"/>
                    <w:adjustRightInd w:val="0"/>
                    <w:snapToGrid w:val="0"/>
                    <w:spacing w:before="0" w:beforeAutospacing="0" w:after="0" w:afterAutospacing="0"/>
                    <w:ind w:left="0" w:right="0"/>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（4）项目引用先进一体化设备生产；</w:t>
                  </w:r>
                </w:p>
                <w:p w14:paraId="524E2952">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（5）项目能耗较低，污染类型较单一，且通过较成熟的处理工艺处理后，对环境的影响较小。</w:t>
                  </w:r>
                </w:p>
              </w:tc>
              <w:tc>
                <w:tcPr>
                  <w:tcW w:w="395" w:type="dxa"/>
                  <w:vAlign w:val="center"/>
                </w:tcPr>
                <w:p w14:paraId="3521E977">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14:paraId="1174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restart"/>
                  <w:vAlign w:val="center"/>
                </w:tcPr>
                <w:p w14:paraId="2A016E7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规划产业要求</w:t>
                  </w:r>
                </w:p>
              </w:tc>
              <w:tc>
                <w:tcPr>
                  <w:tcW w:w="659" w:type="dxa"/>
                  <w:vAlign w:val="center"/>
                </w:tcPr>
                <w:p w14:paraId="335CDB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现状产业区</w:t>
                  </w:r>
                </w:p>
              </w:tc>
              <w:tc>
                <w:tcPr>
                  <w:tcW w:w="3705" w:type="dxa"/>
                  <w:vAlign w:val="center"/>
                </w:tcPr>
                <w:p w14:paraId="40122D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olor w:val="auto"/>
                      <w:sz w:val="21"/>
                      <w:szCs w:val="21"/>
                      <w:highlight w:val="none"/>
                      <w:lang w:eastAsia="zh-CN"/>
                    </w:rPr>
                  </w:pPr>
                  <w:r>
                    <w:rPr>
                      <w:rFonts w:hint="default"/>
                      <w:color w:val="auto"/>
                      <w:sz w:val="21"/>
                      <w:szCs w:val="21"/>
                      <w:highlight w:val="none"/>
                      <w:lang w:val="en-US" w:eastAsia="zh-CN"/>
                    </w:rPr>
                    <w:t>现有煤磷盐化工企业、水泥熟料生产企业严禁新增、扩建重污染的煤磷盐化工项目，严禁新增三类工业用地，现有煤磷盐化工项目通过技术改造、产业升级、环保整改等进行节能减排，推行污染物超低排放改造，禁止新的煤、磷、盐化工产业、水泥熟料生产企业入驻。</w:t>
                  </w:r>
                </w:p>
              </w:tc>
              <w:tc>
                <w:tcPr>
                  <w:tcW w:w="2505" w:type="dxa"/>
                  <w:vAlign w:val="center"/>
                </w:tcPr>
                <w:p w14:paraId="0FC66255">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项目</w:t>
                  </w:r>
                  <w:r>
                    <w:rPr>
                      <w:rFonts w:hint="eastAsia" w:cs="Times New Roman"/>
                      <w:color w:val="auto"/>
                      <w:sz w:val="21"/>
                      <w:szCs w:val="21"/>
                      <w:highlight w:val="none"/>
                      <w:lang w:val="en-US" w:eastAsia="zh-CN"/>
                    </w:rPr>
                    <w:t>租用寻甸荣禾工贸有限公司已建厂房进行使用，不新增占地；且项目不属于</w:t>
                  </w:r>
                  <w:r>
                    <w:rPr>
                      <w:rFonts w:hint="default" w:cs="Times New Roman"/>
                      <w:color w:val="auto"/>
                      <w:sz w:val="21"/>
                      <w:szCs w:val="21"/>
                      <w:highlight w:val="none"/>
                      <w:lang w:val="en-US" w:eastAsia="zh-CN"/>
                    </w:rPr>
                    <w:t>煤、磷、盐化工</w:t>
                  </w:r>
                  <w:r>
                    <w:rPr>
                      <w:rFonts w:hint="eastAsia" w:cs="Times New Roman"/>
                      <w:color w:val="auto"/>
                      <w:sz w:val="21"/>
                      <w:szCs w:val="21"/>
                      <w:highlight w:val="none"/>
                      <w:lang w:val="en-US" w:eastAsia="zh-CN"/>
                    </w:rPr>
                    <w:t>企业。</w:t>
                  </w:r>
                </w:p>
              </w:tc>
              <w:tc>
                <w:tcPr>
                  <w:tcW w:w="395" w:type="dxa"/>
                  <w:vAlign w:val="center"/>
                </w:tcPr>
                <w:p w14:paraId="03D4F280">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14:paraId="75BF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vAlign w:val="center"/>
                </w:tcPr>
                <w:p w14:paraId="3E2FBBF6">
                  <w:pPr>
                    <w:keepNext w:val="0"/>
                    <w:keepLines w:val="0"/>
                    <w:suppressLineNumbers w:val="0"/>
                    <w:adjustRightInd w:val="0"/>
                    <w:snapToGrid w:val="0"/>
                    <w:spacing w:before="0" w:beforeAutospacing="0" w:after="0" w:afterAutospacing="0"/>
                    <w:ind w:left="0" w:right="0"/>
                    <w:jc w:val="center"/>
                    <w:rPr>
                      <w:rFonts w:hint="eastAsia" w:cs="Times New Roman"/>
                      <w:color w:val="auto"/>
                      <w:highlight w:val="none"/>
                      <w:lang w:val="en-US" w:eastAsia="zh-CN"/>
                    </w:rPr>
                  </w:pPr>
                </w:p>
              </w:tc>
              <w:tc>
                <w:tcPr>
                  <w:tcW w:w="659" w:type="dxa"/>
                  <w:vAlign w:val="center"/>
                </w:tcPr>
                <w:p w14:paraId="2810A052">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新型建材产业</w:t>
                  </w:r>
                </w:p>
              </w:tc>
              <w:tc>
                <w:tcPr>
                  <w:tcW w:w="3705" w:type="dxa"/>
                  <w:vAlign w:val="center"/>
                </w:tcPr>
                <w:p w14:paraId="52B0D5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color w:val="auto"/>
                      <w:sz w:val="21"/>
                      <w:szCs w:val="21"/>
                      <w:highlight w:val="none"/>
                      <w:lang w:val="en-US" w:eastAsia="zh-CN"/>
                    </w:rPr>
                  </w:pPr>
                  <w:r>
                    <w:rPr>
                      <w:rFonts w:hint="default"/>
                      <w:color w:val="auto"/>
                      <w:sz w:val="21"/>
                      <w:szCs w:val="21"/>
                      <w:highlight w:val="none"/>
                      <w:lang w:val="en-US" w:eastAsia="zh-CN"/>
                    </w:rPr>
                    <w:t>入驻企业为新型墙体材料、新型防水密封材料、新型保温隔热材料和装饰装修材料等新型建材企业，禁止水泥生产、矿渣棉、玻璃棉、手工制作墙板生产线、非烧结、非蒸压粉煤生产线企业入驻。</w:t>
                  </w:r>
                </w:p>
              </w:tc>
              <w:tc>
                <w:tcPr>
                  <w:tcW w:w="2505" w:type="dxa"/>
                  <w:vAlign w:val="center"/>
                </w:tcPr>
                <w:p w14:paraId="64F9A562">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项目产品为三聚氰胺浸渍纸，属于装饰装修材料新型建材企业。</w:t>
                  </w:r>
                </w:p>
              </w:tc>
              <w:tc>
                <w:tcPr>
                  <w:tcW w:w="395" w:type="dxa"/>
                  <w:vAlign w:val="center"/>
                </w:tcPr>
                <w:p w14:paraId="6FA77485">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14:paraId="5518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vAlign w:val="center"/>
                </w:tcPr>
                <w:p w14:paraId="109FC054">
                  <w:pPr>
                    <w:keepNext w:val="0"/>
                    <w:keepLines w:val="0"/>
                    <w:suppressLineNumbers w:val="0"/>
                    <w:adjustRightInd w:val="0"/>
                    <w:snapToGrid w:val="0"/>
                    <w:spacing w:before="0" w:beforeAutospacing="0" w:after="0" w:afterAutospacing="0"/>
                    <w:ind w:left="0" w:right="0"/>
                    <w:jc w:val="center"/>
                    <w:rPr>
                      <w:rFonts w:hint="eastAsia" w:cs="Times New Roman"/>
                      <w:color w:val="auto"/>
                      <w:highlight w:val="none"/>
                      <w:lang w:val="en-US" w:eastAsia="zh-CN"/>
                    </w:rPr>
                  </w:pPr>
                </w:p>
              </w:tc>
              <w:tc>
                <w:tcPr>
                  <w:tcW w:w="659" w:type="dxa"/>
                  <w:vAlign w:val="center"/>
                </w:tcPr>
                <w:p w14:paraId="498A7055">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先进装备制造业</w:t>
                  </w:r>
                </w:p>
              </w:tc>
              <w:tc>
                <w:tcPr>
                  <w:tcW w:w="3705" w:type="dxa"/>
                  <w:vAlign w:val="center"/>
                </w:tcPr>
                <w:p w14:paraId="1F647D7D">
                  <w:pPr>
                    <w:keepNext w:val="0"/>
                    <w:keepLines w:val="0"/>
                    <w:suppressLineNumbers w:val="0"/>
                    <w:adjustRightInd w:val="0"/>
                    <w:snapToGrid w:val="0"/>
                    <w:spacing w:before="0" w:beforeAutospacing="0" w:after="0" w:afterAutospacing="0"/>
                    <w:ind w:left="0" w:right="0"/>
                    <w:jc w:val="left"/>
                    <w:rPr>
                      <w:rFonts w:hint="default" w:cs="Times New Roman"/>
                      <w:color w:val="auto"/>
                      <w:highlight w:val="none"/>
                      <w:lang w:val="en-US" w:eastAsia="zh-CN"/>
                    </w:rPr>
                  </w:pPr>
                  <w:r>
                    <w:rPr>
                      <w:rFonts w:hint="default" w:cs="Times New Roman"/>
                      <w:color w:val="auto"/>
                      <w:highlight w:val="none"/>
                      <w:lang w:val="en-US" w:eastAsia="zh-CN"/>
                    </w:rPr>
                    <w:t>禁止采用电镀、钝化、传统磷化工艺企业、包括电子器件和电路板生产制造，生产废水不能循环回用的企业入驻。</w:t>
                  </w:r>
                </w:p>
              </w:tc>
              <w:tc>
                <w:tcPr>
                  <w:tcW w:w="2505" w:type="dxa"/>
                  <w:vAlign w:val="center"/>
                </w:tcPr>
                <w:p w14:paraId="317A655D">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项目不属于</w:t>
                  </w:r>
                  <w:r>
                    <w:rPr>
                      <w:rFonts w:hint="default" w:cs="Times New Roman"/>
                      <w:color w:val="auto"/>
                      <w:sz w:val="21"/>
                      <w:szCs w:val="21"/>
                      <w:highlight w:val="none"/>
                      <w:lang w:val="en-US" w:eastAsia="zh-CN"/>
                    </w:rPr>
                    <w:t>电镀、钝化、传统磷化工艺企业、包括电子器件和电路板生产制造</w:t>
                  </w:r>
                  <w:r>
                    <w:rPr>
                      <w:rFonts w:hint="eastAsia" w:cs="Times New Roman"/>
                      <w:color w:val="auto"/>
                      <w:sz w:val="21"/>
                      <w:szCs w:val="21"/>
                      <w:highlight w:val="none"/>
                      <w:lang w:val="en-US" w:eastAsia="zh-CN"/>
                    </w:rPr>
                    <w:t>企业，且废水回用不外排。</w:t>
                  </w:r>
                </w:p>
              </w:tc>
              <w:tc>
                <w:tcPr>
                  <w:tcW w:w="395" w:type="dxa"/>
                  <w:vAlign w:val="center"/>
                </w:tcPr>
                <w:p w14:paraId="70F1CD5B">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14:paraId="71BE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vAlign w:val="center"/>
                </w:tcPr>
                <w:p w14:paraId="4E5C7523">
                  <w:pPr>
                    <w:keepNext w:val="0"/>
                    <w:keepLines w:val="0"/>
                    <w:suppressLineNumbers w:val="0"/>
                    <w:adjustRightInd w:val="0"/>
                    <w:snapToGrid w:val="0"/>
                    <w:spacing w:before="0" w:beforeAutospacing="0" w:after="0" w:afterAutospacing="0"/>
                    <w:ind w:left="0" w:right="0"/>
                    <w:jc w:val="center"/>
                    <w:rPr>
                      <w:rFonts w:hint="eastAsia" w:cs="Times New Roman"/>
                      <w:color w:val="auto"/>
                      <w:highlight w:val="none"/>
                      <w:lang w:val="en-US" w:eastAsia="zh-CN"/>
                    </w:rPr>
                  </w:pPr>
                </w:p>
              </w:tc>
              <w:tc>
                <w:tcPr>
                  <w:tcW w:w="659" w:type="dxa"/>
                  <w:vAlign w:val="center"/>
                </w:tcPr>
                <w:p w14:paraId="1466991F">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消费品制造业</w:t>
                  </w:r>
                </w:p>
              </w:tc>
              <w:tc>
                <w:tcPr>
                  <w:tcW w:w="3705" w:type="dxa"/>
                  <w:vAlign w:val="center"/>
                </w:tcPr>
                <w:p w14:paraId="5DA3C182">
                  <w:pPr>
                    <w:keepNext w:val="0"/>
                    <w:keepLines w:val="0"/>
                    <w:suppressLineNumbers w:val="0"/>
                    <w:adjustRightInd w:val="0"/>
                    <w:snapToGrid w:val="0"/>
                    <w:spacing w:before="0" w:beforeAutospacing="0" w:after="0" w:afterAutospacing="0"/>
                    <w:ind w:left="0" w:right="0"/>
                    <w:jc w:val="left"/>
                    <w:rPr>
                      <w:rFonts w:hint="default" w:cs="Times New Roman"/>
                      <w:color w:val="auto"/>
                      <w:highlight w:val="none"/>
                      <w:lang w:val="en-US" w:eastAsia="zh-CN"/>
                    </w:rPr>
                  </w:pPr>
                  <w:r>
                    <w:rPr>
                      <w:rFonts w:hint="default" w:cs="Times New Roman"/>
                      <w:color w:val="auto"/>
                      <w:highlight w:val="none"/>
                      <w:lang w:val="en-US" w:eastAsia="zh-CN"/>
                    </w:rPr>
                    <w:t>禁止采用传统制胶工艺，生产废水不能循环回用的企业入驻。</w:t>
                  </w:r>
                </w:p>
              </w:tc>
              <w:tc>
                <w:tcPr>
                  <w:tcW w:w="2505" w:type="dxa"/>
                  <w:vAlign w:val="center"/>
                </w:tcPr>
                <w:p w14:paraId="3AB3BF01">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项目使用胶水为外购成品胶水，不涉及制胶工艺，且无生产废水产生。</w:t>
                  </w:r>
                </w:p>
              </w:tc>
              <w:tc>
                <w:tcPr>
                  <w:tcW w:w="395" w:type="dxa"/>
                  <w:vAlign w:val="center"/>
                </w:tcPr>
                <w:p w14:paraId="0DB4B918">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14:paraId="76DD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vAlign w:val="center"/>
                </w:tcPr>
                <w:p w14:paraId="376A6E7A">
                  <w:pPr>
                    <w:keepNext w:val="0"/>
                    <w:keepLines w:val="0"/>
                    <w:suppressLineNumbers w:val="0"/>
                    <w:adjustRightInd w:val="0"/>
                    <w:snapToGrid w:val="0"/>
                    <w:spacing w:before="0" w:beforeAutospacing="0" w:after="0" w:afterAutospacing="0"/>
                    <w:ind w:left="0" w:right="0"/>
                    <w:jc w:val="center"/>
                    <w:rPr>
                      <w:rFonts w:hint="eastAsia" w:cs="Times New Roman"/>
                      <w:color w:val="auto"/>
                      <w:highlight w:val="none"/>
                      <w:lang w:val="en-US" w:eastAsia="zh-CN"/>
                    </w:rPr>
                  </w:pPr>
                </w:p>
              </w:tc>
              <w:tc>
                <w:tcPr>
                  <w:tcW w:w="659" w:type="dxa"/>
                  <w:vAlign w:val="center"/>
                </w:tcPr>
                <w:p w14:paraId="6D14899F">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食品</w:t>
                  </w:r>
                </w:p>
              </w:tc>
              <w:tc>
                <w:tcPr>
                  <w:tcW w:w="3705" w:type="dxa"/>
                  <w:vAlign w:val="center"/>
                </w:tcPr>
                <w:p w14:paraId="28EE0DD2">
                  <w:pPr>
                    <w:keepNext w:val="0"/>
                    <w:keepLines w:val="0"/>
                    <w:suppressLineNumbers w:val="0"/>
                    <w:adjustRightInd w:val="0"/>
                    <w:snapToGrid w:val="0"/>
                    <w:spacing w:before="0" w:beforeAutospacing="0" w:after="0" w:afterAutospacing="0"/>
                    <w:ind w:left="0" w:right="0"/>
                    <w:jc w:val="left"/>
                    <w:rPr>
                      <w:rFonts w:hint="default" w:cs="Times New Roman"/>
                      <w:color w:val="auto"/>
                      <w:highlight w:val="none"/>
                      <w:lang w:val="en-US" w:eastAsia="zh-CN"/>
                    </w:rPr>
                  </w:pPr>
                  <w:r>
                    <w:rPr>
                      <w:rFonts w:hint="default" w:cs="Times New Roman"/>
                      <w:color w:val="auto"/>
                      <w:highlight w:val="none"/>
                      <w:lang w:val="en-US" w:eastAsia="zh-CN"/>
                    </w:rPr>
                    <w:t>羊街片区:禁止生产废水不能实现园区零排放的食品企业入驻。</w:t>
                  </w:r>
                </w:p>
              </w:tc>
              <w:tc>
                <w:tcPr>
                  <w:tcW w:w="2505" w:type="dxa"/>
                  <w:vAlign w:val="center"/>
                </w:tcPr>
                <w:p w14:paraId="1410C487">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项目不属于食品企业。</w:t>
                  </w:r>
                </w:p>
              </w:tc>
              <w:tc>
                <w:tcPr>
                  <w:tcW w:w="395" w:type="dxa"/>
                  <w:vAlign w:val="center"/>
                </w:tcPr>
                <w:p w14:paraId="5B265CF3">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14:paraId="7D43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vAlign w:val="center"/>
                </w:tcPr>
                <w:p w14:paraId="0BA42FF1">
                  <w:pPr>
                    <w:keepNext w:val="0"/>
                    <w:keepLines w:val="0"/>
                    <w:suppressLineNumbers w:val="0"/>
                    <w:adjustRightInd w:val="0"/>
                    <w:snapToGrid w:val="0"/>
                    <w:spacing w:before="0" w:beforeAutospacing="0" w:after="0" w:afterAutospacing="0"/>
                    <w:ind w:left="0" w:right="0"/>
                    <w:jc w:val="center"/>
                    <w:rPr>
                      <w:rFonts w:hint="eastAsia" w:cs="Times New Roman"/>
                      <w:color w:val="auto"/>
                      <w:highlight w:val="none"/>
                      <w:lang w:val="en-US" w:eastAsia="zh-CN"/>
                    </w:rPr>
                  </w:pPr>
                </w:p>
              </w:tc>
              <w:tc>
                <w:tcPr>
                  <w:tcW w:w="659" w:type="dxa"/>
                  <w:vAlign w:val="center"/>
                </w:tcPr>
                <w:p w14:paraId="72318646">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生物医药</w:t>
                  </w:r>
                </w:p>
              </w:tc>
              <w:tc>
                <w:tcPr>
                  <w:tcW w:w="3705" w:type="dxa"/>
                  <w:vAlign w:val="center"/>
                </w:tcPr>
                <w:p w14:paraId="3612F648">
                  <w:pPr>
                    <w:keepNext w:val="0"/>
                    <w:keepLines w:val="0"/>
                    <w:suppressLineNumbers w:val="0"/>
                    <w:adjustRightInd w:val="0"/>
                    <w:snapToGrid w:val="0"/>
                    <w:spacing w:before="0" w:beforeAutospacing="0" w:after="0" w:afterAutospacing="0"/>
                    <w:ind w:left="0" w:right="0"/>
                    <w:jc w:val="left"/>
                    <w:rPr>
                      <w:rFonts w:hint="default" w:cs="Times New Roman"/>
                      <w:color w:val="auto"/>
                      <w:highlight w:val="none"/>
                      <w:lang w:val="en-US" w:eastAsia="zh-CN"/>
                    </w:rPr>
                  </w:pPr>
                  <w:r>
                    <w:rPr>
                      <w:rFonts w:hint="default" w:cs="Times New Roman"/>
                      <w:color w:val="auto"/>
                      <w:highlight w:val="none"/>
                      <w:lang w:val="en-US" w:eastAsia="zh-CN"/>
                    </w:rPr>
                    <w:t>满足《云南省“十四五”生物医药产业创新发展规划要求 》</w:t>
                  </w:r>
                  <w:r>
                    <w:rPr>
                      <w:rFonts w:hint="eastAsia" w:cs="Times New Roman"/>
                      <w:color w:val="auto"/>
                      <w:highlight w:val="none"/>
                      <w:lang w:val="en-US" w:eastAsia="zh-CN"/>
                    </w:rPr>
                    <w:t>。</w:t>
                  </w:r>
                </w:p>
              </w:tc>
              <w:tc>
                <w:tcPr>
                  <w:tcW w:w="2505" w:type="dxa"/>
                  <w:vAlign w:val="center"/>
                </w:tcPr>
                <w:p w14:paraId="3AB2EF13">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项目不属于生物医药企业。</w:t>
                  </w:r>
                </w:p>
              </w:tc>
              <w:tc>
                <w:tcPr>
                  <w:tcW w:w="395" w:type="dxa"/>
                  <w:vAlign w:val="center"/>
                </w:tcPr>
                <w:p w14:paraId="0CE9F4FA">
                  <w:pPr>
                    <w:keepNext w:val="0"/>
                    <w:keepLines w:val="0"/>
                    <w:suppressLineNumbers w:val="0"/>
                    <w:adjustRightInd w:val="0"/>
                    <w:snapToGrid w:val="0"/>
                    <w:spacing w:before="0" w:beforeAutospacing="0" w:after="0" w:afterAutospacing="0"/>
                    <w:ind w:left="0" w:right="0"/>
                    <w:jc w:val="lef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bl>
          <w:p w14:paraId="1DD62337">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jc w:val="both"/>
              <w:rPr>
                <w:rFonts w:hint="eastAsia" w:ascii="Times New Roman" w:hAnsi="Times New Roman" w:eastAsia="宋体" w:cs="宋体"/>
                <w:color w:val="auto"/>
                <w:kern w:val="0"/>
                <w:sz w:val="24"/>
                <w:szCs w:val="24"/>
                <w:highlight w:val="yellow"/>
                <w:lang w:val="en-US" w:eastAsia="zh-CN"/>
              </w:rPr>
            </w:pPr>
            <w:r>
              <w:rPr>
                <w:rFonts w:hint="default" w:ascii="Times New Roman" w:hAnsi="Times New Roman" w:eastAsia="宋体" w:cs="Times New Roman"/>
                <w:color w:val="auto"/>
                <w:sz w:val="24"/>
                <w:szCs w:val="24"/>
                <w:highlight w:val="none"/>
              </w:rPr>
              <w:t>因此，本项目不属于工业园区负面清单规定的范围内，符合环境准入负面清单要求。</w:t>
            </w:r>
          </w:p>
        </w:tc>
      </w:tr>
      <w:tr w14:paraId="7A278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32" w:type="dxa"/>
            <w:noWrap w:val="0"/>
            <w:vAlign w:val="center"/>
          </w:tcPr>
          <w:p w14:paraId="2ADBF98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rPr>
              <w:t>其他符合性分析</w:t>
            </w:r>
          </w:p>
        </w:tc>
        <w:tc>
          <w:tcPr>
            <w:tcW w:w="7994" w:type="dxa"/>
            <w:gridSpan w:val="5"/>
            <w:noWrap w:val="0"/>
            <w:vAlign w:val="center"/>
          </w:tcPr>
          <w:p w14:paraId="57C429EE">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1、项目与“三线一单”的相符性分析</w:t>
            </w:r>
          </w:p>
          <w:p w14:paraId="642A493F">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（1）生态保护红线</w:t>
            </w:r>
          </w:p>
          <w:p w14:paraId="0812670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sz w:val="24"/>
                <w:highlight w:val="none"/>
                <w:lang w:val="zh-CN"/>
              </w:rPr>
              <w:t>根据《云南省人民政府关于发布云南省生态保护红线的通知》云政发[2018]32号和《云南省人民政府关于实施“三线一单”生态环境分区管控的意见》云政发（2020）29号文，</w:t>
            </w:r>
            <w:r>
              <w:rPr>
                <w:rFonts w:hint="eastAsia"/>
                <w:color w:val="auto"/>
                <w:sz w:val="24"/>
                <w:highlight w:val="none"/>
                <w:lang w:val="zh-CN"/>
              </w:rPr>
              <w:t>本</w:t>
            </w:r>
            <w:r>
              <w:rPr>
                <w:rFonts w:hint="default"/>
                <w:color w:val="auto"/>
                <w:sz w:val="24"/>
                <w:highlight w:val="none"/>
                <w:lang w:val="zh-CN"/>
              </w:rPr>
              <w:t>项目位于云南省昆明市寻甸县特色产业园区</w:t>
            </w:r>
            <w:r>
              <w:rPr>
                <w:rFonts w:hint="eastAsia"/>
                <w:color w:val="auto"/>
                <w:sz w:val="24"/>
                <w:highlight w:val="none"/>
                <w:lang w:val="en-US" w:eastAsia="zh-CN"/>
              </w:rPr>
              <w:t>羊街</w:t>
            </w:r>
            <w:r>
              <w:rPr>
                <w:rFonts w:hint="default"/>
                <w:color w:val="auto"/>
                <w:sz w:val="24"/>
                <w:highlight w:val="none"/>
                <w:lang w:val="zh-CN"/>
              </w:rPr>
              <w:t>片区</w:t>
            </w:r>
            <w:r>
              <w:rPr>
                <w:rFonts w:hint="eastAsia"/>
                <w:color w:val="auto"/>
                <w:sz w:val="24"/>
                <w:highlight w:val="none"/>
                <w:lang w:val="zh-CN"/>
              </w:rPr>
              <w:t>，</w:t>
            </w:r>
            <w:r>
              <w:rPr>
                <w:rFonts w:hint="default"/>
                <w:color w:val="auto"/>
                <w:sz w:val="24"/>
                <w:highlight w:val="none"/>
                <w:lang w:val="zh-CN"/>
              </w:rPr>
              <w:t>属规划的工业用地，不在生态红线范围内，项目符合生态保护红线的相关要求</w:t>
            </w:r>
            <w:r>
              <w:rPr>
                <w:rFonts w:hint="default"/>
                <w:color w:val="auto"/>
                <w:kern w:val="0"/>
                <w:sz w:val="24"/>
                <w:highlight w:val="none"/>
              </w:rPr>
              <w:t>。</w:t>
            </w:r>
          </w:p>
          <w:p w14:paraId="2008E765">
            <w:pPr>
              <w:pStyle w:val="13"/>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b/>
                <w:bCs/>
                <w:color w:val="auto"/>
                <w:sz w:val="24"/>
                <w:highlight w:val="none"/>
              </w:rPr>
            </w:pPr>
            <w:r>
              <w:rPr>
                <w:rFonts w:hint="default" w:ascii="Times New Roman" w:hAnsi="Times New Roman"/>
                <w:b/>
                <w:bCs/>
                <w:color w:val="auto"/>
                <w:sz w:val="24"/>
                <w:highlight w:val="none"/>
              </w:rPr>
              <w:t>（2）环境质量底线</w:t>
            </w:r>
          </w:p>
          <w:p w14:paraId="10D7230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ascii="Times New Roman" w:hAnsi="Times New Roman" w:eastAsia="宋体" w:cs="Times New Roman"/>
                <w:color w:val="auto"/>
                <w:kern w:val="2"/>
                <w:sz w:val="24"/>
                <w:szCs w:val="24"/>
                <w:highlight w:val="none"/>
                <w:lang w:val="zh-CN" w:eastAsia="zh-CN" w:bidi="ar"/>
              </w:rPr>
              <w:t>本项目排放的废气均经过有效治理，实现达标排放，满足区域环境质量要求，不会改变区域大气环境功能区划；项目</w:t>
            </w:r>
            <w:r>
              <w:rPr>
                <w:rFonts w:hint="eastAsia" w:cs="Times New Roman"/>
                <w:color w:val="auto"/>
                <w:kern w:val="2"/>
                <w:sz w:val="24"/>
                <w:szCs w:val="24"/>
                <w:highlight w:val="none"/>
                <w:lang w:val="en-US" w:eastAsia="zh-CN" w:bidi="ar"/>
              </w:rPr>
              <w:t>无废水产生</w:t>
            </w:r>
            <w:r>
              <w:rPr>
                <w:rFonts w:hint="eastAsia" w:ascii="Times New Roman" w:hAnsi="Times New Roman" w:eastAsia="宋体" w:cs="Times New Roman"/>
                <w:color w:val="auto"/>
                <w:kern w:val="2"/>
                <w:sz w:val="24"/>
                <w:szCs w:val="24"/>
                <w:highlight w:val="none"/>
                <w:lang w:val="zh-CN" w:eastAsia="zh-CN" w:bidi="ar"/>
              </w:rPr>
              <w:t>，不会对区域地表水环境造成影响，不会改变区域地表水环境功能区划；项目运营期产生的噪声可实现厂界达标排放，满足声环境质量要求，不会改变区域声环境功能区划；项目运营期产生的固体废物均可得到有效、妥善</w:t>
            </w:r>
            <w:r>
              <w:rPr>
                <w:rFonts w:hint="eastAsia" w:cs="Times New Roman"/>
                <w:color w:val="auto"/>
                <w:kern w:val="2"/>
                <w:sz w:val="24"/>
                <w:szCs w:val="24"/>
                <w:highlight w:val="none"/>
                <w:lang w:val="zh-CN" w:eastAsia="zh-CN" w:bidi="ar"/>
              </w:rPr>
              <w:t>地</w:t>
            </w:r>
            <w:r>
              <w:rPr>
                <w:rFonts w:hint="eastAsia" w:ascii="Times New Roman" w:hAnsi="Times New Roman" w:eastAsia="宋体" w:cs="Times New Roman"/>
                <w:color w:val="auto"/>
                <w:kern w:val="2"/>
                <w:sz w:val="24"/>
                <w:szCs w:val="24"/>
                <w:highlight w:val="none"/>
                <w:lang w:val="zh-CN" w:eastAsia="zh-CN" w:bidi="ar"/>
              </w:rPr>
              <w:t>处理处置，不会形成二次污染。综上，本项目建设符合环境质量底线要求，不会对区域环境质量造成明显影响</w:t>
            </w:r>
            <w:r>
              <w:rPr>
                <w:rFonts w:hint="default"/>
                <w:color w:val="auto"/>
                <w:kern w:val="0"/>
                <w:sz w:val="24"/>
                <w:highlight w:val="none"/>
              </w:rPr>
              <w:t>。</w:t>
            </w:r>
          </w:p>
          <w:p w14:paraId="1B983DE5">
            <w:pPr>
              <w:keepNext w:val="0"/>
              <w:keepLines w:val="0"/>
              <w:numPr>
                <w:ilvl w:val="0"/>
                <w:numId w:val="5"/>
              </w:numPr>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资源利用上线</w:t>
            </w:r>
          </w:p>
          <w:p w14:paraId="74391F0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项目运营过程消耗一定的电能、水，资源消耗量相对于区域资源利用总量较少，符合资源利用上</w:t>
            </w:r>
            <w:r>
              <w:rPr>
                <w:rFonts w:hint="eastAsia"/>
                <w:color w:val="auto"/>
                <w:kern w:val="0"/>
                <w:sz w:val="24"/>
                <w:highlight w:val="none"/>
                <w:lang w:eastAsia="zh-CN"/>
              </w:rPr>
              <w:t>限</w:t>
            </w:r>
            <w:r>
              <w:rPr>
                <w:rFonts w:hint="default"/>
                <w:color w:val="auto"/>
                <w:kern w:val="0"/>
                <w:sz w:val="24"/>
                <w:highlight w:val="none"/>
              </w:rPr>
              <w:t>要求。</w:t>
            </w:r>
          </w:p>
          <w:p w14:paraId="3ECE7828">
            <w:pPr>
              <w:keepNext w:val="0"/>
              <w:keepLines w:val="0"/>
              <w:numPr>
                <w:ilvl w:val="0"/>
                <w:numId w:val="5"/>
              </w:numPr>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default"/>
                <w:b/>
                <w:bCs/>
                <w:color w:val="auto"/>
                <w:sz w:val="24"/>
                <w:highlight w:val="none"/>
              </w:rPr>
              <w:t>环境准入负面清单</w:t>
            </w:r>
          </w:p>
          <w:p w14:paraId="55591CA8">
            <w:pPr>
              <w:keepNext w:val="0"/>
              <w:keepLines w:val="0"/>
              <w:suppressLineNumbers w:val="0"/>
              <w:snapToGrid w:val="0"/>
              <w:spacing w:before="0" w:beforeAutospacing="0" w:after="0" w:afterAutospacing="0" w:line="360" w:lineRule="auto"/>
              <w:ind w:left="0" w:right="0" w:firstLine="480" w:firstLineChars="200"/>
              <w:jc w:val="both"/>
              <w:rPr>
                <w:rFonts w:hint="default"/>
                <w:color w:val="auto"/>
                <w:kern w:val="0"/>
                <w:sz w:val="24"/>
                <w:highlight w:val="none"/>
              </w:rPr>
            </w:pPr>
            <w:r>
              <w:rPr>
                <w:rFonts w:hint="eastAsia"/>
                <w:color w:val="auto"/>
                <w:kern w:val="0"/>
                <w:sz w:val="24"/>
                <w:highlight w:val="none"/>
                <w:lang w:eastAsia="zh-CN"/>
              </w:rPr>
              <w:t>项目</w:t>
            </w:r>
            <w:r>
              <w:rPr>
                <w:rFonts w:hint="eastAsia"/>
                <w:color w:val="auto"/>
                <w:kern w:val="0"/>
                <w:sz w:val="24"/>
                <w:highlight w:val="none"/>
                <w:lang w:val="en-US" w:eastAsia="zh-CN"/>
              </w:rPr>
              <w:t>不属于产业政策指导名录中的淘汰、限制类，不属于规划环评</w:t>
            </w:r>
            <w:r>
              <w:rPr>
                <w:rFonts w:hint="default"/>
                <w:color w:val="auto"/>
                <w:kern w:val="0"/>
                <w:sz w:val="24"/>
                <w:highlight w:val="none"/>
              </w:rPr>
              <w:t>准入负面清单</w:t>
            </w:r>
            <w:r>
              <w:rPr>
                <w:rFonts w:hint="eastAsia"/>
                <w:color w:val="auto"/>
                <w:kern w:val="0"/>
                <w:sz w:val="24"/>
                <w:highlight w:val="none"/>
                <w:lang w:val="en-US" w:eastAsia="zh-CN"/>
              </w:rPr>
              <w:t>、长江经济带负面清单中的禁止、限制行业</w:t>
            </w:r>
            <w:r>
              <w:rPr>
                <w:rFonts w:hint="default"/>
                <w:color w:val="auto"/>
                <w:kern w:val="0"/>
                <w:sz w:val="24"/>
                <w:highlight w:val="none"/>
              </w:rPr>
              <w:t>，项目采取环境保护措施后，废气、噪声均可达标排放，</w:t>
            </w:r>
            <w:r>
              <w:rPr>
                <w:rFonts w:hint="eastAsia"/>
                <w:color w:val="auto"/>
                <w:kern w:val="0"/>
                <w:sz w:val="24"/>
                <w:highlight w:val="none"/>
                <w:lang w:val="en-US" w:eastAsia="zh-CN"/>
              </w:rPr>
              <w:t>生产废水循环使用，</w:t>
            </w:r>
            <w:r>
              <w:rPr>
                <w:rFonts w:hint="eastAsia"/>
                <w:color w:val="auto"/>
                <w:kern w:val="0"/>
                <w:sz w:val="24"/>
                <w:highlight w:val="none"/>
                <w:lang w:eastAsia="zh-CN"/>
              </w:rPr>
              <w:t>生活废水经处理达标后用于绿化及道路洒水降尘，</w:t>
            </w:r>
            <w:r>
              <w:rPr>
                <w:rFonts w:hint="default"/>
                <w:color w:val="auto"/>
                <w:kern w:val="0"/>
                <w:sz w:val="24"/>
                <w:highlight w:val="none"/>
              </w:rPr>
              <w:t>固体废物能够得到合理处置，不会产生二次污染。</w:t>
            </w:r>
          </w:p>
          <w:p w14:paraId="739DA5DC">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w w:val="100"/>
                <w:kern w:val="2"/>
                <w:sz w:val="24"/>
                <w:szCs w:val="24"/>
                <w:highlight w:val="none"/>
                <w:lang w:val="en-US" w:eastAsia="zh-CN" w:bidi="ar-SA"/>
              </w:rPr>
              <w:t>2</w:t>
            </w:r>
            <w:r>
              <w:rPr>
                <w:rFonts w:hint="default" w:ascii="Times New Roman" w:hAnsi="Times New Roman" w:eastAsia="宋体" w:cs="Times New Roman"/>
                <w:b/>
                <w:bCs/>
                <w:color w:val="auto"/>
                <w:w w:val="100"/>
                <w:kern w:val="2"/>
                <w:sz w:val="24"/>
                <w:szCs w:val="24"/>
                <w:highlight w:val="none"/>
                <w:lang w:val="en-US" w:eastAsia="zh-CN" w:bidi="ar-SA"/>
              </w:rPr>
              <w:t>、</w:t>
            </w:r>
            <w:r>
              <w:rPr>
                <w:rFonts w:hint="eastAsia" w:ascii="Times New Roman" w:hAnsi="Times New Roman" w:eastAsia="宋体" w:cs="Times New Roman"/>
                <w:b/>
                <w:bCs/>
                <w:color w:val="auto"/>
                <w:w w:val="100"/>
                <w:kern w:val="2"/>
                <w:sz w:val="24"/>
                <w:szCs w:val="24"/>
                <w:highlight w:val="none"/>
                <w:lang w:val="en-US" w:eastAsia="zh-CN" w:bidi="ar-SA"/>
              </w:rPr>
              <w:t>与昆明市人民政府关于昆明市“三线一单”生态环境分区管控的实施意见相符性分析</w:t>
            </w:r>
          </w:p>
          <w:p w14:paraId="12670782">
            <w:pPr>
              <w:keepNext w:val="0"/>
              <w:keepLines w:val="0"/>
              <w:suppressLineNumbers w:val="0"/>
              <w:spacing w:before="0" w:beforeAutospacing="0" w:after="0" w:afterAutospacing="0" w:line="360" w:lineRule="auto"/>
              <w:ind w:left="0" w:right="0" w:firstLine="480"/>
              <w:rPr>
                <w:rFonts w:hint="eastAsia" w:ascii="Times New Roman" w:hAnsi="Times New Roman" w:eastAsia="Times New Roman" w:cs="Times New Roman"/>
                <w:color w:val="auto"/>
                <w:sz w:val="24"/>
                <w:highlight w:val="none"/>
                <w:lang w:val="en-US" w:eastAsia="zh-CN"/>
              </w:rPr>
            </w:pPr>
            <w:r>
              <w:rPr>
                <w:rFonts w:hint="eastAsia" w:ascii="Times New Roman" w:hAnsi="Times New Roman" w:eastAsia="Times New Roman" w:cs="Times New Roman"/>
                <w:color w:val="auto"/>
                <w:sz w:val="24"/>
                <w:highlight w:val="none"/>
                <w:lang w:val="en-US" w:eastAsia="zh-CN"/>
              </w:rPr>
              <w:t>根据《昆明市人民政府关于实施“三线一单”生态环境分区管控的意见》（昆政发[2021]21号），</w:t>
            </w:r>
            <w:r>
              <w:rPr>
                <w:rFonts w:hint="eastAsia" w:eastAsia="Times New Roman" w:cs="Times New Roman"/>
                <w:color w:val="auto"/>
                <w:sz w:val="24"/>
                <w:highlight w:val="none"/>
                <w:lang w:val="en-US" w:eastAsia="zh-CN"/>
              </w:rPr>
              <w:t>项目位于云南寻甸特色产业园区重点管控单元（ZH53012920004），</w:t>
            </w:r>
            <w:r>
              <w:rPr>
                <w:rFonts w:hint="eastAsia" w:ascii="Times New Roman" w:hAnsi="Times New Roman" w:eastAsia="Times New Roman" w:cs="Times New Roman"/>
                <w:color w:val="auto"/>
                <w:sz w:val="24"/>
                <w:highlight w:val="none"/>
                <w:lang w:val="en-US" w:eastAsia="zh-CN"/>
              </w:rPr>
              <w:t>本项目与生态环境分区管控的意见相符性分析如下。</w:t>
            </w:r>
          </w:p>
          <w:p w14:paraId="50CF69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表1-</w:t>
            </w:r>
            <w:r>
              <w:rPr>
                <w:rFonts w:hint="eastAsia" w:cs="Times New Roman"/>
                <w:b/>
                <w:bCs/>
                <w:color w:val="auto"/>
                <w:sz w:val="21"/>
                <w:szCs w:val="21"/>
                <w:highlight w:val="none"/>
                <w:lang w:val="en-US" w:eastAsia="zh-CN"/>
              </w:rPr>
              <w:t xml:space="preserve">5  </w:t>
            </w:r>
            <w:r>
              <w:rPr>
                <w:rFonts w:hint="eastAsia" w:ascii="Times New Roman" w:hAnsi="Times New Roman" w:eastAsia="宋体" w:cs="Times New Roman"/>
                <w:b/>
                <w:bCs/>
                <w:color w:val="auto"/>
                <w:sz w:val="21"/>
                <w:szCs w:val="21"/>
                <w:highlight w:val="none"/>
                <w:lang w:val="en-US" w:eastAsia="zh-CN"/>
              </w:rPr>
              <w:t>与云南寻甸特色产业园区重点管控单元（ZH53012920004）相符性分析</w:t>
            </w:r>
          </w:p>
          <w:tbl>
            <w:tblPr>
              <w:tblStyle w:val="31"/>
              <w:tblW w:w="7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772"/>
              <w:gridCol w:w="517"/>
              <w:gridCol w:w="2853"/>
              <w:gridCol w:w="2586"/>
              <w:gridCol w:w="518"/>
            </w:tblGrid>
            <w:tr w14:paraId="7F2E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289" w:type="dxa"/>
                  <w:gridSpan w:val="2"/>
                  <w:noWrap w:val="0"/>
                  <w:vAlign w:val="center"/>
                </w:tcPr>
                <w:p w14:paraId="6518C946">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类别</w:t>
                  </w:r>
                </w:p>
              </w:tc>
              <w:tc>
                <w:tcPr>
                  <w:tcW w:w="3370" w:type="dxa"/>
                  <w:gridSpan w:val="2"/>
                  <w:noWrap w:val="0"/>
                  <w:vAlign w:val="center"/>
                </w:tcPr>
                <w:p w14:paraId="29C69B0E">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文件要求</w:t>
                  </w:r>
                </w:p>
              </w:tc>
              <w:tc>
                <w:tcPr>
                  <w:tcW w:w="2586" w:type="dxa"/>
                  <w:noWrap w:val="0"/>
                  <w:vAlign w:val="center"/>
                </w:tcPr>
                <w:p w14:paraId="7193A80D">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相符性分析</w:t>
                  </w:r>
                </w:p>
              </w:tc>
              <w:tc>
                <w:tcPr>
                  <w:tcW w:w="518" w:type="dxa"/>
                  <w:noWrap w:val="0"/>
                  <w:vAlign w:val="center"/>
                </w:tcPr>
                <w:p w14:paraId="2494981D">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符合性</w:t>
                  </w:r>
                </w:p>
              </w:tc>
            </w:tr>
            <w:tr w14:paraId="7643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gridSpan w:val="2"/>
                  <w:noWrap w:val="0"/>
                  <w:vAlign w:val="center"/>
                </w:tcPr>
                <w:p w14:paraId="3BFF46C3">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生态保护红线</w:t>
                  </w:r>
                </w:p>
              </w:tc>
              <w:tc>
                <w:tcPr>
                  <w:tcW w:w="3370" w:type="dxa"/>
                  <w:gridSpan w:val="2"/>
                  <w:noWrap w:val="0"/>
                  <w:vAlign w:val="center"/>
                </w:tcPr>
                <w:p w14:paraId="0070B73B">
                  <w:pPr>
                    <w:keepNext w:val="0"/>
                    <w:keepLines w:val="0"/>
                    <w:widowControl/>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tc>
              <w:tc>
                <w:tcPr>
                  <w:tcW w:w="2586" w:type="dxa"/>
                  <w:noWrap w:val="0"/>
                  <w:vAlign w:val="center"/>
                </w:tcPr>
                <w:p w14:paraId="1006227E">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default" w:eastAsia="Times New Roman"/>
                      <w:color w:val="auto"/>
                      <w:szCs w:val="21"/>
                      <w:highlight w:val="none"/>
                      <w:lang w:val="zh-CN"/>
                    </w:rPr>
                    <w:t>本项目建设地点位于云南省昆明市寻甸县特色产业园区</w:t>
                  </w:r>
                  <w:r>
                    <w:rPr>
                      <w:rFonts w:hint="eastAsia" w:eastAsia="宋体"/>
                      <w:color w:val="auto"/>
                      <w:szCs w:val="21"/>
                      <w:highlight w:val="none"/>
                      <w:lang w:val="en-US" w:eastAsia="zh-CN"/>
                    </w:rPr>
                    <w:t>羊街</w:t>
                  </w:r>
                  <w:r>
                    <w:rPr>
                      <w:rFonts w:hint="default" w:eastAsia="Times New Roman"/>
                      <w:color w:val="auto"/>
                      <w:szCs w:val="21"/>
                      <w:highlight w:val="none"/>
                      <w:lang w:val="zh-CN"/>
                    </w:rPr>
                    <w:t>片区</w:t>
                  </w:r>
                  <w:r>
                    <w:rPr>
                      <w:rFonts w:hint="eastAsia" w:eastAsia="Times New Roman"/>
                      <w:color w:val="auto"/>
                      <w:szCs w:val="21"/>
                      <w:highlight w:val="none"/>
                      <w:lang w:val="zh-CN"/>
                    </w:rPr>
                    <w:t>，</w:t>
                  </w:r>
                  <w:r>
                    <w:rPr>
                      <w:rFonts w:hint="default" w:eastAsia="Times New Roman"/>
                      <w:color w:val="auto"/>
                      <w:szCs w:val="21"/>
                      <w:highlight w:val="none"/>
                      <w:lang w:val="zh-CN"/>
                    </w:rPr>
                    <w:t>属规划的工业用地，不涉及自然保护区、风景名胜区、饮用水源保护区等特殊敏感区，项目周边也无文物保护单位、古树名木分布，不涉及生态保护红线。</w:t>
                  </w:r>
                </w:p>
              </w:tc>
              <w:tc>
                <w:tcPr>
                  <w:tcW w:w="518" w:type="dxa"/>
                  <w:noWrap w:val="0"/>
                  <w:vAlign w:val="center"/>
                </w:tcPr>
                <w:p w14:paraId="74D3D746">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32BA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restart"/>
                  <w:noWrap w:val="0"/>
                  <w:vAlign w:val="center"/>
                </w:tcPr>
                <w:p w14:paraId="5D2AB96A">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环境质量底线</w:t>
                  </w:r>
                </w:p>
              </w:tc>
              <w:tc>
                <w:tcPr>
                  <w:tcW w:w="772" w:type="dxa"/>
                  <w:noWrap w:val="0"/>
                  <w:vAlign w:val="center"/>
                </w:tcPr>
                <w:p w14:paraId="7DC87D25">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大气环境质量底线</w:t>
                  </w:r>
                </w:p>
              </w:tc>
              <w:tc>
                <w:tcPr>
                  <w:tcW w:w="3370" w:type="dxa"/>
                  <w:gridSpan w:val="2"/>
                  <w:noWrap w:val="0"/>
                  <w:vAlign w:val="center"/>
                </w:tcPr>
                <w:p w14:paraId="397579D1">
                  <w:pPr>
                    <w:keepNext w:val="0"/>
                    <w:keepLines w:val="0"/>
                    <w:widowControl/>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highlight w:val="none"/>
                    </w:rPr>
                    <w:t>全市环境空气质量总体保持优良，主城建成区空气质量优良天数占比达99%以上，二氧化硫（SO</w:t>
                  </w:r>
                  <w:r>
                    <w:rPr>
                      <w:rFonts w:hint="default"/>
                      <w:color w:val="auto"/>
                      <w:highlight w:val="none"/>
                      <w:vertAlign w:val="subscript"/>
                    </w:rPr>
                    <w:t>2</w:t>
                  </w:r>
                  <w:r>
                    <w:rPr>
                      <w:rFonts w:hint="default"/>
                      <w:color w:val="auto"/>
                      <w:highlight w:val="none"/>
                    </w:rPr>
                    <w:t>）和氮氧化物（NO</w:t>
                  </w:r>
                  <w:r>
                    <w:rPr>
                      <w:rFonts w:hint="default"/>
                      <w:color w:val="auto"/>
                      <w:highlight w:val="none"/>
                      <w:vertAlign w:val="subscript"/>
                    </w:rPr>
                    <w:t>X</w:t>
                  </w:r>
                  <w:r>
                    <w:rPr>
                      <w:rFonts w:hint="default"/>
                      <w:color w:val="auto"/>
                      <w:highlight w:val="none"/>
                    </w:rPr>
                    <w:t>）排放总量控制在省下达的目标以内，主城区空气中颗粒物（PM10、PM2.5）稳定</w:t>
                  </w:r>
                  <w:r>
                    <w:rPr>
                      <w:rFonts w:hint="eastAsia"/>
                      <w:color w:val="auto"/>
                      <w:highlight w:val="none"/>
                      <w:lang w:eastAsia="zh-CN"/>
                    </w:rPr>
                    <w:t>达到</w:t>
                  </w:r>
                  <w:r>
                    <w:rPr>
                      <w:rFonts w:hint="default"/>
                      <w:color w:val="auto"/>
                      <w:highlight w:val="none"/>
                    </w:rPr>
                    <w:t>《环境空气质量标准》二级标准以上。</w:t>
                  </w:r>
                </w:p>
              </w:tc>
              <w:tc>
                <w:tcPr>
                  <w:tcW w:w="2586" w:type="dxa"/>
                  <w:noWrap w:val="0"/>
                  <w:vAlign w:val="center"/>
                </w:tcPr>
                <w:p w14:paraId="504E6B64">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default"/>
                      <w:color w:val="auto"/>
                      <w:sz w:val="21"/>
                      <w:szCs w:val="21"/>
                      <w:highlight w:val="none"/>
                      <w:lang w:val="en-US" w:eastAsia="zh-CN"/>
                    </w:rPr>
                    <w:t>项目区属于环境空气质量达标区，项目运营期产生的大气污染物经采取环评提出的措施后能够达标排放，对大气环境质量影响较小，不会突破当地环境质量底线</w:t>
                  </w:r>
                  <w:r>
                    <w:rPr>
                      <w:rFonts w:hint="eastAsia"/>
                      <w:color w:val="auto"/>
                      <w:sz w:val="21"/>
                      <w:szCs w:val="21"/>
                      <w:highlight w:val="none"/>
                      <w:lang w:val="en-US" w:eastAsia="zh-CN"/>
                    </w:rPr>
                    <w:t>。</w:t>
                  </w:r>
                </w:p>
              </w:tc>
              <w:tc>
                <w:tcPr>
                  <w:tcW w:w="518" w:type="dxa"/>
                  <w:noWrap w:val="0"/>
                  <w:vAlign w:val="center"/>
                </w:tcPr>
                <w:p w14:paraId="24A099A3">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247E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continue"/>
                  <w:noWrap w:val="0"/>
                  <w:vAlign w:val="center"/>
                </w:tcPr>
                <w:p w14:paraId="7F2FC769">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p>
              </w:tc>
              <w:tc>
                <w:tcPr>
                  <w:tcW w:w="772" w:type="dxa"/>
                  <w:noWrap w:val="0"/>
                  <w:vAlign w:val="center"/>
                </w:tcPr>
                <w:p w14:paraId="3427DA7E">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水环境质量底线</w:t>
                  </w:r>
                </w:p>
              </w:tc>
              <w:tc>
                <w:tcPr>
                  <w:tcW w:w="3370" w:type="dxa"/>
                  <w:gridSpan w:val="2"/>
                  <w:noWrap w:val="0"/>
                  <w:vAlign w:val="center"/>
                </w:tcPr>
                <w:p w14:paraId="03F7C528">
                  <w:pPr>
                    <w:keepNext w:val="0"/>
                    <w:keepLines w:val="0"/>
                    <w:widowControl/>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highlight w:val="none"/>
                    </w:rPr>
                    <w:t>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w:t>
                  </w:r>
                </w:p>
              </w:tc>
              <w:tc>
                <w:tcPr>
                  <w:tcW w:w="2586" w:type="dxa"/>
                  <w:noWrap w:val="0"/>
                  <w:vAlign w:val="center"/>
                </w:tcPr>
                <w:p w14:paraId="1E81A514">
                  <w:pPr>
                    <w:keepNext w:val="0"/>
                    <w:keepLines w:val="0"/>
                    <w:suppressLineNumbers w:val="0"/>
                    <w:bidi w:val="0"/>
                    <w:spacing w:before="0" w:beforeAutospacing="0" w:after="0" w:afterAutospacing="0"/>
                    <w:ind w:left="0" w:right="0"/>
                    <w:jc w:val="center"/>
                    <w:outlineLvl w:val="9"/>
                    <w:rPr>
                      <w:rFonts w:hint="eastAsia"/>
                      <w:color w:val="auto"/>
                      <w:kern w:val="0"/>
                      <w:sz w:val="21"/>
                      <w:szCs w:val="21"/>
                      <w:highlight w:val="none"/>
                      <w:lang w:val="en-US" w:eastAsia="zh-CN"/>
                    </w:rPr>
                  </w:pPr>
                  <w:r>
                    <w:rPr>
                      <w:rFonts w:hint="eastAsia"/>
                      <w:color w:val="auto"/>
                      <w:sz w:val="21"/>
                      <w:szCs w:val="21"/>
                      <w:highlight w:val="none"/>
                      <w:lang w:val="en-US" w:eastAsia="zh-CN"/>
                    </w:rPr>
                    <w:t>项目区周边的地表水体为</w:t>
                  </w:r>
                  <w:r>
                    <w:rPr>
                      <w:rFonts w:hint="eastAsia" w:eastAsia="宋体"/>
                      <w:color w:val="auto"/>
                      <w:sz w:val="21"/>
                      <w:szCs w:val="21"/>
                      <w:highlight w:val="none"/>
                      <w:lang w:val="en-US" w:eastAsia="zh-CN"/>
                    </w:rPr>
                    <w:t>羊街河（果马河），位于项目西侧</w:t>
                  </w:r>
                  <w:r>
                    <w:rPr>
                      <w:rFonts w:hint="eastAsia"/>
                      <w:color w:val="auto"/>
                      <w:sz w:val="21"/>
                      <w:szCs w:val="21"/>
                      <w:highlight w:val="none"/>
                      <w:lang w:val="en-US" w:eastAsia="zh-CN"/>
                    </w:rPr>
                    <w:t>1.5km</w:t>
                  </w:r>
                  <w:r>
                    <w:rPr>
                      <w:rFonts w:hint="eastAsia" w:eastAsia="宋体"/>
                      <w:color w:val="auto"/>
                      <w:sz w:val="21"/>
                      <w:szCs w:val="21"/>
                      <w:highlight w:val="none"/>
                      <w:lang w:val="en-US" w:eastAsia="zh-CN"/>
                    </w:rPr>
                    <w:t>。</w:t>
                  </w:r>
                  <w:r>
                    <w:rPr>
                      <w:rFonts w:hint="default"/>
                      <w:color w:val="auto"/>
                      <w:kern w:val="0"/>
                      <w:sz w:val="21"/>
                      <w:szCs w:val="21"/>
                      <w:highlight w:val="none"/>
                    </w:rPr>
                    <w:t>根据寻甸县人民政府发布的“202</w:t>
                  </w:r>
                  <w:r>
                    <w:rPr>
                      <w:rFonts w:hint="eastAsia"/>
                      <w:color w:val="auto"/>
                      <w:kern w:val="0"/>
                      <w:sz w:val="21"/>
                      <w:szCs w:val="21"/>
                      <w:highlight w:val="none"/>
                      <w:lang w:val="en-US" w:eastAsia="zh-CN"/>
                    </w:rPr>
                    <w:t>2</w:t>
                  </w:r>
                  <w:r>
                    <w:rPr>
                      <w:rFonts w:hint="default"/>
                      <w:color w:val="auto"/>
                      <w:kern w:val="0"/>
                      <w:sz w:val="21"/>
                      <w:szCs w:val="21"/>
                      <w:highlight w:val="none"/>
                    </w:rPr>
                    <w:t>年</w:t>
                  </w:r>
                  <w:r>
                    <w:rPr>
                      <w:rFonts w:hint="eastAsia"/>
                      <w:color w:val="auto"/>
                      <w:kern w:val="0"/>
                      <w:sz w:val="21"/>
                      <w:szCs w:val="21"/>
                      <w:highlight w:val="none"/>
                      <w:lang w:val="en-US" w:eastAsia="zh-CN"/>
                    </w:rPr>
                    <w:t>12</w:t>
                  </w:r>
                  <w:r>
                    <w:rPr>
                      <w:rFonts w:hint="default"/>
                      <w:color w:val="auto"/>
                      <w:kern w:val="0"/>
                      <w:sz w:val="21"/>
                      <w:szCs w:val="21"/>
                      <w:highlight w:val="none"/>
                    </w:rPr>
                    <w:t>月寻甸县水环境质量监测月报”，寻甸县环境监测站对</w:t>
                  </w:r>
                  <w:r>
                    <w:rPr>
                      <w:rFonts w:hint="eastAsia"/>
                      <w:color w:val="auto"/>
                      <w:kern w:val="0"/>
                      <w:sz w:val="21"/>
                      <w:szCs w:val="21"/>
                      <w:highlight w:val="none"/>
                      <w:lang w:val="en-US" w:eastAsia="zh-CN"/>
                    </w:rPr>
                    <w:t>羊街河</w:t>
                  </w:r>
                </w:p>
                <w:p w14:paraId="103C19A0">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kern w:val="0"/>
                      <w:sz w:val="21"/>
                      <w:szCs w:val="21"/>
                      <w:highlight w:val="none"/>
                      <w:lang w:eastAsia="zh-CN"/>
                    </w:rPr>
                    <w:t>（</w:t>
                  </w:r>
                  <w:r>
                    <w:rPr>
                      <w:rFonts w:hint="eastAsia" w:eastAsia="宋体"/>
                      <w:color w:val="auto"/>
                      <w:sz w:val="21"/>
                      <w:szCs w:val="21"/>
                      <w:highlight w:val="none"/>
                      <w:lang w:val="en-US" w:eastAsia="zh-CN"/>
                    </w:rPr>
                    <w:t>果马河</w:t>
                  </w:r>
                  <w:r>
                    <w:rPr>
                      <w:rFonts w:hint="eastAsia"/>
                      <w:color w:val="auto"/>
                      <w:kern w:val="0"/>
                      <w:sz w:val="21"/>
                      <w:szCs w:val="21"/>
                      <w:highlight w:val="none"/>
                      <w:lang w:eastAsia="zh-CN"/>
                    </w:rPr>
                    <w:t>）</w:t>
                  </w:r>
                  <w:r>
                    <w:rPr>
                      <w:rFonts w:hint="eastAsia"/>
                      <w:color w:val="auto"/>
                      <w:kern w:val="0"/>
                      <w:sz w:val="21"/>
                      <w:szCs w:val="21"/>
                      <w:highlight w:val="none"/>
                      <w:lang w:val="en-US" w:eastAsia="zh-CN"/>
                    </w:rPr>
                    <w:t>李家坝断面</w:t>
                  </w:r>
                  <w:r>
                    <w:rPr>
                      <w:rFonts w:hint="default"/>
                      <w:color w:val="auto"/>
                      <w:kern w:val="0"/>
                      <w:sz w:val="21"/>
                      <w:szCs w:val="21"/>
                      <w:highlight w:val="none"/>
                    </w:rPr>
                    <w:t>的水质监测结果为</w:t>
                  </w:r>
                  <w:r>
                    <w:rPr>
                      <w:rFonts w:hint="default"/>
                      <w:color w:val="auto"/>
                      <w:kern w:val="0"/>
                      <w:sz w:val="21"/>
                      <w:szCs w:val="21"/>
                      <w:highlight w:val="none"/>
                      <w:lang w:eastAsia="zh-CN"/>
                    </w:rPr>
                    <w:t>Ⅲ</w:t>
                  </w:r>
                  <w:r>
                    <w:rPr>
                      <w:rFonts w:hint="default"/>
                      <w:color w:val="auto"/>
                      <w:kern w:val="0"/>
                      <w:sz w:val="21"/>
                      <w:szCs w:val="21"/>
                      <w:highlight w:val="none"/>
                    </w:rPr>
                    <w:t>类</w:t>
                  </w:r>
                  <w:r>
                    <w:rPr>
                      <w:rFonts w:hint="eastAsia"/>
                      <w:color w:val="auto"/>
                      <w:sz w:val="21"/>
                      <w:szCs w:val="21"/>
                      <w:highlight w:val="none"/>
                      <w:lang w:val="en-US" w:eastAsia="zh-CN"/>
                    </w:rPr>
                    <w:t>。项目无生产废水产生，生活污水经污水处理站处理达标后用于绿化及道路洒水降尘，不外排，不会改变区域地表水环境功能。</w:t>
                  </w:r>
                </w:p>
              </w:tc>
              <w:tc>
                <w:tcPr>
                  <w:tcW w:w="518" w:type="dxa"/>
                  <w:noWrap w:val="0"/>
                  <w:vAlign w:val="center"/>
                </w:tcPr>
                <w:p w14:paraId="0DB5BE60">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0284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7" w:type="dxa"/>
                  <w:vMerge w:val="continue"/>
                  <w:noWrap w:val="0"/>
                  <w:vAlign w:val="center"/>
                </w:tcPr>
                <w:p w14:paraId="3960EC9E">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p>
              </w:tc>
              <w:tc>
                <w:tcPr>
                  <w:tcW w:w="772" w:type="dxa"/>
                  <w:noWrap w:val="0"/>
                  <w:vAlign w:val="center"/>
                </w:tcPr>
                <w:p w14:paraId="34580B1E">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土壤环境风险防控底线</w:t>
                  </w:r>
                </w:p>
              </w:tc>
              <w:tc>
                <w:tcPr>
                  <w:tcW w:w="3370" w:type="dxa"/>
                  <w:gridSpan w:val="2"/>
                  <w:noWrap w:val="0"/>
                  <w:vAlign w:val="center"/>
                </w:tcPr>
                <w:p w14:paraId="686548F8">
                  <w:pPr>
                    <w:keepNext w:val="0"/>
                    <w:keepLines w:val="0"/>
                    <w:widowControl/>
                    <w:suppressLineNumbers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土壤环境风险防范体系进一步完善，</w:t>
                  </w:r>
                  <w:r>
                    <w:rPr>
                      <w:rFonts w:hint="default"/>
                      <w:color w:val="auto"/>
                      <w:highlight w:val="none"/>
                    </w:rPr>
                    <w:t>受污染耕地安全利用率和污染地块安全利用率进一步提高，逐步改善全市土壤环境质量，遏制土壤污染恶化趋势，土壤环境风险得到基本管控。污染地块安全利用率、耕地土壤环境质量达到国家和云南省考核要求。</w:t>
                  </w:r>
                </w:p>
              </w:tc>
              <w:tc>
                <w:tcPr>
                  <w:tcW w:w="2586" w:type="dxa"/>
                  <w:noWrap w:val="0"/>
                  <w:vAlign w:val="center"/>
                </w:tcPr>
                <w:p w14:paraId="3F15E069">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项目设置了危废暂存间</w:t>
                  </w:r>
                  <w:r>
                    <w:rPr>
                      <w:rFonts w:hint="default"/>
                      <w:color w:val="auto"/>
                      <w:sz w:val="21"/>
                      <w:szCs w:val="21"/>
                      <w:highlight w:val="none"/>
                      <w:lang w:val="en-US" w:eastAsia="zh-CN"/>
                    </w:rPr>
                    <w:t>暂存，</w:t>
                  </w:r>
                  <w:r>
                    <w:rPr>
                      <w:rFonts w:hint="eastAsia"/>
                      <w:color w:val="auto"/>
                      <w:sz w:val="21"/>
                      <w:szCs w:val="21"/>
                      <w:highlight w:val="none"/>
                      <w:lang w:val="en-US" w:eastAsia="zh-CN"/>
                    </w:rPr>
                    <w:t>危险废物</w:t>
                  </w:r>
                  <w:r>
                    <w:rPr>
                      <w:rFonts w:hint="default"/>
                      <w:color w:val="auto"/>
                      <w:sz w:val="21"/>
                      <w:szCs w:val="21"/>
                      <w:highlight w:val="none"/>
                      <w:lang w:val="en-US" w:eastAsia="zh-CN"/>
                    </w:rPr>
                    <w:t>委托有资质单位定期清运处置，</w:t>
                  </w:r>
                  <w:r>
                    <w:rPr>
                      <w:rFonts w:hint="eastAsia"/>
                      <w:color w:val="auto"/>
                      <w:sz w:val="21"/>
                      <w:szCs w:val="21"/>
                      <w:highlight w:val="none"/>
                      <w:lang w:val="en-US" w:eastAsia="zh-CN"/>
                    </w:rPr>
                    <w:t>危废暂存</w:t>
                  </w:r>
                  <w:r>
                    <w:rPr>
                      <w:rFonts w:hint="default"/>
                      <w:color w:val="auto"/>
                      <w:sz w:val="21"/>
                      <w:szCs w:val="21"/>
                      <w:highlight w:val="none"/>
                      <w:lang w:val="en-US" w:eastAsia="zh-CN"/>
                    </w:rPr>
                    <w:t>间地面和四周墙裙进行重点防渗处理，并设置围堰、备用桶等应急设施。项目采取了土壤污染防控措施，对土壤环境质量影响较小</w:t>
                  </w:r>
                  <w:r>
                    <w:rPr>
                      <w:rFonts w:hint="eastAsia"/>
                      <w:color w:val="auto"/>
                      <w:sz w:val="21"/>
                      <w:szCs w:val="21"/>
                      <w:highlight w:val="none"/>
                      <w:lang w:val="en-US" w:eastAsia="zh-CN"/>
                    </w:rPr>
                    <w:t>。</w:t>
                  </w:r>
                </w:p>
              </w:tc>
              <w:tc>
                <w:tcPr>
                  <w:tcW w:w="518" w:type="dxa"/>
                  <w:noWrap w:val="0"/>
                  <w:vAlign w:val="center"/>
                </w:tcPr>
                <w:p w14:paraId="2D8972D4">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3BC1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17" w:type="dxa"/>
                  <w:vMerge w:val="restart"/>
                  <w:noWrap w:val="0"/>
                  <w:vAlign w:val="center"/>
                </w:tcPr>
                <w:p w14:paraId="7116BFBC">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资源利用上线</w:t>
                  </w:r>
                </w:p>
              </w:tc>
              <w:tc>
                <w:tcPr>
                  <w:tcW w:w="772" w:type="dxa"/>
                  <w:noWrap w:val="0"/>
                  <w:vAlign w:val="center"/>
                </w:tcPr>
                <w:p w14:paraId="060AC281">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水资源利用上线</w:t>
                  </w:r>
                </w:p>
              </w:tc>
              <w:tc>
                <w:tcPr>
                  <w:tcW w:w="3370" w:type="dxa"/>
                  <w:gridSpan w:val="2"/>
                  <w:noWrap w:val="0"/>
                  <w:vAlign w:val="center"/>
                </w:tcPr>
                <w:p w14:paraId="1EE64C68">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default"/>
                      <w:color w:val="auto"/>
                      <w:sz w:val="21"/>
                      <w:szCs w:val="21"/>
                      <w:highlight w:val="none"/>
                      <w:lang w:val="en-US" w:eastAsia="zh-CN"/>
                    </w:rPr>
                    <w:t>按照国家、省、市有关要求和规划，按时完成全市用水总量、用水效率、限制纳污“三条红线”水资源上限控制指标</w:t>
                  </w:r>
                  <w:r>
                    <w:rPr>
                      <w:rFonts w:hint="eastAsia"/>
                      <w:color w:val="auto"/>
                      <w:sz w:val="21"/>
                      <w:szCs w:val="21"/>
                      <w:highlight w:val="none"/>
                      <w:lang w:val="en-US" w:eastAsia="zh-CN"/>
                    </w:rPr>
                    <w:t>。</w:t>
                  </w:r>
                </w:p>
              </w:tc>
              <w:tc>
                <w:tcPr>
                  <w:tcW w:w="2586" w:type="dxa"/>
                  <w:noWrap w:val="0"/>
                  <w:vAlign w:val="center"/>
                </w:tcPr>
                <w:p w14:paraId="67709F61">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default"/>
                      <w:color w:val="auto"/>
                      <w:sz w:val="21"/>
                      <w:szCs w:val="21"/>
                      <w:highlight w:val="none"/>
                      <w:lang w:val="en-US" w:eastAsia="zh-CN"/>
                    </w:rPr>
                    <w:t>项目运营过程中消耗一定量的水资源</w:t>
                  </w:r>
                  <w:r>
                    <w:rPr>
                      <w:rFonts w:hint="eastAsia"/>
                      <w:color w:val="auto"/>
                      <w:sz w:val="21"/>
                      <w:szCs w:val="21"/>
                      <w:highlight w:val="none"/>
                      <w:lang w:val="en-US" w:eastAsia="zh-CN"/>
                    </w:rPr>
                    <w:t>，用水量较小，对</w:t>
                  </w:r>
                  <w:r>
                    <w:rPr>
                      <w:rFonts w:hint="default"/>
                      <w:color w:val="auto"/>
                      <w:sz w:val="21"/>
                      <w:szCs w:val="21"/>
                      <w:highlight w:val="none"/>
                      <w:lang w:val="en-US" w:eastAsia="zh-CN"/>
                    </w:rPr>
                    <w:t>全市用水总量、用水效率、限制纳污“三条红线”水资源上限</w:t>
                  </w:r>
                  <w:r>
                    <w:rPr>
                      <w:rFonts w:hint="eastAsia"/>
                      <w:color w:val="auto"/>
                      <w:sz w:val="21"/>
                      <w:szCs w:val="21"/>
                      <w:highlight w:val="none"/>
                      <w:lang w:val="en-US" w:eastAsia="zh-CN"/>
                    </w:rPr>
                    <w:t>贡献很小。</w:t>
                  </w:r>
                </w:p>
              </w:tc>
              <w:tc>
                <w:tcPr>
                  <w:tcW w:w="518" w:type="dxa"/>
                  <w:noWrap w:val="0"/>
                  <w:vAlign w:val="center"/>
                </w:tcPr>
                <w:p w14:paraId="0E5E17AB">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7632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17" w:type="dxa"/>
                  <w:vMerge w:val="continue"/>
                  <w:noWrap w:val="0"/>
                  <w:vAlign w:val="center"/>
                </w:tcPr>
                <w:p w14:paraId="74084D2E">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772" w:type="dxa"/>
                  <w:noWrap w:val="0"/>
                  <w:vAlign w:val="center"/>
                </w:tcPr>
                <w:p w14:paraId="60F2F4E1">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能源利用上线</w:t>
                  </w:r>
                </w:p>
              </w:tc>
              <w:tc>
                <w:tcPr>
                  <w:tcW w:w="3370" w:type="dxa"/>
                  <w:gridSpan w:val="2"/>
                  <w:noWrap w:val="0"/>
                  <w:vAlign w:val="center"/>
                </w:tcPr>
                <w:p w14:paraId="5C346105">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按时完成单位GDP能耗下降率、能源消费总量等能源控制指标。</w:t>
                  </w:r>
                </w:p>
              </w:tc>
              <w:tc>
                <w:tcPr>
                  <w:tcW w:w="2586" w:type="dxa"/>
                  <w:noWrap w:val="0"/>
                  <w:vAlign w:val="center"/>
                </w:tcPr>
                <w:p w14:paraId="7E0AAA7D">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项目生产过程中主要使用电及天然气作为能源，不属于高耗能项目。</w:t>
                  </w:r>
                </w:p>
              </w:tc>
              <w:tc>
                <w:tcPr>
                  <w:tcW w:w="518" w:type="dxa"/>
                  <w:noWrap w:val="0"/>
                  <w:vAlign w:val="center"/>
                </w:tcPr>
                <w:p w14:paraId="06D6E141">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0FB2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17" w:type="dxa"/>
                  <w:vMerge w:val="continue"/>
                  <w:noWrap w:val="0"/>
                  <w:vAlign w:val="center"/>
                </w:tcPr>
                <w:p w14:paraId="17AFC486">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772" w:type="dxa"/>
                  <w:noWrap w:val="0"/>
                  <w:vAlign w:val="center"/>
                </w:tcPr>
                <w:p w14:paraId="48FA706B">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土地资源利用上线</w:t>
                  </w:r>
                </w:p>
              </w:tc>
              <w:tc>
                <w:tcPr>
                  <w:tcW w:w="3370" w:type="dxa"/>
                  <w:gridSpan w:val="2"/>
                  <w:noWrap w:val="0"/>
                  <w:vAlign w:val="center"/>
                </w:tcPr>
                <w:p w14:paraId="42884D11">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按时完成耕地保有量、基本农田保护面积、建设用地总规模等土地资源利用上限控制指标。</w:t>
                  </w:r>
                </w:p>
              </w:tc>
              <w:tc>
                <w:tcPr>
                  <w:tcW w:w="2586" w:type="dxa"/>
                  <w:noWrap w:val="0"/>
                  <w:vAlign w:val="center"/>
                </w:tcPr>
                <w:p w14:paraId="4EBB92E4">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项目不占用耕地及基本农田，不新增占地。</w:t>
                  </w:r>
                </w:p>
              </w:tc>
              <w:tc>
                <w:tcPr>
                  <w:tcW w:w="518" w:type="dxa"/>
                  <w:noWrap w:val="0"/>
                  <w:vAlign w:val="center"/>
                </w:tcPr>
                <w:p w14:paraId="4DF6A7A7">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43AE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vMerge w:val="restart"/>
                  <w:noWrap w:val="0"/>
                  <w:vAlign w:val="center"/>
                </w:tcPr>
                <w:p w14:paraId="3720C1BB">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生态环境准入清单</w:t>
                  </w:r>
                </w:p>
              </w:tc>
              <w:tc>
                <w:tcPr>
                  <w:tcW w:w="772" w:type="dxa"/>
                  <w:vMerge w:val="restart"/>
                  <w:noWrap w:val="0"/>
                  <w:vAlign w:val="center"/>
                </w:tcPr>
                <w:p w14:paraId="28862A5B">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重点管控单元（云南寻甸特色产业园区）</w:t>
                  </w:r>
                </w:p>
              </w:tc>
              <w:tc>
                <w:tcPr>
                  <w:tcW w:w="517" w:type="dxa"/>
                  <w:noWrap w:val="0"/>
                  <w:vAlign w:val="center"/>
                </w:tcPr>
                <w:p w14:paraId="3445F690">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空间布局约束</w:t>
                  </w:r>
                </w:p>
              </w:tc>
              <w:tc>
                <w:tcPr>
                  <w:tcW w:w="2853" w:type="dxa"/>
                  <w:noWrap w:val="0"/>
                  <w:vAlign w:val="center"/>
                </w:tcPr>
                <w:p w14:paraId="7805F076">
                  <w:pPr>
                    <w:keepNext w:val="0"/>
                    <w:keepLines w:val="0"/>
                    <w:suppressLineNumbers w:val="0"/>
                    <w:bidi w:val="0"/>
                    <w:spacing w:before="0" w:beforeAutospacing="0" w:after="0" w:afterAutospacing="0"/>
                    <w:ind w:left="0" w:right="0"/>
                    <w:jc w:val="center"/>
                    <w:outlineLvl w:val="9"/>
                    <w:rPr>
                      <w:rFonts w:hint="eastAsia" w:eastAsia="宋体"/>
                      <w:color w:val="auto"/>
                      <w:szCs w:val="21"/>
                      <w:highlight w:val="none"/>
                    </w:rPr>
                  </w:pPr>
                  <w:r>
                    <w:rPr>
                      <w:rFonts w:hint="eastAsia" w:eastAsia="宋体"/>
                      <w:color w:val="auto"/>
                      <w:szCs w:val="21"/>
                      <w:highlight w:val="none"/>
                    </w:rPr>
                    <w:t>1.金所片区重点发展新型材料和家具制造产业，羊街片区重点发展先进装备制造和家具制造产业。</w:t>
                  </w:r>
                </w:p>
                <w:p w14:paraId="40520BBD">
                  <w:pPr>
                    <w:keepNext w:val="0"/>
                    <w:keepLines w:val="0"/>
                    <w:suppressLineNumbers w:val="0"/>
                    <w:bidi w:val="0"/>
                    <w:spacing w:before="0" w:beforeAutospacing="0" w:after="0" w:afterAutospacing="0"/>
                    <w:ind w:left="0" w:right="0"/>
                    <w:jc w:val="center"/>
                    <w:outlineLvl w:val="9"/>
                    <w:rPr>
                      <w:rFonts w:hint="default" w:eastAsia="宋体"/>
                      <w:color w:val="auto"/>
                      <w:szCs w:val="21"/>
                      <w:highlight w:val="none"/>
                      <w:lang w:val="en-US" w:eastAsia="zh-CN"/>
                    </w:rPr>
                  </w:pPr>
                  <w:r>
                    <w:rPr>
                      <w:rFonts w:hint="eastAsia" w:eastAsia="宋体"/>
                      <w:color w:val="auto"/>
                      <w:szCs w:val="21"/>
                      <w:highlight w:val="none"/>
                    </w:rPr>
                    <w:t>2.禁止引入造纸、印染等需水量大，生产废水不能实现循环回用不外排的企业。</w:t>
                  </w:r>
                </w:p>
              </w:tc>
              <w:tc>
                <w:tcPr>
                  <w:tcW w:w="2586" w:type="dxa"/>
                  <w:noWrap w:val="0"/>
                  <w:vAlign w:val="center"/>
                </w:tcPr>
                <w:p w14:paraId="12C5CAFA">
                  <w:pPr>
                    <w:keepNext w:val="0"/>
                    <w:keepLines w:val="0"/>
                    <w:suppressLineNumbers w:val="0"/>
                    <w:bidi w:val="0"/>
                    <w:spacing w:before="0" w:beforeAutospacing="0" w:after="0" w:afterAutospacing="0"/>
                    <w:ind w:left="0" w:right="0"/>
                    <w:jc w:val="center"/>
                    <w:outlineLvl w:val="9"/>
                    <w:rPr>
                      <w:rFonts w:hint="eastAsia" w:eastAsia="宋体"/>
                      <w:color w:val="auto"/>
                      <w:highlight w:val="none"/>
                      <w:lang w:eastAsia="zh-CN"/>
                    </w:rPr>
                  </w:pPr>
                  <w:r>
                    <w:rPr>
                      <w:rFonts w:hint="eastAsia"/>
                      <w:color w:val="auto"/>
                      <w:highlight w:val="none"/>
                      <w:lang w:val="en-US" w:eastAsia="zh-CN"/>
                    </w:rPr>
                    <w:t>1.</w:t>
                  </w:r>
                  <w:r>
                    <w:rPr>
                      <w:rFonts w:hint="eastAsia"/>
                      <w:color w:val="auto"/>
                      <w:highlight w:val="none"/>
                    </w:rPr>
                    <w:t>本项目</w:t>
                  </w:r>
                  <w:r>
                    <w:rPr>
                      <w:rFonts w:hint="eastAsia"/>
                      <w:color w:val="auto"/>
                      <w:highlight w:val="none"/>
                      <w:lang w:eastAsia="zh-CN"/>
                    </w:rPr>
                    <w:t>位于</w:t>
                  </w:r>
                  <w:r>
                    <w:rPr>
                      <w:rFonts w:hint="eastAsia"/>
                      <w:color w:val="auto"/>
                      <w:highlight w:val="none"/>
                      <w:lang w:val="en-US" w:eastAsia="zh-CN"/>
                    </w:rPr>
                    <w:t>羊街</w:t>
                  </w:r>
                  <w:r>
                    <w:rPr>
                      <w:rFonts w:hint="eastAsia"/>
                      <w:color w:val="auto"/>
                      <w:highlight w:val="none"/>
                      <w:lang w:eastAsia="zh-CN"/>
                    </w:rPr>
                    <w:t>片区，</w:t>
                  </w:r>
                  <w:r>
                    <w:rPr>
                      <w:rFonts w:hint="eastAsia"/>
                      <w:color w:val="auto"/>
                      <w:highlight w:val="none"/>
                    </w:rPr>
                    <w:t>为</w:t>
                  </w:r>
                  <w:r>
                    <w:rPr>
                      <w:rFonts w:hint="eastAsia"/>
                      <w:color w:val="auto"/>
                      <w:highlight w:val="none"/>
                      <w:lang w:val="en-US" w:eastAsia="zh-CN"/>
                    </w:rPr>
                    <w:t>其他纸制品</w:t>
                  </w:r>
                  <w:r>
                    <w:rPr>
                      <w:rFonts w:hint="eastAsia"/>
                      <w:color w:val="auto"/>
                      <w:highlight w:val="none"/>
                    </w:rPr>
                    <w:t>制造项目</w:t>
                  </w:r>
                  <w:r>
                    <w:rPr>
                      <w:rFonts w:hint="eastAsia"/>
                      <w:color w:val="auto"/>
                      <w:highlight w:val="none"/>
                      <w:lang w:eastAsia="zh-CN"/>
                    </w:rPr>
                    <w:t>。</w:t>
                  </w:r>
                </w:p>
                <w:p w14:paraId="723DBB17">
                  <w:pPr>
                    <w:pStyle w:val="9"/>
                    <w:keepNext w:val="0"/>
                    <w:keepLines w:val="0"/>
                    <w:suppressLineNumbers w:val="0"/>
                    <w:spacing w:beforeAutospacing="0" w:afterAutospacing="0"/>
                    <w:ind w:left="0"/>
                    <w:jc w:val="center"/>
                    <w:rPr>
                      <w:rFonts w:hint="default"/>
                      <w:color w:val="auto"/>
                      <w:sz w:val="21"/>
                      <w:szCs w:val="21"/>
                      <w:highlight w:val="none"/>
                      <w:lang w:val="en-US" w:eastAsia="zh-CN"/>
                    </w:rPr>
                  </w:pPr>
                  <w:r>
                    <w:rPr>
                      <w:rFonts w:hint="eastAsia" w:eastAsia="宋体"/>
                      <w:color w:val="auto"/>
                      <w:sz w:val="21"/>
                      <w:szCs w:val="21"/>
                      <w:highlight w:val="none"/>
                      <w:lang w:val="en-US" w:eastAsia="zh-CN"/>
                    </w:rPr>
                    <w:t>2</w:t>
                  </w:r>
                  <w:r>
                    <w:rPr>
                      <w:rFonts w:hint="eastAsia"/>
                      <w:color w:val="auto"/>
                      <w:sz w:val="21"/>
                      <w:szCs w:val="21"/>
                      <w:highlight w:val="none"/>
                      <w:lang w:val="en-US" w:eastAsia="zh-CN"/>
                    </w:rPr>
                    <w:t>.</w:t>
                  </w:r>
                  <w:r>
                    <w:rPr>
                      <w:rFonts w:hint="eastAsia" w:eastAsia="宋体"/>
                      <w:color w:val="auto"/>
                      <w:sz w:val="21"/>
                      <w:szCs w:val="21"/>
                      <w:highlight w:val="none"/>
                      <w:lang w:val="en-US" w:eastAsia="zh-CN"/>
                    </w:rPr>
                    <w:t>本项目</w:t>
                  </w:r>
                  <w:r>
                    <w:rPr>
                      <w:rFonts w:hint="eastAsia"/>
                      <w:color w:val="auto"/>
                      <w:sz w:val="21"/>
                      <w:szCs w:val="21"/>
                      <w:highlight w:val="none"/>
                      <w:lang w:val="en-US" w:eastAsia="zh-CN"/>
                    </w:rPr>
                    <w:t>不属于造纸、印染等需水量大、生产废水不能实现循环回用不外排的企业。</w:t>
                  </w:r>
                </w:p>
              </w:tc>
              <w:tc>
                <w:tcPr>
                  <w:tcW w:w="518" w:type="dxa"/>
                  <w:noWrap w:val="0"/>
                  <w:vAlign w:val="center"/>
                </w:tcPr>
                <w:p w14:paraId="4981AEA6">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4D16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7" w:type="dxa"/>
                  <w:vMerge w:val="continue"/>
                  <w:noWrap w:val="0"/>
                  <w:vAlign w:val="center"/>
                </w:tcPr>
                <w:p w14:paraId="3BD7B029">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772" w:type="dxa"/>
                  <w:vMerge w:val="continue"/>
                  <w:noWrap w:val="0"/>
                  <w:vAlign w:val="center"/>
                </w:tcPr>
                <w:p w14:paraId="2CD09911">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p>
              </w:tc>
              <w:tc>
                <w:tcPr>
                  <w:tcW w:w="517" w:type="dxa"/>
                  <w:noWrap w:val="0"/>
                  <w:vAlign w:val="center"/>
                </w:tcPr>
                <w:p w14:paraId="473E8872">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污染物排放管控</w:t>
                  </w:r>
                </w:p>
              </w:tc>
              <w:tc>
                <w:tcPr>
                  <w:tcW w:w="2853" w:type="dxa"/>
                  <w:noWrap w:val="0"/>
                  <w:vAlign w:val="center"/>
                </w:tcPr>
                <w:p w14:paraId="6B6862C9">
                  <w:pPr>
                    <w:keepNext w:val="0"/>
                    <w:keepLines w:val="0"/>
                    <w:suppressLineNumbers w:val="0"/>
                    <w:bidi w:val="0"/>
                    <w:spacing w:before="0" w:beforeAutospacing="0" w:after="0" w:afterAutospacing="0"/>
                    <w:ind w:left="0" w:right="0"/>
                    <w:jc w:val="both"/>
                    <w:outlineLvl w:val="9"/>
                    <w:rPr>
                      <w:rFonts w:hint="eastAsia" w:eastAsia="宋体"/>
                      <w:color w:val="auto"/>
                      <w:szCs w:val="21"/>
                      <w:highlight w:val="none"/>
                    </w:rPr>
                  </w:pPr>
                  <w:r>
                    <w:rPr>
                      <w:rFonts w:hint="eastAsia" w:eastAsia="宋体"/>
                      <w:color w:val="auto"/>
                      <w:szCs w:val="21"/>
                      <w:highlight w:val="none"/>
                    </w:rPr>
                    <w:t>1.主要指标二氧化硫、二氧化氮、可吸入颗粒物达到《环境空气质量标准》（GB3095-2012）Ⅱ级标准。</w:t>
                  </w:r>
                </w:p>
                <w:p w14:paraId="50B96E37">
                  <w:pPr>
                    <w:keepNext w:val="0"/>
                    <w:keepLines w:val="0"/>
                    <w:suppressLineNumbers w:val="0"/>
                    <w:bidi w:val="0"/>
                    <w:spacing w:before="0" w:beforeAutospacing="0" w:after="0" w:afterAutospacing="0"/>
                    <w:ind w:left="0" w:right="0"/>
                    <w:jc w:val="both"/>
                    <w:outlineLvl w:val="9"/>
                    <w:rPr>
                      <w:rFonts w:hint="eastAsia" w:eastAsia="宋体"/>
                      <w:color w:val="auto"/>
                      <w:szCs w:val="21"/>
                      <w:highlight w:val="none"/>
                      <w:lang w:eastAsia="zh-CN"/>
                    </w:rPr>
                  </w:pPr>
                  <w:r>
                    <w:rPr>
                      <w:rFonts w:hint="eastAsia" w:eastAsia="宋体"/>
                      <w:color w:val="auto"/>
                      <w:szCs w:val="21"/>
                      <w:highlight w:val="none"/>
                    </w:rPr>
                    <w:t>2.现状已发展成熟的煤磷盐化工企业及目前做到零排放的企业按现状方式排水，未来</w:t>
                  </w:r>
                  <w:r>
                    <w:rPr>
                      <w:rFonts w:hint="eastAsia"/>
                      <w:color w:val="auto"/>
                      <w:szCs w:val="21"/>
                      <w:highlight w:val="none"/>
                      <w:lang w:eastAsia="zh-CN"/>
                    </w:rPr>
                    <w:t>入驻</w:t>
                  </w:r>
                  <w:r>
                    <w:rPr>
                      <w:rFonts w:hint="eastAsia" w:eastAsia="宋体"/>
                      <w:color w:val="auto"/>
                      <w:szCs w:val="21"/>
                      <w:highlight w:val="none"/>
                    </w:rPr>
                    <w:t>企业生产废水由企业自行处理达标后循环回用不外排。</w:t>
                  </w:r>
                </w:p>
                <w:p w14:paraId="2A339705">
                  <w:pPr>
                    <w:keepNext w:val="0"/>
                    <w:keepLines w:val="0"/>
                    <w:suppressLineNumbers w:val="0"/>
                    <w:bidi w:val="0"/>
                    <w:spacing w:before="0" w:beforeAutospacing="0" w:after="0" w:afterAutospacing="0"/>
                    <w:ind w:left="0" w:right="0"/>
                    <w:jc w:val="both"/>
                    <w:outlineLvl w:val="9"/>
                    <w:rPr>
                      <w:rFonts w:hint="default" w:eastAsia="宋体"/>
                      <w:color w:val="auto"/>
                      <w:szCs w:val="21"/>
                      <w:highlight w:val="none"/>
                      <w:lang w:val="en-US" w:eastAsia="zh-CN"/>
                    </w:rPr>
                  </w:pPr>
                  <w:r>
                    <w:rPr>
                      <w:rFonts w:hint="eastAsia" w:eastAsia="宋体"/>
                      <w:color w:val="auto"/>
                      <w:szCs w:val="21"/>
                      <w:highlight w:val="none"/>
                    </w:rPr>
                    <w:t>3.生活垃圾无害化处理率90%以上，工业固废处置利用率不小于95%。</w:t>
                  </w:r>
                </w:p>
              </w:tc>
              <w:tc>
                <w:tcPr>
                  <w:tcW w:w="2586" w:type="dxa"/>
                  <w:noWrap w:val="0"/>
                  <w:vAlign w:val="center"/>
                </w:tcPr>
                <w:p w14:paraId="037EE565">
                  <w:pPr>
                    <w:keepNext w:val="0"/>
                    <w:keepLines w:val="0"/>
                    <w:suppressLineNumbers w:val="0"/>
                    <w:bidi w:val="0"/>
                    <w:spacing w:before="0" w:beforeAutospacing="0" w:after="0" w:afterAutospacing="0"/>
                    <w:ind w:left="0" w:right="0"/>
                    <w:jc w:val="center"/>
                    <w:outlineLvl w:val="9"/>
                    <w:rPr>
                      <w:rFonts w:hint="eastAsia" w:eastAsia="宋体"/>
                      <w:color w:val="auto"/>
                      <w:szCs w:val="21"/>
                      <w:highlight w:val="none"/>
                      <w:lang w:val="en-US" w:eastAsia="zh-CN"/>
                    </w:rPr>
                  </w:pPr>
                  <w:r>
                    <w:rPr>
                      <w:rFonts w:hint="eastAsia"/>
                      <w:color w:val="auto"/>
                      <w:szCs w:val="21"/>
                      <w:highlight w:val="none"/>
                      <w:lang w:val="en-US" w:eastAsia="zh-CN"/>
                    </w:rPr>
                    <w:t>1.根据《2022年度昆明市生态环境状况公报》</w:t>
                  </w:r>
                  <w:r>
                    <w:rPr>
                      <w:rFonts w:hint="eastAsia" w:eastAsia="宋体"/>
                      <w:color w:val="auto"/>
                      <w:szCs w:val="21"/>
                      <w:highlight w:val="none"/>
                      <w:lang w:val="en-US" w:eastAsia="zh-CN"/>
                    </w:rPr>
                    <w:t>，202</w:t>
                  </w:r>
                  <w:r>
                    <w:rPr>
                      <w:rFonts w:hint="eastAsia"/>
                      <w:color w:val="auto"/>
                      <w:szCs w:val="21"/>
                      <w:highlight w:val="none"/>
                      <w:lang w:val="en-US" w:eastAsia="zh-CN"/>
                    </w:rPr>
                    <w:t>2</w:t>
                  </w:r>
                  <w:r>
                    <w:rPr>
                      <w:rFonts w:hint="eastAsia" w:eastAsia="宋体"/>
                      <w:color w:val="auto"/>
                      <w:szCs w:val="21"/>
                      <w:highlight w:val="none"/>
                      <w:lang w:val="en-US" w:eastAsia="zh-CN"/>
                    </w:rPr>
                    <w:t>年寻甸县环境空气质量能达到《环境空气质量标准》（GB3095-2012）表1中二级标准要求。</w:t>
                  </w:r>
                </w:p>
                <w:p w14:paraId="53288C15">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r>
                    <w:rPr>
                      <w:rFonts w:hint="eastAsia"/>
                      <w:color w:val="auto"/>
                      <w:szCs w:val="21"/>
                      <w:highlight w:val="none"/>
                      <w:lang w:val="en-US" w:eastAsia="zh-CN"/>
                    </w:rPr>
                    <w:t>2.</w:t>
                  </w:r>
                  <w:r>
                    <w:rPr>
                      <w:rFonts w:hint="eastAsia" w:eastAsia="宋体"/>
                      <w:color w:val="auto"/>
                      <w:sz w:val="21"/>
                      <w:szCs w:val="21"/>
                      <w:highlight w:val="none"/>
                      <w:lang w:val="en-US" w:eastAsia="zh-CN"/>
                    </w:rPr>
                    <w:t>项目</w:t>
                  </w:r>
                  <w:r>
                    <w:rPr>
                      <w:rFonts w:hint="eastAsia"/>
                      <w:color w:val="auto"/>
                      <w:sz w:val="21"/>
                      <w:szCs w:val="21"/>
                      <w:highlight w:val="none"/>
                      <w:lang w:val="en-US" w:eastAsia="zh-CN"/>
                    </w:rPr>
                    <w:t>无生产废水产生，生活污水</w:t>
                  </w:r>
                  <w:r>
                    <w:rPr>
                      <w:rFonts w:hint="eastAsia" w:eastAsia="宋体"/>
                      <w:color w:val="auto"/>
                      <w:sz w:val="21"/>
                      <w:szCs w:val="21"/>
                      <w:highlight w:val="none"/>
                      <w:lang w:val="en-US" w:eastAsia="zh-CN"/>
                    </w:rPr>
                    <w:t>经处理</w:t>
                  </w:r>
                  <w:r>
                    <w:rPr>
                      <w:rFonts w:hint="default"/>
                      <w:color w:val="auto"/>
                      <w:sz w:val="21"/>
                      <w:szCs w:val="21"/>
                      <w:highlight w:val="none"/>
                      <w:lang w:val="en-US" w:eastAsia="zh-CN"/>
                    </w:rPr>
                    <w:t>达《城市污水再生利用 城市杂用水水质》（GB/T18920-2020）中城市绿化、道路清扫、消防、建筑施工标准</w:t>
                  </w:r>
                  <w:r>
                    <w:rPr>
                      <w:rFonts w:hint="eastAsia"/>
                      <w:color w:val="auto"/>
                      <w:sz w:val="21"/>
                      <w:szCs w:val="21"/>
                      <w:highlight w:val="none"/>
                      <w:lang w:val="en-US" w:eastAsia="zh-CN"/>
                    </w:rPr>
                    <w:t>后，回用于项目区绿化和道路洒水降尘。</w:t>
                  </w:r>
                </w:p>
                <w:p w14:paraId="3F9C5BB2">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3.项目生活垃圾及工业固体废物100%合理处置。</w:t>
                  </w:r>
                </w:p>
              </w:tc>
              <w:tc>
                <w:tcPr>
                  <w:tcW w:w="518" w:type="dxa"/>
                  <w:noWrap w:val="0"/>
                  <w:vAlign w:val="center"/>
                </w:tcPr>
                <w:p w14:paraId="7DF0B53D">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3118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517" w:type="dxa"/>
                  <w:vMerge w:val="continue"/>
                  <w:noWrap w:val="0"/>
                  <w:vAlign w:val="center"/>
                </w:tcPr>
                <w:p w14:paraId="3BE84DE2">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772" w:type="dxa"/>
                  <w:vMerge w:val="continue"/>
                  <w:noWrap w:val="0"/>
                  <w:vAlign w:val="center"/>
                </w:tcPr>
                <w:p w14:paraId="47FEF2CE">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p>
              </w:tc>
              <w:tc>
                <w:tcPr>
                  <w:tcW w:w="517" w:type="dxa"/>
                  <w:noWrap w:val="0"/>
                  <w:vAlign w:val="center"/>
                </w:tcPr>
                <w:p w14:paraId="363D7EEB">
                  <w:pPr>
                    <w:keepNext w:val="0"/>
                    <w:keepLines w:val="0"/>
                    <w:suppressLineNumbers w:val="0"/>
                    <w:bidi w:val="0"/>
                    <w:spacing w:before="0" w:beforeAutospacing="0" w:after="0" w:afterAutospacing="0"/>
                    <w:ind w:left="0" w:right="0"/>
                    <w:jc w:val="center"/>
                    <w:outlineLvl w:val="9"/>
                    <w:rPr>
                      <w:rFonts w:hint="default"/>
                      <w:color w:val="auto"/>
                      <w:sz w:val="21"/>
                      <w:szCs w:val="21"/>
                      <w:highlight w:val="none"/>
                      <w:lang w:val="en-US" w:eastAsia="zh-CN"/>
                    </w:rPr>
                  </w:pPr>
                  <w:r>
                    <w:rPr>
                      <w:rFonts w:hint="eastAsia"/>
                      <w:color w:val="auto"/>
                      <w:sz w:val="21"/>
                      <w:szCs w:val="21"/>
                      <w:highlight w:val="none"/>
                      <w:lang w:val="en-US" w:eastAsia="zh-CN"/>
                    </w:rPr>
                    <w:t>环境风险防控</w:t>
                  </w:r>
                </w:p>
              </w:tc>
              <w:tc>
                <w:tcPr>
                  <w:tcW w:w="2853" w:type="dxa"/>
                  <w:noWrap w:val="0"/>
                  <w:vAlign w:val="center"/>
                </w:tcPr>
                <w:p w14:paraId="4C8E74E2">
                  <w:pPr>
                    <w:keepNext w:val="0"/>
                    <w:keepLines w:val="0"/>
                    <w:suppressLineNumbers w:val="0"/>
                    <w:bidi w:val="0"/>
                    <w:spacing w:before="0" w:beforeAutospacing="0" w:after="0" w:afterAutospacing="0"/>
                    <w:ind w:left="0" w:right="0"/>
                    <w:jc w:val="center"/>
                    <w:outlineLvl w:val="9"/>
                    <w:rPr>
                      <w:rFonts w:hint="eastAsia" w:eastAsia="宋体"/>
                      <w:color w:val="auto"/>
                      <w:szCs w:val="21"/>
                      <w:highlight w:val="none"/>
                    </w:rPr>
                  </w:pPr>
                  <w:r>
                    <w:rPr>
                      <w:rFonts w:hint="eastAsia" w:eastAsia="宋体"/>
                      <w:color w:val="auto"/>
                      <w:szCs w:val="21"/>
                      <w:highlight w:val="none"/>
                    </w:rPr>
                    <w:t>1.组织编制环境风险应急预案，通过风险源的识别，制定不同风险源的应急处理处置方案，形成应对突发事故应急处理处置能力。</w:t>
                  </w:r>
                </w:p>
                <w:p w14:paraId="07C2736A">
                  <w:pPr>
                    <w:keepNext w:val="0"/>
                    <w:keepLines w:val="0"/>
                    <w:suppressLineNumbers w:val="0"/>
                    <w:bidi w:val="0"/>
                    <w:spacing w:before="0" w:beforeAutospacing="0" w:after="0" w:afterAutospacing="0"/>
                    <w:ind w:left="0" w:right="0"/>
                    <w:jc w:val="center"/>
                    <w:outlineLvl w:val="9"/>
                    <w:rPr>
                      <w:rFonts w:hint="default" w:eastAsia="宋体"/>
                      <w:color w:val="auto"/>
                      <w:szCs w:val="21"/>
                      <w:highlight w:val="none"/>
                      <w:lang w:val="en-US" w:eastAsia="zh-CN"/>
                    </w:rPr>
                  </w:pPr>
                  <w:r>
                    <w:rPr>
                      <w:rFonts w:hint="eastAsia" w:eastAsia="宋体"/>
                      <w:color w:val="auto"/>
                      <w:szCs w:val="21"/>
                      <w:highlight w:val="none"/>
                    </w:rPr>
                    <w:t>2.建设风险事故废水排放管道及处置池。</w:t>
                  </w:r>
                </w:p>
              </w:tc>
              <w:tc>
                <w:tcPr>
                  <w:tcW w:w="2586" w:type="dxa"/>
                  <w:noWrap w:val="0"/>
                  <w:vAlign w:val="center"/>
                </w:tcPr>
                <w:p w14:paraId="647C39CA">
                  <w:pPr>
                    <w:keepNext w:val="0"/>
                    <w:keepLines w:val="0"/>
                    <w:suppressLineNumbers w:val="0"/>
                    <w:bidi w:val="0"/>
                    <w:spacing w:before="0" w:beforeAutospacing="0" w:after="0" w:afterAutospacing="0"/>
                    <w:ind w:left="0" w:right="0"/>
                    <w:jc w:val="center"/>
                    <w:outlineLvl w:val="9"/>
                    <w:rPr>
                      <w:rFonts w:hint="eastAsia"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项目建成后将继续完善相应的环保手续，制定突发环境事件应急预案</w:t>
                  </w:r>
                  <w:r>
                    <w:rPr>
                      <w:rFonts w:hint="eastAsia" w:cs="Times New Roman"/>
                      <w:color w:val="auto"/>
                      <w:sz w:val="21"/>
                      <w:szCs w:val="21"/>
                      <w:highlight w:val="none"/>
                      <w:lang w:val="en-US" w:eastAsia="zh-CN"/>
                    </w:rPr>
                    <w:t>，建设风险事故废水排放管道及处置池。</w:t>
                  </w:r>
                </w:p>
              </w:tc>
              <w:tc>
                <w:tcPr>
                  <w:tcW w:w="518" w:type="dxa"/>
                  <w:noWrap w:val="0"/>
                  <w:vAlign w:val="center"/>
                </w:tcPr>
                <w:p w14:paraId="7ACE5026">
                  <w:pPr>
                    <w:keepNext w:val="0"/>
                    <w:keepLines w:val="0"/>
                    <w:suppressLineNumbers w:val="0"/>
                    <w:bidi w:val="0"/>
                    <w:spacing w:before="0" w:beforeAutospacing="0" w:after="0" w:afterAutospacing="0"/>
                    <w:ind w:left="0" w:right="0"/>
                    <w:jc w:val="both"/>
                    <w:outlineLvl w:val="9"/>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42EC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517" w:type="dxa"/>
                  <w:vMerge w:val="continue"/>
                  <w:noWrap w:val="0"/>
                  <w:vAlign w:val="center"/>
                </w:tcPr>
                <w:p w14:paraId="468E89A4">
                  <w:pPr>
                    <w:keepNext w:val="0"/>
                    <w:keepLines w:val="0"/>
                    <w:suppressLineNumbers w:val="0"/>
                    <w:bidi w:val="0"/>
                    <w:spacing w:before="0" w:beforeAutospacing="0" w:after="0" w:afterAutospacing="0"/>
                    <w:ind w:left="0" w:right="0"/>
                    <w:jc w:val="center"/>
                    <w:outlineLvl w:val="9"/>
                    <w:rPr>
                      <w:rFonts w:hint="default"/>
                      <w:color w:val="auto"/>
                      <w:highlight w:val="none"/>
                    </w:rPr>
                  </w:pPr>
                </w:p>
              </w:tc>
              <w:tc>
                <w:tcPr>
                  <w:tcW w:w="772" w:type="dxa"/>
                  <w:vMerge w:val="continue"/>
                  <w:noWrap w:val="0"/>
                  <w:vAlign w:val="center"/>
                </w:tcPr>
                <w:p w14:paraId="3393336A">
                  <w:pPr>
                    <w:keepNext w:val="0"/>
                    <w:keepLines w:val="0"/>
                    <w:suppressLineNumbers w:val="0"/>
                    <w:bidi w:val="0"/>
                    <w:spacing w:before="0" w:beforeAutospacing="0" w:after="0" w:afterAutospacing="0"/>
                    <w:ind w:left="0" w:right="0"/>
                    <w:jc w:val="center"/>
                    <w:outlineLvl w:val="9"/>
                    <w:rPr>
                      <w:rFonts w:hint="default"/>
                      <w:color w:val="auto"/>
                      <w:highlight w:val="none"/>
                    </w:rPr>
                  </w:pPr>
                </w:p>
              </w:tc>
              <w:tc>
                <w:tcPr>
                  <w:tcW w:w="517" w:type="dxa"/>
                  <w:noWrap w:val="0"/>
                  <w:vAlign w:val="center"/>
                </w:tcPr>
                <w:p w14:paraId="1DB13BEF">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资源开发效率要求</w:t>
                  </w:r>
                </w:p>
              </w:tc>
              <w:tc>
                <w:tcPr>
                  <w:tcW w:w="2853" w:type="dxa"/>
                  <w:noWrap w:val="0"/>
                  <w:vAlign w:val="center"/>
                </w:tcPr>
                <w:p w14:paraId="27B9E9CC">
                  <w:pPr>
                    <w:keepNext w:val="0"/>
                    <w:keepLines w:val="0"/>
                    <w:suppressLineNumbers w:val="0"/>
                    <w:bidi w:val="0"/>
                    <w:spacing w:before="0" w:beforeAutospacing="0" w:after="0" w:afterAutospacing="0"/>
                    <w:ind w:left="0" w:right="0"/>
                    <w:jc w:val="center"/>
                    <w:outlineLvl w:val="9"/>
                    <w:rPr>
                      <w:rFonts w:hint="eastAsia" w:eastAsia="宋体"/>
                      <w:color w:val="auto"/>
                      <w:szCs w:val="21"/>
                      <w:highlight w:val="none"/>
                    </w:rPr>
                  </w:pPr>
                  <w:r>
                    <w:rPr>
                      <w:rFonts w:hint="eastAsia" w:eastAsia="宋体"/>
                      <w:color w:val="auto"/>
                      <w:szCs w:val="21"/>
                      <w:highlight w:val="none"/>
                    </w:rPr>
                    <w:t>1.清洁生产水平不低于国家清洁生产标准规定的国内先进水平。</w:t>
                  </w:r>
                </w:p>
                <w:p w14:paraId="3A9E73F9">
                  <w:pPr>
                    <w:keepNext w:val="0"/>
                    <w:keepLines w:val="0"/>
                    <w:suppressLineNumbers w:val="0"/>
                    <w:bidi w:val="0"/>
                    <w:spacing w:before="0" w:beforeAutospacing="0" w:after="0" w:afterAutospacing="0"/>
                    <w:ind w:left="0" w:right="0"/>
                    <w:jc w:val="center"/>
                    <w:outlineLvl w:val="9"/>
                    <w:rPr>
                      <w:rFonts w:hint="eastAsia" w:eastAsia="宋体"/>
                      <w:color w:val="auto"/>
                      <w:szCs w:val="21"/>
                      <w:highlight w:val="none"/>
                      <w:lang w:val="en-US" w:eastAsia="zh-CN"/>
                    </w:rPr>
                  </w:pPr>
                  <w:r>
                    <w:rPr>
                      <w:rFonts w:hint="eastAsia" w:eastAsia="宋体"/>
                      <w:color w:val="auto"/>
                      <w:szCs w:val="21"/>
                      <w:highlight w:val="none"/>
                    </w:rPr>
                    <w:t>2.工业固废综合利用率≥70</w:t>
                  </w:r>
                  <w:r>
                    <w:rPr>
                      <w:rFonts w:hint="eastAsia"/>
                      <w:color w:val="auto"/>
                      <w:szCs w:val="21"/>
                      <w:highlight w:val="none"/>
                      <w:lang w:val="en-US" w:eastAsia="zh-CN"/>
                    </w:rPr>
                    <w:t>%</w:t>
                  </w:r>
                  <w:r>
                    <w:rPr>
                      <w:rFonts w:hint="eastAsia" w:eastAsia="宋体"/>
                      <w:color w:val="auto"/>
                      <w:szCs w:val="21"/>
                      <w:highlight w:val="none"/>
                    </w:rPr>
                    <w:t>，再生水回用率100%，工业用水重复利用率100%，单位工业增加值综合耗能≤0.5吨标煤/万元。</w:t>
                  </w:r>
                </w:p>
              </w:tc>
              <w:tc>
                <w:tcPr>
                  <w:tcW w:w="2586" w:type="dxa"/>
                  <w:noWrap w:val="0"/>
                  <w:vAlign w:val="center"/>
                </w:tcPr>
                <w:p w14:paraId="22F2E79A">
                  <w:pPr>
                    <w:keepNext w:val="0"/>
                    <w:keepLines w:val="0"/>
                    <w:suppressLineNumbers w:val="0"/>
                    <w:bidi w:val="0"/>
                    <w:spacing w:before="0" w:beforeAutospacing="0" w:after="0" w:afterAutospacing="0"/>
                    <w:ind w:left="0" w:right="0"/>
                    <w:jc w:val="center"/>
                    <w:outlineLvl w:val="9"/>
                    <w:rPr>
                      <w:rFonts w:hint="eastAsia"/>
                      <w:color w:val="auto"/>
                      <w:sz w:val="21"/>
                      <w:szCs w:val="21"/>
                      <w:highlight w:val="none"/>
                      <w:lang w:val="en-US" w:eastAsia="zh-CN"/>
                    </w:rPr>
                  </w:pPr>
                  <w:r>
                    <w:rPr>
                      <w:rFonts w:hint="eastAsia"/>
                      <w:color w:val="auto"/>
                      <w:sz w:val="21"/>
                      <w:szCs w:val="21"/>
                      <w:highlight w:val="none"/>
                      <w:lang w:val="en-US" w:eastAsia="zh-CN"/>
                    </w:rPr>
                    <w:t>本项目</w:t>
                  </w:r>
                  <w:r>
                    <w:rPr>
                      <w:rFonts w:hint="eastAsia"/>
                      <w:color w:val="auto"/>
                      <w:highlight w:val="none"/>
                    </w:rPr>
                    <w:t>为</w:t>
                  </w:r>
                  <w:r>
                    <w:rPr>
                      <w:rFonts w:hint="eastAsia"/>
                      <w:color w:val="auto"/>
                      <w:highlight w:val="none"/>
                      <w:lang w:val="en-US" w:eastAsia="zh-CN"/>
                    </w:rPr>
                    <w:t>其他纸制品</w:t>
                  </w:r>
                  <w:r>
                    <w:rPr>
                      <w:rFonts w:hint="eastAsia"/>
                      <w:color w:val="auto"/>
                      <w:highlight w:val="none"/>
                    </w:rPr>
                    <w:t>制造项目</w:t>
                  </w:r>
                  <w:r>
                    <w:rPr>
                      <w:rFonts w:hint="eastAsia"/>
                      <w:color w:val="auto"/>
                      <w:highlight w:val="none"/>
                      <w:lang w:eastAsia="zh-CN"/>
                    </w:rPr>
                    <w:t>；清洁生产水平不低于</w:t>
                  </w:r>
                  <w:r>
                    <w:rPr>
                      <w:rFonts w:hint="eastAsia" w:eastAsia="宋体"/>
                      <w:color w:val="auto"/>
                      <w:szCs w:val="21"/>
                      <w:highlight w:val="none"/>
                    </w:rPr>
                    <w:t>国家清洁生产标准规定的国内先进水平。</w:t>
                  </w:r>
                  <w:r>
                    <w:rPr>
                      <w:rFonts w:hint="eastAsia"/>
                      <w:color w:val="auto"/>
                      <w:szCs w:val="21"/>
                      <w:highlight w:val="none"/>
                      <w:lang w:eastAsia="zh-CN"/>
                    </w:rPr>
                    <w:t>工业固废均经妥善处置，处置率达</w:t>
                  </w:r>
                  <w:r>
                    <w:rPr>
                      <w:rFonts w:hint="eastAsia"/>
                      <w:color w:val="auto"/>
                      <w:szCs w:val="21"/>
                      <w:highlight w:val="none"/>
                      <w:lang w:val="en-US" w:eastAsia="zh-CN"/>
                    </w:rPr>
                    <w:t>100%，综合利用率</w:t>
                  </w:r>
                  <w:r>
                    <w:rPr>
                      <w:rFonts w:hint="eastAsia" w:eastAsia="宋体"/>
                      <w:color w:val="auto"/>
                      <w:szCs w:val="21"/>
                      <w:highlight w:val="none"/>
                    </w:rPr>
                    <w:t>≥70</w:t>
                  </w:r>
                  <w:r>
                    <w:rPr>
                      <w:rFonts w:hint="eastAsia"/>
                      <w:color w:val="auto"/>
                      <w:szCs w:val="21"/>
                      <w:highlight w:val="none"/>
                      <w:lang w:val="en-US" w:eastAsia="zh-CN"/>
                    </w:rPr>
                    <w:t>%</w:t>
                  </w:r>
                  <w:r>
                    <w:rPr>
                      <w:rFonts w:hint="eastAsia" w:eastAsia="宋体"/>
                      <w:color w:val="auto"/>
                      <w:szCs w:val="21"/>
                      <w:highlight w:val="none"/>
                    </w:rPr>
                    <w:t>，</w:t>
                  </w:r>
                  <w:r>
                    <w:rPr>
                      <w:rFonts w:hint="eastAsia"/>
                      <w:color w:val="auto"/>
                      <w:szCs w:val="21"/>
                      <w:highlight w:val="none"/>
                      <w:lang w:val="en-US" w:eastAsia="zh-CN"/>
                    </w:rPr>
                    <w:t>项目无生产废水产生，</w:t>
                  </w:r>
                  <w:r>
                    <w:rPr>
                      <w:rFonts w:hint="eastAsia" w:eastAsia="宋体"/>
                      <w:color w:val="auto"/>
                      <w:sz w:val="21"/>
                      <w:szCs w:val="21"/>
                      <w:highlight w:val="none"/>
                      <w:lang w:val="en-US" w:eastAsia="zh-CN"/>
                    </w:rPr>
                    <w:t>生活污水经处理</w:t>
                  </w:r>
                  <w:r>
                    <w:rPr>
                      <w:rFonts w:hint="default"/>
                      <w:color w:val="auto"/>
                      <w:sz w:val="21"/>
                      <w:szCs w:val="21"/>
                      <w:highlight w:val="none"/>
                      <w:lang w:val="en-US" w:eastAsia="zh-CN"/>
                    </w:rPr>
                    <w:t>达《城市污水再生利用 城市杂用水水质》（GB/T18920-2020）中城市绿化、道路清扫、消防、建筑施工标准</w:t>
                  </w:r>
                  <w:r>
                    <w:rPr>
                      <w:rFonts w:hint="eastAsia"/>
                      <w:color w:val="auto"/>
                      <w:sz w:val="21"/>
                      <w:szCs w:val="21"/>
                      <w:highlight w:val="none"/>
                      <w:lang w:val="en-US" w:eastAsia="zh-CN"/>
                    </w:rPr>
                    <w:t>后，回用于项目区绿化和道路洒水降尘。</w:t>
                  </w:r>
                </w:p>
              </w:tc>
              <w:tc>
                <w:tcPr>
                  <w:tcW w:w="518" w:type="dxa"/>
                  <w:noWrap w:val="0"/>
                  <w:vAlign w:val="center"/>
                </w:tcPr>
                <w:p w14:paraId="1A27E6F4">
                  <w:pPr>
                    <w:keepNext w:val="0"/>
                    <w:keepLines w:val="0"/>
                    <w:suppressLineNumbers w:val="0"/>
                    <w:bidi w:val="0"/>
                    <w:spacing w:before="0" w:beforeAutospacing="0" w:after="0" w:afterAutospacing="0"/>
                    <w:ind w:left="0" w:right="0"/>
                    <w:jc w:val="both"/>
                    <w:outlineLvl w:val="9"/>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7A1555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b/>
                <w:bCs/>
                <w:color w:val="auto"/>
                <w:sz w:val="24"/>
                <w:szCs w:val="24"/>
                <w:highlight w:val="none"/>
                <w:lang w:val="en-US" w:eastAsia="zh-CN"/>
              </w:rPr>
            </w:pPr>
            <w:r>
              <w:rPr>
                <w:rFonts w:hint="eastAsia"/>
                <w:b/>
                <w:bCs/>
                <w:color w:val="auto"/>
                <w:sz w:val="24"/>
                <w:szCs w:val="24"/>
                <w:highlight w:val="none"/>
                <w:lang w:val="en-US" w:eastAsia="zh-CN"/>
              </w:rPr>
              <w:t>3、</w:t>
            </w:r>
            <w:r>
              <w:rPr>
                <w:rFonts w:hint="default" w:ascii="Times New Roman" w:hAnsi="Times New Roman" w:eastAsia="宋体"/>
                <w:b/>
                <w:bCs/>
                <w:color w:val="auto"/>
                <w:sz w:val="24"/>
                <w:szCs w:val="24"/>
                <w:highlight w:val="none"/>
                <w:lang w:val="en-US" w:eastAsia="zh-CN"/>
              </w:rPr>
              <w:t>产业政策的符合性分析</w:t>
            </w:r>
          </w:p>
          <w:p w14:paraId="28C2029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本项目为</w:t>
            </w:r>
            <w:r>
              <w:rPr>
                <w:rFonts w:hint="eastAsia" w:cs="Times New Roman"/>
                <w:color w:val="auto"/>
                <w:sz w:val="24"/>
                <w:szCs w:val="24"/>
                <w:highlight w:val="none"/>
                <w:lang w:val="en-US" w:eastAsia="zh-CN"/>
              </w:rPr>
              <w:t>其他</w:t>
            </w:r>
            <w:r>
              <w:rPr>
                <w:rFonts w:hint="default" w:ascii="Times New Roman" w:hAnsi="Times New Roman" w:eastAsia="宋体" w:cs="Times New Roman"/>
                <w:color w:val="auto"/>
                <w:sz w:val="24"/>
                <w:szCs w:val="24"/>
                <w:highlight w:val="none"/>
                <w:lang w:val="en-US" w:eastAsia="zh-CN"/>
              </w:rPr>
              <w:t>纸制品制造项目，根据《产业结构调整指导目录（2019年本</w:t>
            </w:r>
            <w:r>
              <w:rPr>
                <w:rFonts w:hint="eastAsia" w:cs="Times New Roman"/>
                <w:color w:val="auto"/>
                <w:sz w:val="24"/>
                <w:szCs w:val="24"/>
                <w:highlight w:val="none"/>
                <w:lang w:val="en-US" w:eastAsia="zh-CN"/>
              </w:rPr>
              <w:t>，2021年版</w:t>
            </w:r>
            <w:r>
              <w:rPr>
                <w:rFonts w:hint="default" w:ascii="Times New Roman" w:hAnsi="Times New Roman" w:eastAsia="宋体" w:cs="Times New Roman"/>
                <w:color w:val="auto"/>
                <w:sz w:val="24"/>
                <w:szCs w:val="24"/>
                <w:highlight w:val="none"/>
                <w:lang w:val="en-US" w:eastAsia="zh-CN"/>
              </w:rPr>
              <w:t>）》（国家发改委第29号令，2020年1月1日起实施）</w:t>
            </w:r>
            <w:r>
              <w:rPr>
                <w:rFonts w:hint="eastAsia" w:ascii="Times New Roman" w:hAnsi="Times New Roman" w:eastAsia="宋体" w:cs="Times New Roman"/>
                <w:color w:val="auto"/>
                <w:sz w:val="24"/>
                <w:szCs w:val="24"/>
                <w:highlight w:val="none"/>
                <w:lang w:val="en-US" w:eastAsia="zh-CN"/>
              </w:rPr>
              <w:t>，本项目不属于</w:t>
            </w:r>
            <w:r>
              <w:rPr>
                <w:rFonts w:hint="default" w:ascii="Times New Roman" w:hAnsi="Times New Roman" w:eastAsia="宋体" w:cs="Times New Roman"/>
                <w:color w:val="auto"/>
                <w:sz w:val="24"/>
                <w:szCs w:val="24"/>
                <w:highlight w:val="none"/>
                <w:lang w:val="en-US" w:eastAsia="zh-CN"/>
              </w:rPr>
              <w:t>鼓励</w:t>
            </w:r>
            <w:r>
              <w:rPr>
                <w:rFonts w:hint="eastAsia"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lang w:val="en-US" w:eastAsia="zh-CN"/>
              </w:rPr>
              <w:t>、限制</w:t>
            </w:r>
            <w:r>
              <w:rPr>
                <w:rFonts w:hint="eastAsia"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lang w:val="en-US" w:eastAsia="zh-CN"/>
              </w:rPr>
              <w:t>和淘汰</w:t>
            </w:r>
            <w:r>
              <w:rPr>
                <w:rFonts w:hint="eastAsia" w:ascii="Times New Roman" w:hAnsi="Times New Roman" w:eastAsia="宋体" w:cs="Times New Roman"/>
                <w:color w:val="auto"/>
                <w:sz w:val="24"/>
                <w:szCs w:val="24"/>
                <w:highlight w:val="none"/>
                <w:lang w:val="en-US" w:eastAsia="zh-CN"/>
              </w:rPr>
              <w:t>，项目属于允许类，故项目</w:t>
            </w:r>
            <w:r>
              <w:rPr>
                <w:rFonts w:hint="default" w:ascii="Times New Roman" w:hAnsi="Times New Roman" w:eastAsia="宋体" w:cs="Times New Roman"/>
                <w:color w:val="auto"/>
                <w:sz w:val="24"/>
                <w:szCs w:val="24"/>
                <w:highlight w:val="none"/>
                <w:lang w:val="en-US" w:eastAsia="zh-CN"/>
              </w:rPr>
              <w:t>符合国家相关产业政策。</w:t>
            </w:r>
          </w:p>
          <w:p w14:paraId="0D86E8F8">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4</w:t>
            </w:r>
            <w:r>
              <w:rPr>
                <w:rFonts w:hint="eastAsia"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与《云南省牛栏江保护条例》符合性分析</w:t>
            </w:r>
          </w:p>
          <w:p w14:paraId="7E9B371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根据《云南省牛栏江保护条例》牛栏江流域上游保护区划分为水源保护核心区、重点污染控制区和重点水源涵养区。</w:t>
            </w:r>
          </w:p>
          <w:p w14:paraId="7C2E5EA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2FF0AB0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76275C3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（3）重点水源涵养区为流域范围内除水源保护核心区、重点污染控制区以外的集水区域。</w:t>
            </w:r>
          </w:p>
          <w:p w14:paraId="6BCBB8D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本项目位于云南省昆明市寻甸特色产业园区</w:t>
            </w:r>
            <w:r>
              <w:rPr>
                <w:rFonts w:hint="eastAsia" w:cs="Times New Roman"/>
                <w:color w:val="auto"/>
                <w:sz w:val="24"/>
                <w:szCs w:val="24"/>
                <w:highlight w:val="none"/>
                <w:lang w:val="en-US" w:eastAsia="zh-CN"/>
              </w:rPr>
              <w:t>羊街</w:t>
            </w:r>
            <w:r>
              <w:rPr>
                <w:rFonts w:hint="default" w:ascii="Times New Roman" w:hAnsi="Times New Roman" w:eastAsia="宋体" w:cs="Times New Roman"/>
                <w:color w:val="auto"/>
                <w:sz w:val="24"/>
                <w:szCs w:val="24"/>
                <w:highlight w:val="none"/>
                <w:lang w:val="en-US" w:eastAsia="zh-CN"/>
              </w:rPr>
              <w:t>片区，根据牛栏江水系功能规划图可知，项目区属于重点污染控制区。重点污染控制区需满足重点水源涵养区禁止的行为及重点污染控制区的禁止行为。根据《云南省牛栏江保护条例》中第三十二、三十三条中规定的禁止行为分析项目选址符合性。</w:t>
            </w:r>
          </w:p>
          <w:p w14:paraId="599E454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黑体"/>
                <w:b/>
                <w:bCs/>
                <w:color w:val="auto"/>
                <w:highlight w:val="none"/>
              </w:rPr>
            </w:pPr>
            <w:r>
              <w:rPr>
                <w:rFonts w:hint="eastAsia" w:ascii="Times New Roman" w:hAnsi="Times New Roman" w:eastAsia="宋体" w:cs="黑体"/>
                <w:b/>
                <w:bCs/>
                <w:color w:val="auto"/>
                <w:highlight w:val="none"/>
              </w:rPr>
              <w:t>表</w:t>
            </w:r>
            <w:r>
              <w:rPr>
                <w:rFonts w:hint="eastAsia" w:ascii="Times New Roman" w:hAnsi="Times New Roman" w:eastAsia="宋体" w:cs="黑体"/>
                <w:b/>
                <w:bCs/>
                <w:color w:val="auto"/>
                <w:highlight w:val="none"/>
                <w:lang w:val="en-US" w:eastAsia="zh-CN"/>
              </w:rPr>
              <w:t>1</w:t>
            </w:r>
            <w:r>
              <w:rPr>
                <w:rFonts w:hint="eastAsia" w:ascii="Times New Roman" w:hAnsi="Times New Roman" w:eastAsia="宋体" w:cs="黑体"/>
                <w:b/>
                <w:bCs/>
                <w:color w:val="auto"/>
                <w:highlight w:val="none"/>
              </w:rPr>
              <w:t>-</w:t>
            </w:r>
            <w:r>
              <w:rPr>
                <w:rFonts w:hint="eastAsia" w:cs="黑体"/>
                <w:b/>
                <w:bCs/>
                <w:color w:val="auto"/>
                <w:highlight w:val="none"/>
                <w:lang w:val="en-US" w:eastAsia="zh-CN"/>
              </w:rPr>
              <w:t>6</w:t>
            </w:r>
            <w:r>
              <w:rPr>
                <w:rFonts w:hint="eastAsia" w:ascii="Times New Roman" w:hAnsi="Times New Roman" w:eastAsia="宋体" w:cs="黑体"/>
                <w:b/>
                <w:bCs/>
                <w:color w:val="auto"/>
                <w:highlight w:val="none"/>
              </w:rPr>
              <w:t xml:space="preserve">  建设内容与《云南省牛栏江保护条例》符合性分析</w:t>
            </w:r>
          </w:p>
          <w:tbl>
            <w:tblPr>
              <w:tblStyle w:val="30"/>
              <w:tblW w:w="7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642"/>
              <w:gridCol w:w="3172"/>
              <w:gridCol w:w="830"/>
            </w:tblGrid>
            <w:tr w14:paraId="02B8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2BB9328E">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保护区划分</w:t>
                  </w:r>
                </w:p>
              </w:tc>
              <w:tc>
                <w:tcPr>
                  <w:tcW w:w="2642" w:type="dxa"/>
                  <w:vAlign w:val="center"/>
                </w:tcPr>
                <w:p w14:paraId="7EA464D0">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禁止行为</w:t>
                  </w:r>
                </w:p>
              </w:tc>
              <w:tc>
                <w:tcPr>
                  <w:tcW w:w="3172" w:type="dxa"/>
                  <w:vAlign w:val="center"/>
                </w:tcPr>
                <w:p w14:paraId="5938F3AF">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830" w:type="dxa"/>
                  <w:vAlign w:val="center"/>
                </w:tcPr>
                <w:p w14:paraId="4A4D2CCB">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4541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vAlign w:val="center"/>
                </w:tcPr>
                <w:p w14:paraId="526419C3">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aps w:val="0"/>
                      <w:color w:val="auto"/>
                      <w:spacing w:val="0"/>
                      <w:sz w:val="21"/>
                      <w:szCs w:val="21"/>
                      <w:highlight w:val="none"/>
                      <w:shd w:val="clear" w:fill="FFFFFF"/>
                    </w:rPr>
                    <w:t>重点污染控制区内除重点水源涵养区禁止的行为</w:t>
                  </w:r>
                  <w:r>
                    <w:rPr>
                      <w:rFonts w:hint="default" w:ascii="Times New Roman" w:hAnsi="Times New Roman" w:eastAsia="宋体" w:cs="Times New Roman"/>
                      <w:i w:val="0"/>
                      <w:iCs w:val="0"/>
                      <w:caps w:val="0"/>
                      <w:color w:val="auto"/>
                      <w:spacing w:val="0"/>
                      <w:sz w:val="21"/>
                      <w:szCs w:val="21"/>
                      <w:highlight w:val="none"/>
                      <w:shd w:val="clear" w:fill="FFFFFF"/>
                      <w:lang w:eastAsia="zh-CN"/>
                    </w:rPr>
                    <w:t>外的其他禁止行为</w:t>
                  </w:r>
                </w:p>
              </w:tc>
              <w:tc>
                <w:tcPr>
                  <w:tcW w:w="2642" w:type="dxa"/>
                  <w:vAlign w:val="center"/>
                </w:tcPr>
                <w:p w14:paraId="5F20C6CC">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一</w:t>
                  </w:r>
                  <w:r>
                    <w:rPr>
                      <w:rFonts w:hint="default" w:ascii="Times New Roman" w:hAnsi="Times New Roman" w:eastAsia="宋体" w:cs="Times New Roman"/>
                      <w:color w:val="auto"/>
                      <w:sz w:val="21"/>
                      <w:szCs w:val="21"/>
                      <w:highlight w:val="none"/>
                    </w:rPr>
                    <w:t>）新建、扩建工业园区；</w:t>
                  </w:r>
                </w:p>
              </w:tc>
              <w:tc>
                <w:tcPr>
                  <w:tcW w:w="3172" w:type="dxa"/>
                  <w:vAlign w:val="center"/>
                </w:tcPr>
                <w:p w14:paraId="678ED12E">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该项目不涉及。</w:t>
                  </w:r>
                </w:p>
              </w:tc>
              <w:tc>
                <w:tcPr>
                  <w:tcW w:w="830" w:type="dxa"/>
                  <w:vAlign w:val="center"/>
                </w:tcPr>
                <w:p w14:paraId="7AB9F7A0">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C51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7E131B4D">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642" w:type="dxa"/>
                  <w:vAlign w:val="center"/>
                </w:tcPr>
                <w:p w14:paraId="620B68C6">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二</w:t>
                  </w:r>
                  <w:r>
                    <w:rPr>
                      <w:rFonts w:hint="default" w:ascii="Times New Roman" w:hAnsi="Times New Roman" w:eastAsia="宋体" w:cs="Times New Roman"/>
                      <w:color w:val="auto"/>
                      <w:sz w:val="21"/>
                      <w:szCs w:val="21"/>
                      <w:highlight w:val="none"/>
                    </w:rPr>
                    <w:t>）新建、扩建重点水污染物排放的工业项目；</w:t>
                  </w:r>
                </w:p>
              </w:tc>
              <w:tc>
                <w:tcPr>
                  <w:tcW w:w="3172" w:type="dxa"/>
                  <w:vAlign w:val="center"/>
                </w:tcPr>
                <w:p w14:paraId="1A699AC3">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vertAlign w:val="baseline"/>
                      <w:lang w:val="en-US" w:eastAsia="zh-CN"/>
                    </w:rPr>
                    <w:t>项目废水不外排</w:t>
                  </w:r>
                  <w:r>
                    <w:rPr>
                      <w:rFonts w:hint="default" w:ascii="Times New Roman" w:hAnsi="Times New Roman" w:eastAsia="宋体" w:cs="Times New Roman"/>
                      <w:color w:val="auto"/>
                      <w:sz w:val="21"/>
                      <w:szCs w:val="21"/>
                      <w:highlight w:val="none"/>
                    </w:rPr>
                    <w:t>。</w:t>
                  </w:r>
                </w:p>
              </w:tc>
              <w:tc>
                <w:tcPr>
                  <w:tcW w:w="830" w:type="dxa"/>
                  <w:vAlign w:val="center"/>
                </w:tcPr>
                <w:p w14:paraId="4DC5FF19">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3E1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0E17D708">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642" w:type="dxa"/>
                  <w:vAlign w:val="center"/>
                </w:tcPr>
                <w:p w14:paraId="3BD539C9">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w:t>
                  </w:r>
                  <w:r>
                    <w:rPr>
                      <w:rFonts w:hint="default" w:ascii="Times New Roman" w:hAnsi="Times New Roman" w:eastAsia="宋体" w:cs="Times New Roman"/>
                      <w:color w:val="auto"/>
                      <w:sz w:val="21"/>
                      <w:szCs w:val="21"/>
                      <w:highlight w:val="none"/>
                    </w:rPr>
                    <w:t>）新建、改建、扩建经营性陵园、公墓。</w:t>
                  </w:r>
                </w:p>
              </w:tc>
              <w:tc>
                <w:tcPr>
                  <w:tcW w:w="3172" w:type="dxa"/>
                  <w:vAlign w:val="center"/>
                </w:tcPr>
                <w:p w14:paraId="52129886">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该项目不涉及经</w:t>
                  </w:r>
                  <w:r>
                    <w:rPr>
                      <w:rFonts w:hint="default" w:ascii="Times New Roman" w:hAnsi="Times New Roman" w:eastAsia="宋体" w:cs="Times New Roman"/>
                      <w:color w:val="auto"/>
                      <w:sz w:val="21"/>
                      <w:szCs w:val="21"/>
                      <w:highlight w:val="none"/>
                    </w:rPr>
                    <w:t>营性陵园、公墓</w:t>
                  </w:r>
                  <w:r>
                    <w:rPr>
                      <w:rFonts w:hint="eastAsia" w:cs="Times New Roman"/>
                      <w:color w:val="auto"/>
                      <w:sz w:val="21"/>
                      <w:szCs w:val="21"/>
                      <w:highlight w:val="none"/>
                      <w:lang w:val="en-US" w:eastAsia="zh-CN"/>
                    </w:rPr>
                    <w:t>。</w:t>
                  </w:r>
                </w:p>
              </w:tc>
              <w:tc>
                <w:tcPr>
                  <w:tcW w:w="830" w:type="dxa"/>
                  <w:vAlign w:val="center"/>
                </w:tcPr>
                <w:p w14:paraId="2E61119D">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3B1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vAlign w:val="center"/>
                </w:tcPr>
                <w:p w14:paraId="5D1C724F">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重点水源涵养区内禁止下列行为</w:t>
                  </w:r>
                </w:p>
              </w:tc>
              <w:tc>
                <w:tcPr>
                  <w:tcW w:w="2642" w:type="dxa"/>
                  <w:vAlign w:val="center"/>
                </w:tcPr>
                <w:p w14:paraId="287D0CB6">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（一）盗伐、滥伐林木和破坏草地；</w:t>
                  </w:r>
                </w:p>
              </w:tc>
              <w:tc>
                <w:tcPr>
                  <w:tcW w:w="3172" w:type="dxa"/>
                  <w:vAlign w:val="center"/>
                </w:tcPr>
                <w:p w14:paraId="7A083004">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项目不涉及</w:t>
                  </w:r>
                  <w:r>
                    <w:rPr>
                      <w:rFonts w:hint="default" w:ascii="Times New Roman" w:hAnsi="Times New Roman" w:eastAsia="宋体" w:cs="Times New Roman"/>
                      <w:color w:val="auto"/>
                      <w:sz w:val="21"/>
                      <w:szCs w:val="21"/>
                      <w:highlight w:val="none"/>
                      <w:lang w:val="en-US" w:eastAsia="zh-CN"/>
                    </w:rPr>
                    <w:t>盗伐、滥伐林木和破坏草地行为。</w:t>
                  </w:r>
                </w:p>
              </w:tc>
              <w:tc>
                <w:tcPr>
                  <w:tcW w:w="830" w:type="dxa"/>
                  <w:vAlign w:val="center"/>
                </w:tcPr>
                <w:p w14:paraId="2809D9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4BD4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2E942344">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642" w:type="dxa"/>
                  <w:vAlign w:val="center"/>
                </w:tcPr>
                <w:p w14:paraId="1E600DF6">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（二）使用高毒、高残留农药；</w:t>
                  </w:r>
                </w:p>
              </w:tc>
              <w:tc>
                <w:tcPr>
                  <w:tcW w:w="3172" w:type="dxa"/>
                  <w:vAlign w:val="center"/>
                </w:tcPr>
                <w:p w14:paraId="06A5685E">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w:t>
                  </w:r>
                  <w:r>
                    <w:rPr>
                      <w:rFonts w:hint="default" w:ascii="Times New Roman" w:hAnsi="Times New Roman" w:eastAsia="宋体" w:cs="Times New Roman"/>
                      <w:color w:val="auto"/>
                      <w:sz w:val="21"/>
                      <w:szCs w:val="21"/>
                      <w:highlight w:val="none"/>
                      <w:lang w:val="en-US" w:eastAsia="zh-CN"/>
                    </w:rPr>
                    <w:t>使用高毒、高残留农药。</w:t>
                  </w:r>
                </w:p>
              </w:tc>
              <w:tc>
                <w:tcPr>
                  <w:tcW w:w="830" w:type="dxa"/>
                  <w:vAlign w:val="center"/>
                </w:tcPr>
                <w:p w14:paraId="61A016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0FD2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vMerge w:val="continue"/>
                  <w:vAlign w:val="center"/>
                </w:tcPr>
                <w:p w14:paraId="34AAE27F">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642" w:type="dxa"/>
                  <w:vAlign w:val="center"/>
                </w:tcPr>
                <w:p w14:paraId="38026CF2">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（三）利用溶洞、渗井、渗坑、裂隙排放、倾倒含有毒有害物质的废水、废渣；</w:t>
                  </w:r>
                </w:p>
              </w:tc>
              <w:tc>
                <w:tcPr>
                  <w:tcW w:w="3172" w:type="dxa"/>
                  <w:vAlign w:val="center"/>
                </w:tcPr>
                <w:p w14:paraId="089DFCD7">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项目不涉及</w:t>
                  </w:r>
                  <w:r>
                    <w:rPr>
                      <w:rFonts w:hint="default" w:ascii="Times New Roman" w:hAnsi="Times New Roman" w:eastAsia="宋体" w:cs="Times New Roman"/>
                      <w:color w:val="auto"/>
                      <w:sz w:val="21"/>
                      <w:szCs w:val="21"/>
                      <w:highlight w:val="none"/>
                      <w:lang w:val="en-US" w:eastAsia="zh-CN"/>
                    </w:rPr>
                    <w:t>利用溶洞、渗井、渗坑、裂隙排放、倾倒含有毒有害物质的废水、废渣等行为。</w:t>
                  </w:r>
                </w:p>
              </w:tc>
              <w:tc>
                <w:tcPr>
                  <w:tcW w:w="830" w:type="dxa"/>
                  <w:vAlign w:val="center"/>
                </w:tcPr>
                <w:p w14:paraId="1CA107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0726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1EE57DC9">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642" w:type="dxa"/>
                  <w:vAlign w:val="center"/>
                </w:tcPr>
                <w:p w14:paraId="56A408FC">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（四）向水体排放废水、倾倒工业废渣、城镇垃圾或者其他废弃物；</w:t>
                  </w:r>
                </w:p>
              </w:tc>
              <w:tc>
                <w:tcPr>
                  <w:tcW w:w="3172" w:type="dxa"/>
                  <w:vAlign w:val="center"/>
                </w:tcPr>
                <w:p w14:paraId="166EC122">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项目废水</w:t>
                  </w:r>
                  <w:r>
                    <w:rPr>
                      <w:rFonts w:hint="default" w:ascii="Times New Roman" w:hAnsi="Times New Roman" w:eastAsia="宋体" w:cs="Times New Roman"/>
                      <w:color w:val="auto"/>
                      <w:sz w:val="21"/>
                      <w:szCs w:val="21"/>
                      <w:highlight w:val="none"/>
                      <w:lang w:val="en-US" w:eastAsia="zh-CN"/>
                    </w:rPr>
                    <w:t>不外排。固体废物合理处置率100%。项目不涉及向水体排放废水、倾倒工业废渣、城镇垃圾或者其他废弃物的行为。</w:t>
                  </w:r>
                </w:p>
              </w:tc>
              <w:tc>
                <w:tcPr>
                  <w:tcW w:w="830" w:type="dxa"/>
                  <w:vAlign w:val="center"/>
                </w:tcPr>
                <w:p w14:paraId="3D26A0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6BE4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28907416">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642" w:type="dxa"/>
                  <w:vAlign w:val="center"/>
                </w:tcPr>
                <w:p w14:paraId="3D10481C">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（五）在江河、渠道、水库最高水位线以下的滩地、岸坡堆放、存贮固体废弃物或者其他污染物；</w:t>
                  </w:r>
                </w:p>
              </w:tc>
              <w:tc>
                <w:tcPr>
                  <w:tcW w:w="3172" w:type="dxa"/>
                  <w:vAlign w:val="center"/>
                </w:tcPr>
                <w:p w14:paraId="32A87F61">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项目不涉及</w:t>
                  </w:r>
                  <w:r>
                    <w:rPr>
                      <w:rFonts w:hint="default" w:ascii="Times New Roman" w:hAnsi="Times New Roman" w:eastAsia="宋体" w:cs="Times New Roman"/>
                      <w:color w:val="auto"/>
                      <w:sz w:val="21"/>
                      <w:szCs w:val="21"/>
                      <w:highlight w:val="none"/>
                      <w:lang w:val="en-US" w:eastAsia="zh-CN"/>
                    </w:rPr>
                    <w:t>在江河、渠道、水库最高水位线以下的滩地、岸坡堆放、存贮固体废弃物或者其他污染物的行为。</w:t>
                  </w:r>
                </w:p>
              </w:tc>
              <w:tc>
                <w:tcPr>
                  <w:tcW w:w="830" w:type="dxa"/>
                  <w:vAlign w:val="center"/>
                </w:tcPr>
                <w:p w14:paraId="69D3D0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6A20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1D8CE837">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p>
              </w:tc>
              <w:tc>
                <w:tcPr>
                  <w:tcW w:w="2642" w:type="dxa"/>
                  <w:vAlign w:val="center"/>
                </w:tcPr>
                <w:p w14:paraId="5983698B">
                  <w:pPr>
                    <w:pStyle w:val="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（六）利用无防渗漏措施的沟渠、坑塘等输送或者存贮含有毒污染物的废水、含病原体的污水或者其他废弃物。</w:t>
                  </w:r>
                </w:p>
              </w:tc>
              <w:tc>
                <w:tcPr>
                  <w:tcW w:w="3172" w:type="dxa"/>
                  <w:vAlign w:val="center"/>
                </w:tcPr>
                <w:p w14:paraId="550AAF2A">
                  <w:pPr>
                    <w:pStyle w:val="9"/>
                    <w:keepNext w:val="0"/>
                    <w:keepLines w:val="0"/>
                    <w:suppressLineNumbers w:val="0"/>
                    <w:adjustRightInd w:val="0"/>
                    <w:snapToGrid w:val="0"/>
                    <w:spacing w:beforeAutospacing="0" w:after="0" w:afterAutospacing="0"/>
                    <w:ind w:lef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项目不涉及</w:t>
                  </w:r>
                  <w:r>
                    <w:rPr>
                      <w:rFonts w:hint="default" w:ascii="Times New Roman" w:hAnsi="Times New Roman" w:eastAsia="宋体" w:cs="Times New Roman"/>
                      <w:color w:val="auto"/>
                      <w:sz w:val="21"/>
                      <w:szCs w:val="21"/>
                      <w:highlight w:val="none"/>
                      <w:lang w:val="en-US" w:eastAsia="zh-CN"/>
                    </w:rPr>
                    <w:t>利用无防渗漏措施的沟渠、坑塘等输送或者存贮含有毒污染物的废水、含病原体的污水或者其他废弃物的行为。</w:t>
                  </w:r>
                </w:p>
              </w:tc>
              <w:tc>
                <w:tcPr>
                  <w:tcW w:w="830" w:type="dxa"/>
                  <w:vAlign w:val="center"/>
                </w:tcPr>
                <w:p w14:paraId="7AA5AE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bl>
          <w:p w14:paraId="167988E4">
            <w:pPr>
              <w:keepNext w:val="0"/>
              <w:keepLines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综上所述，项目与《云南省牛栏江保护条例》相符。</w:t>
            </w:r>
          </w:p>
          <w:p w14:paraId="63FB243D">
            <w:pPr>
              <w:keepNext w:val="0"/>
              <w:keepLines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rPr>
            </w:pPr>
            <w:r>
              <w:rPr>
                <w:rFonts w:hint="eastAsia"/>
                <w:b/>
                <w:bCs/>
                <w:color w:val="auto"/>
                <w:sz w:val="24"/>
                <w:szCs w:val="24"/>
                <w:highlight w:val="none"/>
                <w:lang w:val="en-US" w:eastAsia="zh-CN"/>
              </w:rPr>
              <w:t>5</w:t>
            </w:r>
            <w:r>
              <w:rPr>
                <w:rFonts w:hint="default" w:ascii="Times New Roman" w:hAnsi="Times New Roman" w:eastAsia="宋体"/>
                <w:b/>
                <w:bCs/>
                <w:color w:val="auto"/>
                <w:sz w:val="24"/>
                <w:szCs w:val="24"/>
                <w:highlight w:val="none"/>
              </w:rPr>
              <w:t>、</w:t>
            </w:r>
            <w:r>
              <w:rPr>
                <w:rFonts w:hint="default" w:ascii="Times New Roman" w:hAnsi="Times New Roman" w:eastAsia="宋体" w:cs="Times New Roman"/>
                <w:b/>
                <w:bCs/>
                <w:color w:val="auto"/>
                <w:sz w:val="24"/>
                <w:szCs w:val="24"/>
                <w:highlight w:val="none"/>
              </w:rPr>
              <w:t>与《牛栏江流域（云南部分）水环境保护规划（2009~2030）》的相符性分析</w:t>
            </w:r>
          </w:p>
          <w:p w14:paraId="44B7F22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14:paraId="14B9B44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本项目位于云南省昆明市寻甸特色产业园区</w:t>
            </w:r>
            <w:r>
              <w:rPr>
                <w:rFonts w:hint="eastAsia" w:cs="Times New Roman"/>
                <w:color w:val="auto"/>
                <w:sz w:val="24"/>
                <w:szCs w:val="24"/>
                <w:highlight w:val="none"/>
                <w:lang w:val="en-US" w:eastAsia="zh-CN"/>
              </w:rPr>
              <w:t>羊街</w:t>
            </w:r>
            <w:r>
              <w:rPr>
                <w:rFonts w:hint="default" w:ascii="Times New Roman" w:hAnsi="Times New Roman" w:eastAsia="宋体" w:cs="Times New Roman"/>
                <w:color w:val="auto"/>
                <w:sz w:val="24"/>
                <w:szCs w:val="24"/>
                <w:highlight w:val="none"/>
                <w:lang w:val="en-US" w:eastAsia="zh-CN"/>
              </w:rPr>
              <w:t>片区，根据牛栏江水系功能规划图可知，项目区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14:paraId="38F4C52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无生产废水产生，运营期产生的生活污水进入化粪池、一体化污水处理站处理达到《城市污水再生利用城市杂用水水质》（GB/T18920-2020）中城市绿化、道路清扫标准后，回用于厂区非雨天绿化及道路洒水降尘，不外排</w:t>
            </w:r>
            <w:r>
              <w:rPr>
                <w:rFonts w:hint="default" w:ascii="Times New Roman" w:hAnsi="Times New Roman" w:eastAsia="宋体" w:cs="Times New Roman"/>
                <w:color w:val="auto"/>
                <w:sz w:val="24"/>
                <w:szCs w:val="24"/>
                <w:highlight w:val="none"/>
                <w:lang w:val="en-US" w:eastAsia="zh-CN"/>
              </w:rPr>
              <w:t>。项目内设有垃圾和危废收集设施，可保证固废合理收集处置，一般生活固废由环卫部门进行处置，危废收集后委托有资质单位处理。项目选址符合《云南省牛栏江保护条例》中的选址要求。</w:t>
            </w:r>
          </w:p>
          <w:p w14:paraId="55A3F9F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综上所述，项目选址符合《牛栏江流域（云南部分）水环境保护规划（2009~2030）》对重点污染控制区的水环境保护要求。</w:t>
            </w:r>
          </w:p>
          <w:p w14:paraId="1D9F1B4A">
            <w:pPr>
              <w:keepNext w:val="0"/>
              <w:keepLines w:val="0"/>
              <w:suppressLineNumbers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highlight w:val="none"/>
              </w:rPr>
            </w:pPr>
            <w:r>
              <w:rPr>
                <w:rFonts w:hint="eastAsia" w:cs="Times New Roman"/>
                <w:b/>
                <w:bCs/>
                <w:color w:val="auto"/>
                <w:kern w:val="0"/>
                <w:sz w:val="24"/>
                <w:szCs w:val="24"/>
                <w:highlight w:val="none"/>
                <w:lang w:val="en-US" w:eastAsia="zh-CN"/>
              </w:rPr>
              <w:t>6</w:t>
            </w:r>
            <w:r>
              <w:rPr>
                <w:rFonts w:hint="eastAsia"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rPr>
              <w:t>项目与《牛栏江流域（</w:t>
            </w:r>
            <w:r>
              <w:rPr>
                <w:rFonts w:hint="eastAsia" w:cs="Times New Roman"/>
                <w:b/>
                <w:bCs/>
                <w:color w:val="auto"/>
                <w:kern w:val="0"/>
                <w:sz w:val="24"/>
                <w:szCs w:val="24"/>
                <w:highlight w:val="none"/>
                <w:lang w:eastAsia="zh-CN"/>
              </w:rPr>
              <w:t>昆明</w:t>
            </w:r>
            <w:r>
              <w:rPr>
                <w:rFonts w:hint="default" w:ascii="Times New Roman" w:hAnsi="Times New Roman" w:eastAsia="宋体" w:cs="Times New Roman"/>
                <w:b/>
                <w:bCs/>
                <w:color w:val="auto"/>
                <w:kern w:val="0"/>
                <w:sz w:val="24"/>
                <w:szCs w:val="24"/>
                <w:highlight w:val="none"/>
              </w:rPr>
              <w:t>段）水环境保护规划（20</w:t>
            </w:r>
            <w:r>
              <w:rPr>
                <w:rFonts w:hint="eastAsia" w:cs="Times New Roman"/>
                <w:b/>
                <w:bCs/>
                <w:color w:val="auto"/>
                <w:kern w:val="0"/>
                <w:sz w:val="24"/>
                <w:szCs w:val="24"/>
                <w:highlight w:val="none"/>
                <w:lang w:val="en-US" w:eastAsia="zh-CN"/>
              </w:rPr>
              <w:t>09</w:t>
            </w:r>
            <w:r>
              <w:rPr>
                <w:rFonts w:hint="default" w:ascii="Times New Roman" w:hAnsi="Times New Roman" w:eastAsia="宋体" w:cs="Times New Roman"/>
                <w:b/>
                <w:bCs/>
                <w:color w:val="auto"/>
                <w:kern w:val="0"/>
                <w:sz w:val="24"/>
                <w:szCs w:val="24"/>
                <w:highlight w:val="none"/>
              </w:rPr>
              <w:t>~2030）》的相符性分析</w:t>
            </w:r>
          </w:p>
          <w:p w14:paraId="265A0094">
            <w:pPr>
              <w:keepNext w:val="0"/>
              <w:keepLines w:val="0"/>
              <w:suppressLineNumbers w:val="0"/>
              <w:autoSpaceDE w:val="0"/>
              <w:autoSpaceDN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color w:val="auto"/>
                <w:kern w:val="0"/>
                <w:sz w:val="24"/>
                <w:szCs w:val="24"/>
                <w:highlight w:val="none"/>
              </w:rPr>
              <w:t>本项目位于</w:t>
            </w:r>
            <w:r>
              <w:rPr>
                <w:rFonts w:hint="default" w:ascii="Times New Roman" w:hAnsi="Times New Roman" w:eastAsia="宋体" w:cs="Times New Roman"/>
                <w:color w:val="auto"/>
                <w:kern w:val="0"/>
                <w:sz w:val="24"/>
                <w:szCs w:val="24"/>
                <w:highlight w:val="none"/>
                <w:lang w:eastAsia="zh-CN"/>
              </w:rPr>
              <w:t>云南</w:t>
            </w:r>
            <w:r>
              <w:rPr>
                <w:rFonts w:hint="default" w:ascii="Times New Roman" w:hAnsi="Times New Roman" w:eastAsia="宋体" w:cs="Times New Roman"/>
                <w:color w:val="auto"/>
                <w:kern w:val="0"/>
                <w:sz w:val="24"/>
                <w:szCs w:val="24"/>
                <w:highlight w:val="none"/>
              </w:rPr>
              <w:t>省</w:t>
            </w:r>
            <w:r>
              <w:rPr>
                <w:rFonts w:hint="default" w:ascii="Times New Roman" w:hAnsi="Times New Roman" w:eastAsia="宋体" w:cs="Times New Roman"/>
                <w:color w:val="auto"/>
                <w:kern w:val="0"/>
                <w:sz w:val="24"/>
                <w:szCs w:val="24"/>
                <w:highlight w:val="none"/>
                <w:lang w:eastAsia="zh-CN"/>
              </w:rPr>
              <w:t>昆明市寻甸县特色产业园区</w:t>
            </w:r>
            <w:r>
              <w:rPr>
                <w:rFonts w:hint="eastAsia" w:cs="Times New Roman"/>
                <w:color w:val="auto"/>
                <w:kern w:val="0"/>
                <w:sz w:val="24"/>
                <w:szCs w:val="24"/>
                <w:highlight w:val="none"/>
                <w:lang w:val="en-US" w:eastAsia="zh-CN"/>
              </w:rPr>
              <w:t>羊街</w:t>
            </w:r>
            <w:r>
              <w:rPr>
                <w:rFonts w:hint="default" w:ascii="Times New Roman" w:hAnsi="Times New Roman" w:eastAsia="宋体" w:cs="Times New Roman"/>
                <w:color w:val="auto"/>
                <w:kern w:val="0"/>
                <w:sz w:val="24"/>
                <w:szCs w:val="24"/>
                <w:highlight w:val="none"/>
                <w:lang w:eastAsia="zh-CN"/>
              </w:rPr>
              <w:t>片区</w:t>
            </w:r>
            <w:r>
              <w:rPr>
                <w:rFonts w:hint="default" w:ascii="Times New Roman" w:hAnsi="Times New Roman" w:eastAsia="宋体" w:cs="Times New Roman"/>
                <w:color w:val="auto"/>
                <w:kern w:val="0"/>
                <w:sz w:val="24"/>
                <w:szCs w:val="24"/>
                <w:highlight w:val="none"/>
              </w:rPr>
              <w:t>，根据《牛栏江（</w:t>
            </w:r>
            <w:r>
              <w:rPr>
                <w:rFonts w:hint="eastAsia" w:cs="Times New Roman"/>
                <w:color w:val="auto"/>
                <w:kern w:val="0"/>
                <w:sz w:val="24"/>
                <w:szCs w:val="24"/>
                <w:highlight w:val="none"/>
                <w:lang w:val="en-US" w:eastAsia="zh-CN"/>
              </w:rPr>
              <w:t>昆明</w:t>
            </w:r>
            <w:r>
              <w:rPr>
                <w:rFonts w:hint="default" w:ascii="Times New Roman" w:hAnsi="Times New Roman" w:eastAsia="宋体" w:cs="Times New Roman"/>
                <w:color w:val="auto"/>
                <w:kern w:val="0"/>
                <w:sz w:val="24"/>
                <w:szCs w:val="24"/>
                <w:highlight w:val="none"/>
              </w:rPr>
              <w:t>段）水环境保护规划（2011~2030）》规划图分析可知，本项目属于</w:t>
            </w:r>
            <w:r>
              <w:rPr>
                <w:rStyle w:val="85"/>
                <w:rFonts w:hint="default" w:ascii="Times New Roman" w:hAnsi="Times New Roman" w:eastAsia="宋体" w:cs="Times New Roman"/>
                <w:color w:val="auto"/>
                <w:sz w:val="24"/>
                <w:highlight w:val="none"/>
              </w:rPr>
              <w:t>重点污染控制区。项目选址与</w:t>
            </w:r>
            <w:r>
              <w:rPr>
                <w:rFonts w:hint="default" w:ascii="Times New Roman" w:hAnsi="Times New Roman" w:eastAsia="宋体" w:cs="Times New Roman"/>
                <w:color w:val="auto"/>
                <w:kern w:val="0"/>
                <w:sz w:val="24"/>
                <w:szCs w:val="24"/>
                <w:highlight w:val="none"/>
              </w:rPr>
              <w:t>《牛栏江（</w:t>
            </w:r>
            <w:r>
              <w:rPr>
                <w:rFonts w:hint="eastAsia" w:cs="Times New Roman"/>
                <w:color w:val="auto"/>
                <w:kern w:val="0"/>
                <w:sz w:val="24"/>
                <w:szCs w:val="24"/>
                <w:highlight w:val="none"/>
                <w:lang w:val="en-US" w:eastAsia="zh-CN"/>
              </w:rPr>
              <w:t>昆明</w:t>
            </w:r>
            <w:r>
              <w:rPr>
                <w:rFonts w:hint="default" w:ascii="Times New Roman" w:hAnsi="Times New Roman" w:eastAsia="宋体" w:cs="Times New Roman"/>
                <w:color w:val="auto"/>
                <w:kern w:val="0"/>
                <w:sz w:val="24"/>
                <w:szCs w:val="24"/>
                <w:highlight w:val="none"/>
              </w:rPr>
              <w:t>段）水环境保护规划（2</w:t>
            </w:r>
            <w:r>
              <w:rPr>
                <w:rFonts w:hint="eastAsia" w:cs="Times New Roman"/>
                <w:color w:val="auto"/>
                <w:kern w:val="0"/>
                <w:sz w:val="24"/>
                <w:szCs w:val="24"/>
                <w:highlight w:val="none"/>
                <w:lang w:val="en-US" w:eastAsia="zh-CN"/>
              </w:rPr>
              <w:t>009</w:t>
            </w:r>
            <w:r>
              <w:rPr>
                <w:rFonts w:hint="default" w:ascii="Times New Roman" w:hAnsi="Times New Roman" w:eastAsia="宋体" w:cs="Times New Roman"/>
                <w:color w:val="auto"/>
                <w:kern w:val="0"/>
                <w:sz w:val="24"/>
                <w:szCs w:val="24"/>
                <w:highlight w:val="none"/>
              </w:rPr>
              <w:t>~2030）》中对重点污染控制区的水环境保护策略符合性分析详见</w:t>
            </w:r>
            <w:r>
              <w:rPr>
                <w:rFonts w:hint="eastAsia" w:cs="Times New Roman"/>
                <w:color w:val="auto"/>
                <w:kern w:val="0"/>
                <w:sz w:val="24"/>
                <w:szCs w:val="24"/>
                <w:highlight w:val="none"/>
                <w:lang w:val="en-US" w:eastAsia="zh-CN"/>
              </w:rPr>
              <w:t>下表</w:t>
            </w:r>
            <w:r>
              <w:rPr>
                <w:rFonts w:hint="default" w:ascii="Times New Roman" w:hAnsi="Times New Roman" w:eastAsia="宋体" w:cs="Times New Roman"/>
                <w:color w:val="auto"/>
                <w:kern w:val="0"/>
                <w:sz w:val="24"/>
                <w:szCs w:val="24"/>
                <w:highlight w:val="none"/>
              </w:rPr>
              <w:t>。</w:t>
            </w:r>
          </w:p>
          <w:p w14:paraId="14E7568C">
            <w:pPr>
              <w:keepNext w:val="0"/>
              <w:keepLines w:val="0"/>
              <w:widowControl/>
              <w:suppressLineNumbers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w:t>
            </w:r>
            <w:r>
              <w:rPr>
                <w:rFonts w:hint="eastAsia" w:cs="Times New Roman"/>
                <w:b/>
                <w:bCs/>
                <w:color w:val="auto"/>
                <w:kern w:val="0"/>
                <w:sz w:val="21"/>
                <w:szCs w:val="21"/>
                <w:highlight w:val="none"/>
                <w:lang w:val="en-US" w:eastAsia="zh-CN"/>
              </w:rPr>
              <w:t>7</w:t>
            </w:r>
            <w:r>
              <w:rPr>
                <w:rFonts w:hint="default" w:ascii="Times New Roman" w:hAnsi="Times New Roman" w:eastAsia="宋体" w:cs="Times New Roman"/>
                <w:b/>
                <w:bCs/>
                <w:color w:val="auto"/>
                <w:kern w:val="0"/>
                <w:sz w:val="21"/>
                <w:szCs w:val="21"/>
                <w:highlight w:val="none"/>
              </w:rPr>
              <w:t xml:space="preserve">  项目选址与《牛栏江流域（</w:t>
            </w:r>
            <w:r>
              <w:rPr>
                <w:rFonts w:hint="eastAsia" w:cs="Times New Roman"/>
                <w:b/>
                <w:bCs/>
                <w:color w:val="auto"/>
                <w:kern w:val="0"/>
                <w:sz w:val="21"/>
                <w:szCs w:val="21"/>
                <w:highlight w:val="none"/>
                <w:lang w:val="en-US" w:eastAsia="zh-CN"/>
              </w:rPr>
              <w:t>昆明</w:t>
            </w:r>
            <w:r>
              <w:rPr>
                <w:rFonts w:hint="default" w:ascii="Times New Roman" w:hAnsi="Times New Roman" w:eastAsia="宋体" w:cs="Times New Roman"/>
                <w:b/>
                <w:bCs/>
                <w:color w:val="auto"/>
                <w:kern w:val="0"/>
                <w:sz w:val="21"/>
                <w:szCs w:val="21"/>
                <w:highlight w:val="none"/>
              </w:rPr>
              <w:t>段）水环境保护规划》对照分析</w:t>
            </w:r>
          </w:p>
          <w:tbl>
            <w:tblPr>
              <w:tblStyle w:val="30"/>
              <w:tblW w:w="7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2763"/>
              <w:gridCol w:w="3703"/>
              <w:gridCol w:w="772"/>
            </w:tblGrid>
            <w:tr w14:paraId="4FF5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27" w:type="dxa"/>
                  <w:noWrap w:val="0"/>
                  <w:vAlign w:val="center"/>
                </w:tcPr>
                <w:p w14:paraId="0D17F5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763" w:type="dxa"/>
                  <w:noWrap w:val="0"/>
                  <w:vAlign w:val="center"/>
                </w:tcPr>
                <w:p w14:paraId="5C7418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《牛栏江流域（</w:t>
                  </w:r>
                  <w:r>
                    <w:rPr>
                      <w:rFonts w:hint="default" w:ascii="Times New Roman" w:hAnsi="Times New Roman" w:eastAsia="宋体" w:cs="Times New Roman"/>
                      <w:color w:val="auto"/>
                      <w:sz w:val="21"/>
                      <w:szCs w:val="21"/>
                      <w:highlight w:val="none"/>
                      <w:lang w:val="en-US" w:eastAsia="zh-CN"/>
                    </w:rPr>
                    <w:t>昆明</w:t>
                  </w:r>
                  <w:r>
                    <w:rPr>
                      <w:rFonts w:hint="default" w:ascii="Times New Roman" w:hAnsi="Times New Roman" w:eastAsia="宋体" w:cs="Times New Roman"/>
                      <w:color w:val="auto"/>
                      <w:sz w:val="21"/>
                      <w:szCs w:val="21"/>
                      <w:highlight w:val="none"/>
                    </w:rPr>
                    <w:t>段）水环境保护规划》选址条件</w:t>
                  </w:r>
                </w:p>
              </w:tc>
              <w:tc>
                <w:tcPr>
                  <w:tcW w:w="3703" w:type="dxa"/>
                  <w:noWrap w:val="0"/>
                  <w:vAlign w:val="center"/>
                </w:tcPr>
                <w:p w14:paraId="0F2A21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本项目实际情况</w:t>
                  </w:r>
                </w:p>
              </w:tc>
              <w:tc>
                <w:tcPr>
                  <w:tcW w:w="772" w:type="dxa"/>
                  <w:noWrap w:val="0"/>
                  <w:vAlign w:val="center"/>
                </w:tcPr>
                <w:p w14:paraId="7D4257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54A5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527" w:type="dxa"/>
                  <w:vMerge w:val="restart"/>
                  <w:noWrap w:val="0"/>
                  <w:vAlign w:val="center"/>
                </w:tcPr>
                <w:p w14:paraId="032DB9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763" w:type="dxa"/>
                  <w:noWrap w:val="0"/>
                  <w:vAlign w:val="center"/>
                </w:tcPr>
                <w:p w14:paraId="2CE1DB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加强对重点工业污染源的监督，确保牛栏江流域（</w:t>
                  </w:r>
                  <w:r>
                    <w:rPr>
                      <w:rFonts w:hint="default" w:ascii="Times New Roman" w:hAnsi="Times New Roman" w:eastAsia="宋体" w:cs="Times New Roman"/>
                      <w:color w:val="auto"/>
                      <w:sz w:val="21"/>
                      <w:szCs w:val="21"/>
                      <w:highlight w:val="none"/>
                      <w:lang w:val="en-US" w:eastAsia="zh-CN"/>
                    </w:rPr>
                    <w:t>昆明</w:t>
                  </w:r>
                  <w:r>
                    <w:rPr>
                      <w:rFonts w:hint="default" w:ascii="Times New Roman" w:hAnsi="Times New Roman" w:eastAsia="宋体" w:cs="Times New Roman"/>
                      <w:color w:val="auto"/>
                      <w:sz w:val="21"/>
                      <w:szCs w:val="21"/>
                      <w:highlight w:val="none"/>
                    </w:rPr>
                    <w:t>段）内重点企业污水稳定达标排放并实现“零排放”。</w:t>
                  </w:r>
                </w:p>
              </w:tc>
              <w:tc>
                <w:tcPr>
                  <w:tcW w:w="3703" w:type="dxa"/>
                  <w:noWrap w:val="0"/>
                  <w:vAlign w:val="center"/>
                </w:tcPr>
                <w:p w14:paraId="1243E9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zh-CN" w:eastAsia="zh-CN" w:bidi="ar"/>
                    </w:rPr>
                    <w:t>项目</w:t>
                  </w:r>
                  <w:r>
                    <w:rPr>
                      <w:rFonts w:hint="eastAsia" w:cs="Times New Roman"/>
                      <w:color w:val="auto"/>
                      <w:kern w:val="2"/>
                      <w:sz w:val="21"/>
                      <w:szCs w:val="21"/>
                      <w:highlight w:val="none"/>
                      <w:lang w:val="en-US" w:eastAsia="zh-CN" w:bidi="ar"/>
                    </w:rPr>
                    <w:t>无生产废水产生，生活污水</w:t>
                  </w:r>
                  <w:r>
                    <w:rPr>
                      <w:rFonts w:hint="eastAsia" w:ascii="Times New Roman" w:hAnsi="Times New Roman" w:eastAsia="宋体" w:cs="Times New Roman"/>
                      <w:color w:val="auto"/>
                      <w:kern w:val="2"/>
                      <w:sz w:val="21"/>
                      <w:szCs w:val="21"/>
                      <w:highlight w:val="none"/>
                      <w:lang w:val="en-US" w:eastAsia="zh-CN" w:bidi="ar"/>
                    </w:rPr>
                    <w:t>经处理达标后，用于</w:t>
                  </w:r>
                  <w:r>
                    <w:rPr>
                      <w:rFonts w:hint="eastAsia" w:cs="Times New Roman"/>
                      <w:color w:val="auto"/>
                      <w:kern w:val="2"/>
                      <w:sz w:val="21"/>
                      <w:szCs w:val="21"/>
                      <w:highlight w:val="none"/>
                      <w:lang w:val="en-US" w:eastAsia="zh-CN" w:bidi="ar"/>
                    </w:rPr>
                    <w:t>绿化及</w:t>
                  </w:r>
                  <w:r>
                    <w:rPr>
                      <w:rFonts w:hint="eastAsia" w:ascii="Times New Roman" w:hAnsi="Times New Roman" w:eastAsia="宋体" w:cs="Times New Roman"/>
                      <w:color w:val="auto"/>
                      <w:kern w:val="2"/>
                      <w:sz w:val="21"/>
                      <w:szCs w:val="21"/>
                      <w:highlight w:val="none"/>
                      <w:lang w:val="en-US" w:eastAsia="zh-CN" w:bidi="ar"/>
                    </w:rPr>
                    <w:t>道路洒水</w:t>
                  </w:r>
                  <w:r>
                    <w:rPr>
                      <w:rFonts w:hint="eastAsia" w:cs="Times New Roman"/>
                      <w:color w:val="auto"/>
                      <w:kern w:val="2"/>
                      <w:sz w:val="21"/>
                      <w:szCs w:val="21"/>
                      <w:highlight w:val="none"/>
                      <w:lang w:val="en-US" w:eastAsia="zh-CN" w:bidi="ar"/>
                    </w:rPr>
                    <w:t>降尘</w:t>
                  </w:r>
                  <w:r>
                    <w:rPr>
                      <w:rFonts w:hint="eastAsia" w:ascii="Times New Roman" w:hAnsi="Times New Roman" w:eastAsia="宋体" w:cs="Times New Roman"/>
                      <w:color w:val="auto"/>
                      <w:kern w:val="2"/>
                      <w:sz w:val="21"/>
                      <w:szCs w:val="21"/>
                      <w:highlight w:val="none"/>
                      <w:lang w:val="en-US" w:eastAsia="zh-CN" w:bidi="ar"/>
                    </w:rPr>
                    <w:t>，不外排</w:t>
                  </w:r>
                  <w:r>
                    <w:rPr>
                      <w:rFonts w:hint="eastAsia" w:cs="Times New Roman"/>
                      <w:color w:val="auto"/>
                      <w:sz w:val="21"/>
                      <w:szCs w:val="21"/>
                      <w:highlight w:val="none"/>
                      <w:lang w:eastAsia="zh-CN"/>
                    </w:rPr>
                    <w:t>。</w:t>
                  </w:r>
                </w:p>
              </w:tc>
              <w:tc>
                <w:tcPr>
                  <w:tcW w:w="772" w:type="dxa"/>
                  <w:noWrap w:val="0"/>
                  <w:vAlign w:val="center"/>
                </w:tcPr>
                <w:p w14:paraId="5B10E7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AED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527" w:type="dxa"/>
                  <w:vMerge w:val="continue"/>
                  <w:noWrap w:val="0"/>
                  <w:vAlign w:val="center"/>
                </w:tcPr>
                <w:p w14:paraId="27B0BF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2763" w:type="dxa"/>
                  <w:noWrap w:val="0"/>
                  <w:vAlign w:val="center"/>
                </w:tcPr>
                <w:p w14:paraId="5EF118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固体废弃物最大程度重复利用和安全处置，消除工业企业的环境安全隐患，确保环保设施的正常运行，杜绝工业企业偷排、漏排污染物的现象。</w:t>
                  </w:r>
                </w:p>
              </w:tc>
              <w:tc>
                <w:tcPr>
                  <w:tcW w:w="3703" w:type="dxa"/>
                  <w:noWrap w:val="0"/>
                  <w:vAlign w:val="center"/>
                </w:tcPr>
                <w:p w14:paraId="43893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项目不合格</w:t>
                  </w:r>
                  <w:r>
                    <w:rPr>
                      <w:rFonts w:hint="eastAsia" w:cs="Times New Roman"/>
                      <w:color w:val="auto"/>
                      <w:sz w:val="21"/>
                      <w:szCs w:val="21"/>
                      <w:highlight w:val="none"/>
                      <w:lang w:val="en-US" w:eastAsia="zh-CN"/>
                    </w:rPr>
                    <w:t>产品</w:t>
                  </w:r>
                  <w:r>
                    <w:rPr>
                      <w:rFonts w:hint="eastAsia" w:cs="Times New Roman"/>
                      <w:b w:val="0"/>
                      <w:bCs/>
                      <w:snapToGrid w:val="0"/>
                      <w:color w:val="auto"/>
                      <w:kern w:val="0"/>
                      <w:sz w:val="21"/>
                      <w:szCs w:val="21"/>
                      <w:highlight w:val="none"/>
                      <w:vertAlign w:val="baseline"/>
                      <w:lang w:val="en-US" w:eastAsia="zh-CN" w:bidi="ar-SA"/>
                    </w:rPr>
                    <w:t>、</w:t>
                  </w:r>
                  <w:r>
                    <w:rPr>
                      <w:rFonts w:hint="default" w:ascii="Times New Roman" w:hAnsi="Times New Roman" w:eastAsia="宋体" w:cs="Times New Roman"/>
                      <w:color w:val="auto"/>
                      <w:sz w:val="21"/>
                      <w:szCs w:val="21"/>
                      <w:highlight w:val="none"/>
                      <w:lang w:val="en-US" w:eastAsia="zh-CN"/>
                    </w:rPr>
                    <w:t>废包装材料收集暂存于</w:t>
                  </w:r>
                  <w:r>
                    <w:rPr>
                      <w:rFonts w:hint="eastAsia" w:ascii="Times New Roman" w:hAnsi="Times New Roman" w:eastAsia="宋体" w:cs="宋体"/>
                      <w:color w:val="auto"/>
                      <w:szCs w:val="21"/>
                      <w:lang w:val="en-US" w:eastAsia="zh-CN"/>
                    </w:rPr>
                    <w:t>一般</w:t>
                  </w:r>
                  <w:r>
                    <w:rPr>
                      <w:rFonts w:hint="eastAsia" w:cs="宋体"/>
                      <w:color w:val="auto"/>
                      <w:szCs w:val="21"/>
                      <w:lang w:val="en-US" w:eastAsia="zh-CN"/>
                    </w:rPr>
                    <w:t>固废</w:t>
                  </w:r>
                  <w:r>
                    <w:rPr>
                      <w:rFonts w:hint="eastAsia" w:ascii="Times New Roman" w:hAnsi="Times New Roman" w:eastAsia="宋体" w:cs="宋体"/>
                      <w:color w:val="auto"/>
                      <w:szCs w:val="21"/>
                      <w:lang w:val="en-US" w:eastAsia="zh-CN"/>
                    </w:rPr>
                    <w:t>暂存间</w:t>
                  </w:r>
                  <w:r>
                    <w:rPr>
                      <w:rFonts w:hint="default" w:ascii="Times New Roman" w:hAnsi="Times New Roman" w:eastAsia="宋体" w:cs="Times New Roman"/>
                      <w:color w:val="auto"/>
                      <w:sz w:val="21"/>
                      <w:szCs w:val="21"/>
                      <w:highlight w:val="none"/>
                      <w:lang w:val="en-US" w:eastAsia="zh-CN"/>
                    </w:rPr>
                    <w:t>，定期出售给废品收购商。化粪池及污水处理站污泥委托当地环卫部门清掏清运处置。生活垃圾集中收集于垃圾桶内，定期委托环卫部门清运处置。食堂泔水、隔油池废油脂清掏于带盖胶桶内，定期委托有资质单位清运处置。废活性炭、废UV灯管、废矿物油分类收集后暂存于危险废物暂存间内，定期委托有资质的单位清运处置</w:t>
                  </w:r>
                  <w:r>
                    <w:rPr>
                      <w:rFonts w:hint="default" w:ascii="Times New Roman" w:hAnsi="Times New Roman" w:eastAsia="宋体" w:cs="Times New Roman"/>
                      <w:color w:val="auto"/>
                      <w:sz w:val="21"/>
                      <w:szCs w:val="21"/>
                      <w:highlight w:val="none"/>
                    </w:rPr>
                    <w:t>。固废处置率为100%</w:t>
                  </w:r>
                  <w:r>
                    <w:rPr>
                      <w:rFonts w:hint="eastAsia" w:cs="Times New Roman"/>
                      <w:color w:val="auto"/>
                      <w:sz w:val="21"/>
                      <w:szCs w:val="21"/>
                      <w:highlight w:val="none"/>
                      <w:lang w:eastAsia="zh-CN"/>
                    </w:rPr>
                    <w:t>。</w:t>
                  </w:r>
                </w:p>
              </w:tc>
              <w:tc>
                <w:tcPr>
                  <w:tcW w:w="772" w:type="dxa"/>
                  <w:noWrap w:val="0"/>
                  <w:vAlign w:val="center"/>
                </w:tcPr>
                <w:p w14:paraId="23FB8F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F7F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527" w:type="dxa"/>
                  <w:noWrap w:val="0"/>
                  <w:vAlign w:val="center"/>
                </w:tcPr>
                <w:p w14:paraId="3CA784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763" w:type="dxa"/>
                  <w:noWrap w:val="0"/>
                  <w:vAlign w:val="center"/>
                </w:tcPr>
                <w:p w14:paraId="064BB3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shd w:val="clear" w:color="auto" w:fill="auto"/>
                    </w:rPr>
                    <w:t>建设再生水回用系统，污染控制区内不得建设不符合国家产业政策的工业项目及高污染工业项目</w:t>
                  </w:r>
                  <w:r>
                    <w:rPr>
                      <w:rFonts w:hint="eastAsia" w:cs="Times New Roman"/>
                      <w:color w:val="auto"/>
                      <w:sz w:val="21"/>
                      <w:szCs w:val="21"/>
                      <w:highlight w:val="none"/>
                      <w:shd w:val="clear" w:color="auto" w:fill="auto"/>
                      <w:lang w:eastAsia="zh-CN"/>
                    </w:rPr>
                    <w:t>。</w:t>
                  </w:r>
                </w:p>
              </w:tc>
              <w:tc>
                <w:tcPr>
                  <w:tcW w:w="3703" w:type="dxa"/>
                  <w:noWrap w:val="0"/>
                  <w:vAlign w:val="center"/>
                </w:tcPr>
                <w:p w14:paraId="03532F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项目不属于高污染工业项目，</w:t>
                  </w:r>
                  <w:r>
                    <w:rPr>
                      <w:rStyle w:val="37"/>
                      <w:rFonts w:hint="default" w:ascii="Times New Roman" w:hAnsi="Times New Roman" w:eastAsia="宋体" w:cs="Times New Roman"/>
                      <w:color w:val="auto"/>
                      <w:sz w:val="21"/>
                      <w:szCs w:val="21"/>
                      <w:highlight w:val="none"/>
                    </w:rPr>
                    <w:t>不属于限制类和淘汰类项目</w:t>
                  </w:r>
                  <w:r>
                    <w:rPr>
                      <w:rFonts w:hint="default" w:ascii="Times New Roman" w:hAnsi="Times New Roman" w:eastAsia="宋体" w:cs="Times New Roman"/>
                      <w:color w:val="auto"/>
                      <w:sz w:val="21"/>
                      <w:szCs w:val="21"/>
                      <w:highlight w:val="none"/>
                    </w:rPr>
                    <w:t>，符合国家产业政策</w:t>
                  </w:r>
                  <w:r>
                    <w:rPr>
                      <w:rFonts w:hint="eastAsia" w:cs="Times New Roman"/>
                      <w:color w:val="auto"/>
                      <w:sz w:val="21"/>
                      <w:szCs w:val="21"/>
                      <w:highlight w:val="none"/>
                      <w:lang w:eastAsia="zh-CN"/>
                    </w:rPr>
                    <w:t>。</w:t>
                  </w:r>
                </w:p>
              </w:tc>
              <w:tc>
                <w:tcPr>
                  <w:tcW w:w="772" w:type="dxa"/>
                  <w:noWrap w:val="0"/>
                  <w:vAlign w:val="center"/>
                </w:tcPr>
                <w:p w14:paraId="6E8496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2B8D7217">
            <w:pPr>
              <w:pStyle w:val="41"/>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综上所述，项目</w:t>
            </w:r>
            <w:r>
              <w:rPr>
                <w:rFonts w:hint="eastAsia" w:ascii="Times New Roman" w:hAnsi="Times New Roman" w:cs="Times New Roman"/>
                <w:color w:val="auto"/>
                <w:sz w:val="24"/>
                <w:szCs w:val="24"/>
                <w:highlight w:val="none"/>
                <w:lang w:val="en-US" w:eastAsia="zh-CN"/>
              </w:rPr>
              <w:t>与</w:t>
            </w:r>
            <w:r>
              <w:rPr>
                <w:rFonts w:hint="default" w:ascii="Times New Roman" w:hAnsi="Times New Roman" w:cs="Times New Roman"/>
                <w:color w:val="auto"/>
                <w:sz w:val="24"/>
                <w:szCs w:val="24"/>
                <w:highlight w:val="none"/>
                <w:lang w:val="en-US" w:eastAsia="zh-CN"/>
              </w:rPr>
              <w:t>《牛栏江（昆明段）水环境保护规划（2011~2030）》</w:t>
            </w:r>
            <w:r>
              <w:rPr>
                <w:rFonts w:hint="eastAsia" w:ascii="Times New Roman" w:hAnsi="Times New Roman" w:cs="Times New Roman"/>
                <w:color w:val="auto"/>
                <w:sz w:val="24"/>
                <w:szCs w:val="24"/>
                <w:highlight w:val="none"/>
                <w:lang w:val="en-US" w:eastAsia="zh-CN"/>
              </w:rPr>
              <w:t>相符</w:t>
            </w:r>
            <w:r>
              <w:rPr>
                <w:rFonts w:hint="default" w:ascii="Times New Roman" w:hAnsi="Times New Roman" w:cs="Times New Roman"/>
                <w:color w:val="auto"/>
                <w:sz w:val="24"/>
                <w:szCs w:val="24"/>
                <w:highlight w:val="none"/>
                <w:lang w:val="en-US" w:eastAsia="zh-CN"/>
              </w:rPr>
              <w:t>。</w:t>
            </w:r>
          </w:p>
          <w:p w14:paraId="3ABEA37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color w:val="auto"/>
                <w:kern w:val="0"/>
                <w:sz w:val="24"/>
                <w:highlight w:val="none"/>
              </w:rPr>
            </w:pPr>
            <w:r>
              <w:rPr>
                <w:rFonts w:hint="eastAsia"/>
                <w:b/>
                <w:bCs/>
                <w:color w:val="auto"/>
                <w:kern w:val="0"/>
                <w:sz w:val="24"/>
                <w:highlight w:val="none"/>
                <w:lang w:val="en-US" w:eastAsia="zh-CN"/>
              </w:rPr>
              <w:t>7、</w:t>
            </w:r>
            <w:r>
              <w:rPr>
                <w:rFonts w:hint="default"/>
                <w:b/>
                <w:bCs/>
                <w:color w:val="auto"/>
                <w:kern w:val="0"/>
                <w:sz w:val="24"/>
                <w:highlight w:val="none"/>
              </w:rPr>
              <w:t>与《牛栏江流域（寻甸段）水环境保护规划</w:t>
            </w:r>
            <w:r>
              <w:rPr>
                <w:rFonts w:hint="default" w:ascii="Times New Roman" w:hAnsi="Times New Roman" w:eastAsia="宋体" w:cs="Times New Roman"/>
                <w:b/>
                <w:bCs/>
                <w:color w:val="auto"/>
                <w:kern w:val="0"/>
                <w:sz w:val="24"/>
                <w:szCs w:val="24"/>
                <w:highlight w:val="none"/>
              </w:rPr>
              <w:t>（20</w:t>
            </w:r>
            <w:r>
              <w:rPr>
                <w:rFonts w:hint="eastAsia" w:cs="Times New Roman"/>
                <w:b/>
                <w:bCs/>
                <w:color w:val="auto"/>
                <w:kern w:val="0"/>
                <w:sz w:val="24"/>
                <w:szCs w:val="24"/>
                <w:highlight w:val="none"/>
                <w:lang w:val="en-US" w:eastAsia="zh-CN"/>
              </w:rPr>
              <w:t>09</w:t>
            </w:r>
            <w:r>
              <w:rPr>
                <w:rFonts w:hint="default" w:ascii="Times New Roman" w:hAnsi="Times New Roman" w:eastAsia="宋体" w:cs="Times New Roman"/>
                <w:b/>
                <w:bCs/>
                <w:color w:val="auto"/>
                <w:kern w:val="0"/>
                <w:sz w:val="24"/>
                <w:szCs w:val="24"/>
                <w:highlight w:val="none"/>
              </w:rPr>
              <w:t>~2030）</w:t>
            </w:r>
            <w:r>
              <w:rPr>
                <w:rFonts w:hint="default"/>
                <w:b/>
                <w:bCs/>
                <w:color w:val="auto"/>
                <w:kern w:val="0"/>
                <w:sz w:val="24"/>
                <w:highlight w:val="none"/>
              </w:rPr>
              <w:t>》的相符性分析</w:t>
            </w:r>
          </w:p>
          <w:p w14:paraId="607C755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根据《牛栏江流域（寻甸段）水环境保护规划》分区结果，牛栏江流域（寻甸段）共分为三个区进行保护，水源保护核心区、重点污染控制区、重点水源涵养区，各分区范围节点如下：</w:t>
            </w:r>
          </w:p>
          <w:p w14:paraId="3D18A01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64E67C5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②重点污染控制区范围指水体保护核心区外，主要入江支流水域外延3000m的区域和流域范围内的坝区，若区域范围超过一级山脊，按一级山脊线划定。</w:t>
            </w:r>
          </w:p>
          <w:p w14:paraId="1AD914D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③重点水源涵养区范围指流域范围内除水源保护核心区、重点污染控制区以外的区域。</w:t>
            </w:r>
          </w:p>
          <w:p w14:paraId="4AC37E2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rPr>
              <w:t>本项目位于寻甸特色产业园区</w:t>
            </w:r>
            <w:r>
              <w:rPr>
                <w:rFonts w:hint="eastAsia"/>
                <w:color w:val="auto"/>
                <w:kern w:val="0"/>
                <w:sz w:val="24"/>
                <w:highlight w:val="none"/>
                <w:lang w:val="en-US" w:eastAsia="zh-CN"/>
              </w:rPr>
              <w:t>羊街</w:t>
            </w:r>
            <w:r>
              <w:rPr>
                <w:rFonts w:hint="default"/>
                <w:color w:val="auto"/>
                <w:kern w:val="0"/>
                <w:sz w:val="24"/>
                <w:highlight w:val="none"/>
              </w:rPr>
              <w:t>片区，属重点污染控制区。对照《牛栏江（寻甸段）水环境保护规划（2011~2030）》对重点污染控制区的水环境保护策略，项目符合性分析见</w:t>
            </w:r>
            <w:r>
              <w:rPr>
                <w:rFonts w:hint="eastAsia"/>
                <w:color w:val="auto"/>
                <w:kern w:val="0"/>
                <w:sz w:val="24"/>
                <w:highlight w:val="none"/>
                <w:lang w:val="en-US" w:eastAsia="zh-CN"/>
              </w:rPr>
              <w:t>下表</w:t>
            </w:r>
            <w:r>
              <w:rPr>
                <w:rFonts w:hint="default"/>
                <w:color w:val="auto"/>
                <w:kern w:val="0"/>
                <w:sz w:val="24"/>
                <w:highlight w:val="none"/>
              </w:rPr>
              <w:t>。</w:t>
            </w:r>
          </w:p>
          <w:p w14:paraId="100B9959">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表1-</w:t>
            </w:r>
            <w:r>
              <w:rPr>
                <w:rFonts w:hint="eastAsia"/>
                <w:b/>
                <w:bCs/>
                <w:color w:val="auto"/>
                <w:kern w:val="0"/>
                <w:szCs w:val="21"/>
                <w:highlight w:val="none"/>
                <w:lang w:val="en-US" w:eastAsia="zh-CN"/>
              </w:rPr>
              <w:t>8</w:t>
            </w:r>
            <w:r>
              <w:rPr>
                <w:rFonts w:hint="default"/>
                <w:b/>
                <w:bCs/>
                <w:color w:val="auto"/>
                <w:kern w:val="0"/>
                <w:szCs w:val="21"/>
                <w:highlight w:val="none"/>
              </w:rPr>
              <w:t xml:space="preserve">  </w:t>
            </w:r>
            <w:r>
              <w:rPr>
                <w:rFonts w:hint="eastAsia"/>
                <w:b/>
                <w:bCs/>
                <w:color w:val="auto"/>
                <w:kern w:val="0"/>
                <w:szCs w:val="21"/>
                <w:highlight w:val="none"/>
                <w:lang w:val="en-US" w:eastAsia="zh-CN"/>
              </w:rPr>
              <w:t>与牛栏江（寻甸段）水环境保护规划（2011~2030）</w:t>
            </w:r>
            <w:r>
              <w:rPr>
                <w:rFonts w:hint="default"/>
                <w:b/>
                <w:bCs/>
                <w:color w:val="auto"/>
                <w:kern w:val="0"/>
                <w:szCs w:val="21"/>
                <w:highlight w:val="none"/>
              </w:rPr>
              <w:t>对照分析表</w:t>
            </w:r>
          </w:p>
          <w:tbl>
            <w:tblPr>
              <w:tblStyle w:val="30"/>
              <w:tblW w:w="7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4033"/>
              <w:gridCol w:w="2560"/>
              <w:gridCol w:w="667"/>
            </w:tblGrid>
            <w:tr w14:paraId="470B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05" w:type="dxa"/>
                  <w:noWrap w:val="0"/>
                  <w:vAlign w:val="center"/>
                </w:tcPr>
                <w:p w14:paraId="722B8FB5">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序号</w:t>
                  </w:r>
                </w:p>
              </w:tc>
              <w:tc>
                <w:tcPr>
                  <w:tcW w:w="4033" w:type="dxa"/>
                  <w:noWrap w:val="0"/>
                  <w:vAlign w:val="center"/>
                </w:tcPr>
                <w:p w14:paraId="0518E733">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《牛栏江流域（寻甸段）水环境保护规划》重点污染控制区水环境保护策略</w:t>
                  </w:r>
                </w:p>
              </w:tc>
              <w:tc>
                <w:tcPr>
                  <w:tcW w:w="2560" w:type="dxa"/>
                  <w:noWrap w:val="0"/>
                  <w:vAlign w:val="center"/>
                </w:tcPr>
                <w:p w14:paraId="5D71068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该项目情况</w:t>
                  </w:r>
                </w:p>
              </w:tc>
              <w:tc>
                <w:tcPr>
                  <w:tcW w:w="667" w:type="dxa"/>
                  <w:noWrap w:val="0"/>
                  <w:vAlign w:val="center"/>
                </w:tcPr>
                <w:p w14:paraId="62B2A03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相符性</w:t>
                  </w:r>
                </w:p>
              </w:tc>
            </w:tr>
            <w:tr w14:paraId="70F2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05" w:type="dxa"/>
                  <w:noWrap w:val="0"/>
                  <w:vAlign w:val="center"/>
                </w:tcPr>
                <w:p w14:paraId="7211DDD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1</w:t>
                  </w:r>
                </w:p>
              </w:tc>
              <w:tc>
                <w:tcPr>
                  <w:tcW w:w="4033" w:type="dxa"/>
                  <w:noWrap w:val="0"/>
                  <w:vAlign w:val="center"/>
                </w:tcPr>
                <w:p w14:paraId="178F6374">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560" w:type="dxa"/>
                  <w:noWrap w:val="0"/>
                  <w:vAlign w:val="center"/>
                </w:tcPr>
                <w:p w14:paraId="6F1895CA">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项目</w:t>
                  </w:r>
                  <w:r>
                    <w:rPr>
                      <w:rFonts w:hint="eastAsia"/>
                      <w:color w:val="auto"/>
                      <w:kern w:val="0"/>
                      <w:szCs w:val="21"/>
                      <w:highlight w:val="none"/>
                      <w:lang w:eastAsia="zh-CN"/>
                    </w:rPr>
                    <w:t>生活</w:t>
                  </w:r>
                  <w:r>
                    <w:rPr>
                      <w:rFonts w:hint="eastAsia"/>
                      <w:color w:val="auto"/>
                      <w:kern w:val="0"/>
                      <w:szCs w:val="21"/>
                      <w:highlight w:val="none"/>
                      <w:lang w:val="en-US" w:eastAsia="zh-CN"/>
                    </w:rPr>
                    <w:t>污水</w:t>
                  </w:r>
                  <w:r>
                    <w:rPr>
                      <w:rFonts w:hint="eastAsia"/>
                      <w:color w:val="auto"/>
                      <w:kern w:val="0"/>
                      <w:szCs w:val="21"/>
                      <w:highlight w:val="none"/>
                      <w:lang w:eastAsia="zh-CN"/>
                    </w:rPr>
                    <w:t>经</w:t>
                  </w:r>
                  <w:r>
                    <w:rPr>
                      <w:rFonts w:hint="eastAsia"/>
                      <w:color w:val="auto"/>
                      <w:kern w:val="0"/>
                      <w:szCs w:val="21"/>
                      <w:highlight w:val="none"/>
                      <w:lang w:val="en-US" w:eastAsia="zh-CN"/>
                    </w:rPr>
                    <w:t>处理达《城市污水再生利用 城市杂用水水质》（GB/T18920-2020）中城市绿化、道路清扫、消防、建筑施工标准</w:t>
                  </w:r>
                  <w:r>
                    <w:rPr>
                      <w:rFonts w:hint="eastAsia"/>
                      <w:color w:val="auto"/>
                      <w:sz w:val="21"/>
                      <w:szCs w:val="21"/>
                      <w:highlight w:val="none"/>
                      <w:lang w:val="en-US" w:eastAsia="zh-CN"/>
                    </w:rPr>
                    <w:t>后</w:t>
                  </w:r>
                  <w:r>
                    <w:rPr>
                      <w:rFonts w:hint="default" w:hAnsi="Times New Roman"/>
                      <w:color w:val="auto"/>
                      <w:sz w:val="21"/>
                      <w:szCs w:val="21"/>
                      <w:highlight w:val="none"/>
                    </w:rPr>
                    <w:t>回用于</w:t>
                  </w:r>
                  <w:r>
                    <w:rPr>
                      <w:rFonts w:hint="eastAsia" w:hAnsi="Times New Roman"/>
                      <w:color w:val="auto"/>
                      <w:sz w:val="21"/>
                      <w:szCs w:val="21"/>
                      <w:highlight w:val="none"/>
                    </w:rPr>
                    <w:t>厂</w:t>
                  </w:r>
                  <w:r>
                    <w:rPr>
                      <w:rFonts w:hint="default" w:hAnsi="Times New Roman"/>
                      <w:color w:val="auto"/>
                      <w:sz w:val="21"/>
                      <w:szCs w:val="21"/>
                      <w:highlight w:val="none"/>
                    </w:rPr>
                    <w:t>区绿化</w:t>
                  </w:r>
                  <w:r>
                    <w:rPr>
                      <w:rFonts w:hint="eastAsia"/>
                      <w:color w:val="auto"/>
                      <w:sz w:val="21"/>
                      <w:szCs w:val="21"/>
                      <w:highlight w:val="none"/>
                    </w:rPr>
                    <w:t>和道路洒水降尘</w:t>
                  </w:r>
                  <w:r>
                    <w:rPr>
                      <w:rFonts w:hint="default"/>
                      <w:color w:val="auto"/>
                      <w:kern w:val="0"/>
                      <w:szCs w:val="21"/>
                      <w:highlight w:val="none"/>
                    </w:rPr>
                    <w:t>，不外排</w:t>
                  </w:r>
                  <w:r>
                    <w:rPr>
                      <w:rFonts w:hint="eastAsia"/>
                      <w:color w:val="auto"/>
                      <w:kern w:val="0"/>
                      <w:szCs w:val="21"/>
                      <w:highlight w:val="none"/>
                      <w:lang w:eastAsia="zh-CN"/>
                    </w:rPr>
                    <w:t>；</w:t>
                  </w:r>
                  <w:r>
                    <w:rPr>
                      <w:rFonts w:hint="eastAsia" w:ascii="Times New Roman" w:hAnsi="Times New Roman" w:eastAsia="宋体" w:cs="Times New Roman"/>
                      <w:color w:val="auto"/>
                      <w:kern w:val="2"/>
                      <w:sz w:val="21"/>
                      <w:szCs w:val="21"/>
                      <w:highlight w:val="none"/>
                      <w:lang w:val="zh-CN" w:eastAsia="zh-CN" w:bidi="ar"/>
                    </w:rPr>
                    <w:t>项目</w:t>
                  </w:r>
                  <w:r>
                    <w:rPr>
                      <w:rFonts w:hint="eastAsia" w:cs="Times New Roman"/>
                      <w:color w:val="auto"/>
                      <w:kern w:val="2"/>
                      <w:sz w:val="21"/>
                      <w:szCs w:val="21"/>
                      <w:highlight w:val="none"/>
                      <w:lang w:val="en-US" w:eastAsia="zh-CN" w:bidi="ar"/>
                    </w:rPr>
                    <w:t>无</w:t>
                  </w:r>
                  <w:r>
                    <w:rPr>
                      <w:rFonts w:hint="eastAsia" w:ascii="Times New Roman" w:hAnsi="Times New Roman" w:eastAsia="宋体" w:cs="Times New Roman"/>
                      <w:color w:val="auto"/>
                      <w:kern w:val="2"/>
                      <w:sz w:val="21"/>
                      <w:szCs w:val="21"/>
                      <w:highlight w:val="none"/>
                      <w:lang w:val="zh-CN" w:eastAsia="zh-CN" w:bidi="ar"/>
                    </w:rPr>
                    <w:t>生产</w:t>
                  </w:r>
                  <w:r>
                    <w:rPr>
                      <w:rFonts w:hint="eastAsia" w:cs="Times New Roman"/>
                      <w:color w:val="auto"/>
                      <w:kern w:val="2"/>
                      <w:sz w:val="21"/>
                      <w:szCs w:val="21"/>
                      <w:highlight w:val="none"/>
                      <w:lang w:val="en-US" w:eastAsia="zh-CN" w:bidi="ar"/>
                    </w:rPr>
                    <w:t>废水</w:t>
                  </w:r>
                  <w:r>
                    <w:rPr>
                      <w:rFonts w:hint="eastAsia"/>
                      <w:color w:val="auto"/>
                      <w:kern w:val="0"/>
                      <w:szCs w:val="21"/>
                      <w:highlight w:val="none"/>
                      <w:lang w:eastAsia="zh-CN"/>
                    </w:rPr>
                    <w:t>。</w:t>
                  </w:r>
                  <w:r>
                    <w:rPr>
                      <w:rFonts w:hint="default"/>
                      <w:color w:val="auto"/>
                      <w:kern w:val="0"/>
                      <w:szCs w:val="21"/>
                      <w:highlight w:val="none"/>
                    </w:rPr>
                    <w:t>能实现污水“零排放”固废处置率100%。</w:t>
                  </w:r>
                </w:p>
              </w:tc>
              <w:tc>
                <w:tcPr>
                  <w:tcW w:w="667" w:type="dxa"/>
                  <w:noWrap w:val="0"/>
                  <w:vAlign w:val="center"/>
                </w:tcPr>
                <w:p w14:paraId="1081027B">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130F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05" w:type="dxa"/>
                  <w:noWrap w:val="0"/>
                  <w:vAlign w:val="center"/>
                </w:tcPr>
                <w:p w14:paraId="3C743CF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2</w:t>
                  </w:r>
                </w:p>
              </w:tc>
              <w:tc>
                <w:tcPr>
                  <w:tcW w:w="4033" w:type="dxa"/>
                  <w:noWrap w:val="0"/>
                  <w:vAlign w:val="center"/>
                </w:tcPr>
                <w:p w14:paraId="6BC983DC">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建设再生水回用系统，污染控制区内不得建设不符合国家产业政策的工业项目及高污染工业项目；新建工业项目废水不得排放有毒有害物质，改扩建项目不得新增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2560" w:type="dxa"/>
                  <w:noWrap w:val="0"/>
                  <w:vAlign w:val="center"/>
                </w:tcPr>
                <w:p w14:paraId="1D44A24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项目不属于高污染工业项目，项目废水</w:t>
                  </w:r>
                  <w:r>
                    <w:rPr>
                      <w:rFonts w:hint="eastAsia"/>
                      <w:color w:val="auto"/>
                      <w:kern w:val="0"/>
                      <w:szCs w:val="21"/>
                      <w:highlight w:val="none"/>
                      <w:lang w:val="en-US" w:eastAsia="zh-CN"/>
                    </w:rPr>
                    <w:t>不</w:t>
                  </w:r>
                  <w:r>
                    <w:rPr>
                      <w:rFonts w:hint="default"/>
                      <w:color w:val="auto"/>
                      <w:kern w:val="0"/>
                      <w:szCs w:val="21"/>
                      <w:highlight w:val="none"/>
                    </w:rPr>
                    <w:t>外排，不会排放有毒有害物质。</w:t>
                  </w:r>
                </w:p>
              </w:tc>
              <w:tc>
                <w:tcPr>
                  <w:tcW w:w="667" w:type="dxa"/>
                  <w:noWrap w:val="0"/>
                  <w:vAlign w:val="center"/>
                </w:tcPr>
                <w:p w14:paraId="737C1C4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bl>
          <w:p w14:paraId="2407397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0"/>
                <w:highlight w:val="none"/>
                <w:lang w:val="en-US" w:eastAsia="zh-CN" w:bidi="ar-SA"/>
              </w:rPr>
            </w:pPr>
            <w:r>
              <w:rPr>
                <w:rFonts w:hint="eastAsia" w:ascii="宋体" w:hAnsi="宋体" w:eastAsia="宋体" w:cs="宋体"/>
                <w:color w:val="auto"/>
                <w:sz w:val="24"/>
                <w:szCs w:val="24"/>
                <w:highlight w:val="none"/>
              </w:rPr>
              <w:t>由上表</w:t>
            </w:r>
            <w:r>
              <w:rPr>
                <w:rFonts w:hint="eastAsia" w:ascii="宋体" w:hAnsi="宋体" w:cs="宋体"/>
                <w:color w:val="auto"/>
                <w:sz w:val="24"/>
                <w:szCs w:val="24"/>
                <w:highlight w:val="none"/>
                <w:lang w:val="en-US" w:eastAsia="zh-CN"/>
              </w:rPr>
              <w:t>分析</w:t>
            </w:r>
            <w:r>
              <w:rPr>
                <w:rFonts w:hint="eastAsia" w:ascii="宋体" w:hAnsi="宋体" w:eastAsia="宋体" w:cs="宋体"/>
                <w:color w:val="auto"/>
                <w:sz w:val="24"/>
                <w:szCs w:val="24"/>
                <w:highlight w:val="none"/>
              </w:rPr>
              <w:t>可知，</w:t>
            </w:r>
            <w:r>
              <w:rPr>
                <w:rFonts w:hint="default" w:ascii="Times New Roman" w:hAnsi="Times New Roman" w:eastAsia="宋体" w:cs="Times New Roman"/>
                <w:color w:val="auto"/>
                <w:kern w:val="0"/>
                <w:sz w:val="24"/>
                <w:szCs w:val="20"/>
                <w:highlight w:val="none"/>
                <w:lang w:val="en-US" w:eastAsia="zh-CN" w:bidi="ar-SA"/>
              </w:rPr>
              <w:t>项目符合《牛栏江流域（寻甸段）水环境保护规划》对重点污染控制区的相关要求。</w:t>
            </w:r>
          </w:p>
          <w:p w14:paraId="5A30F348">
            <w:pPr>
              <w:pStyle w:val="38"/>
              <w:keepNext w:val="0"/>
              <w:keepLines w:val="0"/>
              <w:suppressLineNumbers w:val="0"/>
              <w:spacing w:before="0" w:beforeAutospacing="0" w:after="0" w:afterAutospacing="0"/>
              <w:ind w:left="0" w:right="0"/>
              <w:jc w:val="both"/>
              <w:rPr>
                <w:rFonts w:hint="eastAsia"/>
                <w:b/>
                <w:bCs/>
                <w:color w:val="auto"/>
                <w:sz w:val="24"/>
                <w:szCs w:val="24"/>
                <w:highlight w:val="none"/>
                <w:lang w:val="en-US" w:eastAsia="zh-CN"/>
              </w:rPr>
            </w:pPr>
            <w:r>
              <w:rPr>
                <w:rFonts w:hint="eastAsia"/>
                <w:b/>
                <w:bCs/>
                <w:color w:val="auto"/>
                <w:sz w:val="24"/>
                <w:szCs w:val="24"/>
                <w:highlight w:val="none"/>
                <w:lang w:val="en-US" w:eastAsia="zh-CN"/>
              </w:rPr>
              <w:t>8、与《关于印发&lt;长江经济带发展负面清单指南（试行，2022年版）&gt;的通知》的符合性分析</w:t>
            </w:r>
          </w:p>
          <w:p w14:paraId="0C6A4D04">
            <w:pPr>
              <w:pStyle w:val="38"/>
              <w:keepNext w:val="0"/>
              <w:keepLines w:val="0"/>
              <w:suppressLineNumbers w:val="0"/>
              <w:spacing w:before="0" w:beforeAutospacing="0" w:after="0" w:afterAutospacing="0"/>
              <w:ind w:left="0" w:right="0"/>
              <w:jc w:val="both"/>
              <w:rPr>
                <w:rFonts w:hint="eastAsia"/>
                <w:color w:val="auto"/>
                <w:sz w:val="24"/>
                <w:szCs w:val="24"/>
                <w:highlight w:val="none"/>
                <w:lang w:val="en-US" w:eastAsia="zh-CN"/>
              </w:rPr>
            </w:pPr>
            <w:r>
              <w:rPr>
                <w:rFonts w:hint="eastAsia"/>
                <w:color w:val="auto"/>
                <w:sz w:val="24"/>
                <w:szCs w:val="24"/>
                <w:highlight w:val="none"/>
                <w:lang w:val="en-US" w:eastAsia="zh-CN"/>
              </w:rPr>
              <w:t>2022年1月19日，推动长江经济带发展领导小组办公室发布了《关于印发&lt;长江经济带发展负面清单指南（试行，2022年版）&gt;的通知》（长江办[2022]7号）。项目与《长江经济带发展负面清单指南（试行，2022年版）》的符合性分析见下表。</w:t>
            </w:r>
          </w:p>
          <w:p w14:paraId="150F6FAF">
            <w:pPr>
              <w:keepNext w:val="0"/>
              <w:keepLines w:val="0"/>
              <w:suppressLineNumbers w:val="0"/>
              <w:autoSpaceDE w:val="0"/>
              <w:autoSpaceDN w:val="0"/>
              <w:adjustRightInd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表1-</w:t>
            </w:r>
            <w:r>
              <w:rPr>
                <w:rFonts w:hint="eastAsia"/>
                <w:b/>
                <w:bCs/>
                <w:color w:val="auto"/>
                <w:kern w:val="0"/>
                <w:szCs w:val="21"/>
                <w:highlight w:val="none"/>
                <w:lang w:val="en-US" w:eastAsia="zh-CN"/>
              </w:rPr>
              <w:t>9</w:t>
            </w:r>
            <w:r>
              <w:rPr>
                <w:rFonts w:hint="default"/>
                <w:b/>
                <w:bCs/>
                <w:color w:val="auto"/>
                <w:kern w:val="0"/>
                <w:szCs w:val="21"/>
                <w:highlight w:val="none"/>
              </w:rPr>
              <w:t xml:space="preserve">  </w:t>
            </w:r>
            <w:r>
              <w:rPr>
                <w:rFonts w:hint="eastAsia"/>
                <w:b/>
                <w:bCs/>
                <w:color w:val="auto"/>
                <w:kern w:val="0"/>
                <w:szCs w:val="21"/>
                <w:highlight w:val="none"/>
                <w:lang w:val="en-US" w:eastAsia="zh-CN"/>
              </w:rPr>
              <w:t>与《长江经济带发展负面清单指南（试行，2022年版）》</w:t>
            </w:r>
            <w:r>
              <w:rPr>
                <w:rFonts w:hint="default"/>
                <w:b/>
                <w:bCs/>
                <w:color w:val="auto"/>
                <w:kern w:val="0"/>
                <w:szCs w:val="21"/>
                <w:highlight w:val="none"/>
              </w:rPr>
              <w:t>对照分析表</w:t>
            </w:r>
          </w:p>
          <w:tbl>
            <w:tblPr>
              <w:tblStyle w:val="30"/>
              <w:tblW w:w="7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4111"/>
              <w:gridCol w:w="2400"/>
              <w:gridCol w:w="667"/>
            </w:tblGrid>
            <w:tr w14:paraId="6CEC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87" w:type="dxa"/>
                  <w:noWrap w:val="0"/>
                  <w:vAlign w:val="center"/>
                </w:tcPr>
                <w:p w14:paraId="07FC1B6A">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序号</w:t>
                  </w:r>
                </w:p>
              </w:tc>
              <w:tc>
                <w:tcPr>
                  <w:tcW w:w="4111" w:type="dxa"/>
                  <w:noWrap w:val="0"/>
                  <w:vAlign w:val="center"/>
                </w:tcPr>
                <w:p w14:paraId="3E8B20C0">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lang w:val="en-US" w:eastAsia="zh-CN"/>
                    </w:rPr>
                    <w:t>《长江经济带发展负面清单指南（试行，2022年版）》</w:t>
                  </w:r>
                </w:p>
              </w:tc>
              <w:tc>
                <w:tcPr>
                  <w:tcW w:w="2400" w:type="dxa"/>
                  <w:noWrap w:val="0"/>
                  <w:vAlign w:val="center"/>
                </w:tcPr>
                <w:p w14:paraId="1AB6F2F0">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该项目情况</w:t>
                  </w:r>
                </w:p>
              </w:tc>
              <w:tc>
                <w:tcPr>
                  <w:tcW w:w="667" w:type="dxa"/>
                  <w:noWrap w:val="0"/>
                  <w:vAlign w:val="center"/>
                </w:tcPr>
                <w:p w14:paraId="38FB7A9C">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相符性</w:t>
                  </w:r>
                </w:p>
              </w:tc>
            </w:tr>
            <w:tr w14:paraId="47B5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7" w:type="dxa"/>
                  <w:noWrap w:val="0"/>
                  <w:vAlign w:val="center"/>
                </w:tcPr>
                <w:p w14:paraId="146911BD">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1</w:t>
                  </w:r>
                </w:p>
              </w:tc>
              <w:tc>
                <w:tcPr>
                  <w:tcW w:w="4111" w:type="dxa"/>
                  <w:noWrap w:val="0"/>
                  <w:vAlign w:val="center"/>
                </w:tcPr>
                <w:p w14:paraId="68070E3F">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禁止建设不符合全国和省级港口布局规划以及港口总体规划的码头项目，禁止建设不符合《长江</w:t>
                  </w:r>
                  <w:r>
                    <w:rPr>
                      <w:rFonts w:hint="eastAsia"/>
                      <w:color w:val="auto"/>
                      <w:kern w:val="0"/>
                      <w:szCs w:val="21"/>
                      <w:highlight w:val="none"/>
                      <w:lang w:eastAsia="zh-CN"/>
                    </w:rPr>
                    <w:t>干线</w:t>
                  </w:r>
                  <w:r>
                    <w:rPr>
                      <w:rFonts w:hint="default"/>
                      <w:color w:val="auto"/>
                      <w:kern w:val="0"/>
                      <w:szCs w:val="21"/>
                      <w:highlight w:val="none"/>
                    </w:rPr>
                    <w:t>过江通道布局规划》的过长江通道项目。</w:t>
                  </w:r>
                </w:p>
              </w:tc>
              <w:tc>
                <w:tcPr>
                  <w:tcW w:w="2400" w:type="dxa"/>
                  <w:noWrap w:val="0"/>
                  <w:vAlign w:val="center"/>
                </w:tcPr>
                <w:p w14:paraId="72A52A86">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本项目不属于</w:t>
                  </w:r>
                  <w:r>
                    <w:rPr>
                      <w:rFonts w:hint="default"/>
                      <w:color w:val="auto"/>
                      <w:kern w:val="0"/>
                      <w:szCs w:val="21"/>
                      <w:highlight w:val="none"/>
                    </w:rPr>
                    <w:t>码头项目</w:t>
                  </w:r>
                  <w:r>
                    <w:rPr>
                      <w:rFonts w:hint="eastAsia"/>
                      <w:color w:val="auto"/>
                      <w:kern w:val="0"/>
                      <w:szCs w:val="21"/>
                      <w:highlight w:val="none"/>
                      <w:lang w:eastAsia="zh-CN"/>
                    </w:rPr>
                    <w:t>及</w:t>
                  </w:r>
                  <w:r>
                    <w:rPr>
                      <w:rFonts w:hint="default"/>
                      <w:color w:val="auto"/>
                      <w:kern w:val="0"/>
                      <w:szCs w:val="21"/>
                      <w:highlight w:val="none"/>
                    </w:rPr>
                    <w:t>过长江通道项目</w:t>
                  </w:r>
                  <w:r>
                    <w:rPr>
                      <w:rFonts w:hint="eastAsia"/>
                      <w:color w:val="auto"/>
                      <w:kern w:val="0"/>
                      <w:szCs w:val="21"/>
                      <w:highlight w:val="none"/>
                      <w:lang w:eastAsia="zh-CN"/>
                    </w:rPr>
                    <w:t>。</w:t>
                  </w:r>
                </w:p>
              </w:tc>
              <w:tc>
                <w:tcPr>
                  <w:tcW w:w="667" w:type="dxa"/>
                  <w:noWrap w:val="0"/>
                  <w:vAlign w:val="center"/>
                </w:tcPr>
                <w:p w14:paraId="67020CD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030E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3B6451E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2</w:t>
                  </w:r>
                </w:p>
              </w:tc>
              <w:tc>
                <w:tcPr>
                  <w:tcW w:w="4111" w:type="dxa"/>
                  <w:noWrap w:val="0"/>
                  <w:vAlign w:val="center"/>
                </w:tcPr>
                <w:p w14:paraId="02C37BB6">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2400" w:type="dxa"/>
                  <w:noWrap w:val="0"/>
                  <w:vAlign w:val="center"/>
                </w:tcPr>
                <w:p w14:paraId="48B6928C">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项目不</w:t>
                  </w:r>
                  <w:r>
                    <w:rPr>
                      <w:rFonts w:hint="eastAsia"/>
                      <w:color w:val="auto"/>
                      <w:kern w:val="0"/>
                      <w:szCs w:val="21"/>
                      <w:highlight w:val="none"/>
                      <w:lang w:eastAsia="zh-CN"/>
                    </w:rPr>
                    <w:t>涉及</w:t>
                  </w:r>
                  <w:r>
                    <w:rPr>
                      <w:rFonts w:hint="default"/>
                      <w:color w:val="auto"/>
                      <w:kern w:val="0"/>
                      <w:szCs w:val="21"/>
                      <w:highlight w:val="none"/>
                    </w:rPr>
                    <w:t>自然保护区</w:t>
                  </w:r>
                  <w:r>
                    <w:rPr>
                      <w:rFonts w:hint="eastAsia"/>
                      <w:color w:val="auto"/>
                      <w:kern w:val="0"/>
                      <w:szCs w:val="21"/>
                      <w:highlight w:val="none"/>
                      <w:lang w:eastAsia="zh-CN"/>
                    </w:rPr>
                    <w:t>和风景名胜区</w:t>
                  </w:r>
                  <w:r>
                    <w:rPr>
                      <w:rFonts w:hint="default"/>
                      <w:color w:val="auto"/>
                      <w:kern w:val="0"/>
                      <w:szCs w:val="21"/>
                      <w:highlight w:val="none"/>
                    </w:rPr>
                    <w:t>。</w:t>
                  </w:r>
                </w:p>
              </w:tc>
              <w:tc>
                <w:tcPr>
                  <w:tcW w:w="667" w:type="dxa"/>
                  <w:noWrap w:val="0"/>
                  <w:vAlign w:val="center"/>
                </w:tcPr>
                <w:p w14:paraId="4B4C064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37A2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44A3C4D2">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3</w:t>
                  </w:r>
                </w:p>
              </w:tc>
              <w:tc>
                <w:tcPr>
                  <w:tcW w:w="4111" w:type="dxa"/>
                  <w:noWrap w:val="0"/>
                  <w:vAlign w:val="center"/>
                </w:tcPr>
                <w:p w14:paraId="2681818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400" w:type="dxa"/>
                  <w:noWrap w:val="0"/>
                  <w:vAlign w:val="center"/>
                </w:tcPr>
                <w:p w14:paraId="156E5925">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本项目不涉及</w:t>
                  </w:r>
                  <w:r>
                    <w:rPr>
                      <w:rFonts w:hint="default"/>
                      <w:color w:val="auto"/>
                      <w:kern w:val="0"/>
                      <w:szCs w:val="21"/>
                      <w:highlight w:val="none"/>
                    </w:rPr>
                    <w:t>饮用水水源</w:t>
                  </w:r>
                  <w:r>
                    <w:rPr>
                      <w:rFonts w:hint="eastAsia"/>
                      <w:color w:val="auto"/>
                      <w:kern w:val="0"/>
                      <w:szCs w:val="21"/>
                      <w:highlight w:val="none"/>
                      <w:lang w:eastAsia="zh-CN"/>
                    </w:rPr>
                    <w:t>保护区。</w:t>
                  </w:r>
                </w:p>
              </w:tc>
              <w:tc>
                <w:tcPr>
                  <w:tcW w:w="667" w:type="dxa"/>
                  <w:noWrap w:val="0"/>
                  <w:vAlign w:val="center"/>
                </w:tcPr>
                <w:p w14:paraId="20B19B34">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0E98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31F73396">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4</w:t>
                  </w:r>
                </w:p>
              </w:tc>
              <w:tc>
                <w:tcPr>
                  <w:tcW w:w="4111" w:type="dxa"/>
                  <w:noWrap w:val="0"/>
                  <w:vAlign w:val="center"/>
                </w:tcPr>
                <w:p w14:paraId="0F66908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400" w:type="dxa"/>
                  <w:noWrap w:val="0"/>
                  <w:vAlign w:val="center"/>
                </w:tcPr>
                <w:p w14:paraId="2109DB0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eastAsia"/>
                      <w:color w:val="auto"/>
                      <w:kern w:val="0"/>
                      <w:szCs w:val="21"/>
                      <w:highlight w:val="none"/>
                      <w:lang w:eastAsia="zh-CN"/>
                    </w:rPr>
                    <w:t>本项目不涉及</w:t>
                  </w:r>
                  <w:r>
                    <w:rPr>
                      <w:rFonts w:hint="default"/>
                      <w:color w:val="auto"/>
                      <w:kern w:val="0"/>
                      <w:szCs w:val="21"/>
                      <w:highlight w:val="none"/>
                    </w:rPr>
                    <w:t>水产种质资源保护区</w:t>
                  </w:r>
                  <w:r>
                    <w:rPr>
                      <w:rFonts w:hint="eastAsia"/>
                      <w:color w:val="auto"/>
                      <w:kern w:val="0"/>
                      <w:szCs w:val="21"/>
                      <w:highlight w:val="none"/>
                      <w:lang w:eastAsia="zh-CN"/>
                    </w:rPr>
                    <w:t>和</w:t>
                  </w:r>
                  <w:r>
                    <w:rPr>
                      <w:rFonts w:hint="default"/>
                      <w:color w:val="auto"/>
                      <w:kern w:val="0"/>
                      <w:szCs w:val="21"/>
                      <w:highlight w:val="none"/>
                    </w:rPr>
                    <w:t>国家湿地公园</w:t>
                  </w:r>
                  <w:r>
                    <w:rPr>
                      <w:rFonts w:hint="eastAsia"/>
                      <w:color w:val="auto"/>
                      <w:kern w:val="0"/>
                      <w:szCs w:val="21"/>
                      <w:highlight w:val="none"/>
                      <w:lang w:eastAsia="zh-CN"/>
                    </w:rPr>
                    <w:t>。</w:t>
                  </w:r>
                </w:p>
              </w:tc>
              <w:tc>
                <w:tcPr>
                  <w:tcW w:w="667" w:type="dxa"/>
                  <w:noWrap w:val="0"/>
                  <w:vAlign w:val="center"/>
                </w:tcPr>
                <w:p w14:paraId="35B84F6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5335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5E0674F0">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5</w:t>
                  </w:r>
                </w:p>
              </w:tc>
              <w:tc>
                <w:tcPr>
                  <w:tcW w:w="4111" w:type="dxa"/>
                  <w:noWrap w:val="0"/>
                  <w:vAlign w:val="center"/>
                </w:tcPr>
                <w:p w14:paraId="13D7B6D4">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400" w:type="dxa"/>
                  <w:noWrap w:val="0"/>
                  <w:vAlign w:val="center"/>
                </w:tcPr>
                <w:p w14:paraId="01AFE076">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本项目位于</w:t>
                  </w:r>
                  <w:r>
                    <w:rPr>
                      <w:rFonts w:hint="eastAsia"/>
                      <w:color w:val="auto"/>
                      <w:kern w:val="0"/>
                      <w:szCs w:val="21"/>
                      <w:highlight w:val="none"/>
                      <w:lang w:val="en-US" w:eastAsia="zh-CN"/>
                    </w:rPr>
                    <w:t>寻甸特色产业园区羊街片区，不涉及</w:t>
                  </w:r>
                  <w:r>
                    <w:rPr>
                      <w:rFonts w:hint="default"/>
                      <w:color w:val="auto"/>
                      <w:kern w:val="0"/>
                      <w:szCs w:val="21"/>
                      <w:highlight w:val="none"/>
                    </w:rPr>
                    <w:t>违法利用、占用长江流域河湖岸线</w:t>
                  </w:r>
                  <w:r>
                    <w:rPr>
                      <w:rFonts w:hint="eastAsia"/>
                      <w:color w:val="auto"/>
                      <w:kern w:val="0"/>
                      <w:szCs w:val="21"/>
                      <w:highlight w:val="none"/>
                      <w:lang w:eastAsia="zh-CN"/>
                    </w:rPr>
                    <w:t>行为。</w:t>
                  </w:r>
                </w:p>
              </w:tc>
              <w:tc>
                <w:tcPr>
                  <w:tcW w:w="667" w:type="dxa"/>
                  <w:noWrap w:val="0"/>
                  <w:vAlign w:val="center"/>
                </w:tcPr>
                <w:p w14:paraId="328B6EFC">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0F02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7D705A9A">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6</w:t>
                  </w:r>
                </w:p>
              </w:tc>
              <w:tc>
                <w:tcPr>
                  <w:tcW w:w="4111" w:type="dxa"/>
                  <w:noWrap w:val="0"/>
                  <w:vAlign w:val="center"/>
                </w:tcPr>
                <w:p w14:paraId="670CBF55">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default"/>
                      <w:color w:val="auto"/>
                      <w:kern w:val="0"/>
                      <w:szCs w:val="21"/>
                      <w:highlight w:val="none"/>
                    </w:rPr>
                    <w:t>禁止未经许可在长江干支流及湖泊新设、改设或扩大排污</w:t>
                  </w:r>
                  <w:r>
                    <w:rPr>
                      <w:rFonts w:hint="eastAsia"/>
                      <w:color w:val="auto"/>
                      <w:kern w:val="0"/>
                      <w:szCs w:val="21"/>
                      <w:highlight w:val="none"/>
                      <w:lang w:eastAsia="zh-CN"/>
                    </w:rPr>
                    <w:t>口。</w:t>
                  </w:r>
                </w:p>
              </w:tc>
              <w:tc>
                <w:tcPr>
                  <w:tcW w:w="2400" w:type="dxa"/>
                  <w:noWrap w:val="0"/>
                  <w:vAlign w:val="center"/>
                </w:tcPr>
                <w:p w14:paraId="013487F6">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eastAsia="zh-CN"/>
                    </w:rPr>
                    <w:t>项目不涉及</w:t>
                  </w:r>
                  <w:r>
                    <w:rPr>
                      <w:rFonts w:hint="default"/>
                      <w:color w:val="auto"/>
                      <w:kern w:val="0"/>
                      <w:szCs w:val="21"/>
                      <w:highlight w:val="none"/>
                    </w:rPr>
                    <w:t>在长江干支流及湖泊新设、改设或扩大排污</w:t>
                  </w:r>
                  <w:r>
                    <w:rPr>
                      <w:rFonts w:hint="eastAsia"/>
                      <w:color w:val="auto"/>
                      <w:kern w:val="0"/>
                      <w:szCs w:val="21"/>
                      <w:highlight w:val="none"/>
                      <w:lang w:eastAsia="zh-CN"/>
                    </w:rPr>
                    <w:t>口。</w:t>
                  </w:r>
                </w:p>
              </w:tc>
              <w:tc>
                <w:tcPr>
                  <w:tcW w:w="667" w:type="dxa"/>
                  <w:noWrap w:val="0"/>
                  <w:vAlign w:val="center"/>
                </w:tcPr>
                <w:p w14:paraId="02D8C074">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08DA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2A7F10E5">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7</w:t>
                  </w:r>
                </w:p>
              </w:tc>
              <w:tc>
                <w:tcPr>
                  <w:tcW w:w="4111" w:type="dxa"/>
                  <w:noWrap w:val="0"/>
                  <w:vAlign w:val="center"/>
                </w:tcPr>
                <w:p w14:paraId="30E79AB0">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禁止在“一江一口两湖七河”和332个水生生物保护区开展生产性捕捞。</w:t>
                  </w:r>
                </w:p>
              </w:tc>
              <w:tc>
                <w:tcPr>
                  <w:tcW w:w="2400" w:type="dxa"/>
                  <w:noWrap w:val="0"/>
                  <w:vAlign w:val="center"/>
                </w:tcPr>
                <w:p w14:paraId="6BD06283">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项目不涉及在</w:t>
                  </w:r>
                  <w:r>
                    <w:rPr>
                      <w:rFonts w:hint="default"/>
                      <w:color w:val="auto"/>
                      <w:kern w:val="0"/>
                      <w:szCs w:val="21"/>
                      <w:highlight w:val="none"/>
                    </w:rPr>
                    <w:t>“一江一口两湖七河”和332个水生生物保护区开展生产性捕捞</w:t>
                  </w:r>
                  <w:r>
                    <w:rPr>
                      <w:rFonts w:hint="eastAsia"/>
                      <w:color w:val="auto"/>
                      <w:kern w:val="0"/>
                      <w:szCs w:val="21"/>
                      <w:highlight w:val="none"/>
                      <w:lang w:eastAsia="zh-CN"/>
                    </w:rPr>
                    <w:t>的行为。</w:t>
                  </w:r>
                </w:p>
              </w:tc>
              <w:tc>
                <w:tcPr>
                  <w:tcW w:w="667" w:type="dxa"/>
                  <w:noWrap w:val="0"/>
                  <w:vAlign w:val="center"/>
                </w:tcPr>
                <w:p w14:paraId="2F3BE333">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5A96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12D9E1C2">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8</w:t>
                  </w:r>
                </w:p>
              </w:tc>
              <w:tc>
                <w:tcPr>
                  <w:tcW w:w="4111" w:type="dxa"/>
                  <w:noWrap w:val="0"/>
                  <w:vAlign w:val="center"/>
                </w:tcPr>
                <w:p w14:paraId="675E8B27">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禁止在长江</w:t>
                  </w:r>
                  <w:r>
                    <w:rPr>
                      <w:rFonts w:hint="eastAsia"/>
                      <w:color w:val="auto"/>
                      <w:kern w:val="0"/>
                      <w:szCs w:val="21"/>
                      <w:highlight w:val="none"/>
                      <w:lang w:eastAsia="zh-CN"/>
                    </w:rPr>
                    <w:t>干</w:t>
                  </w:r>
                  <w:r>
                    <w:rPr>
                      <w:rFonts w:hint="default"/>
                      <w:color w:val="auto"/>
                      <w:kern w:val="0"/>
                      <w:szCs w:val="21"/>
                      <w:highlight w:val="none"/>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400" w:type="dxa"/>
                  <w:noWrap w:val="0"/>
                  <w:vAlign w:val="center"/>
                </w:tcPr>
                <w:p w14:paraId="2357B424">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项目不属于</w:t>
                  </w:r>
                  <w:r>
                    <w:rPr>
                      <w:rFonts w:hint="default"/>
                      <w:color w:val="auto"/>
                      <w:kern w:val="0"/>
                      <w:szCs w:val="21"/>
                      <w:highlight w:val="none"/>
                    </w:rPr>
                    <w:t>化工园区和化工项目</w:t>
                  </w:r>
                  <w:r>
                    <w:rPr>
                      <w:rFonts w:hint="eastAsia"/>
                      <w:color w:val="auto"/>
                      <w:kern w:val="0"/>
                      <w:szCs w:val="21"/>
                      <w:highlight w:val="none"/>
                      <w:lang w:eastAsia="zh-CN"/>
                    </w:rPr>
                    <w:t>，不属于</w:t>
                  </w:r>
                  <w:r>
                    <w:rPr>
                      <w:rFonts w:hint="default"/>
                      <w:color w:val="auto"/>
                      <w:kern w:val="0"/>
                      <w:szCs w:val="21"/>
                      <w:highlight w:val="none"/>
                    </w:rPr>
                    <w:t>尾矿库、冶炼渣库和磷石膏库</w:t>
                  </w:r>
                  <w:r>
                    <w:rPr>
                      <w:rFonts w:hint="eastAsia"/>
                      <w:color w:val="auto"/>
                      <w:kern w:val="0"/>
                      <w:szCs w:val="21"/>
                      <w:highlight w:val="none"/>
                      <w:lang w:eastAsia="zh-CN"/>
                    </w:rPr>
                    <w:t>。</w:t>
                  </w:r>
                </w:p>
              </w:tc>
              <w:tc>
                <w:tcPr>
                  <w:tcW w:w="667" w:type="dxa"/>
                  <w:noWrap w:val="0"/>
                  <w:vAlign w:val="center"/>
                </w:tcPr>
                <w:p w14:paraId="516C5A6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2CF7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374BFDBD">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9</w:t>
                  </w:r>
                </w:p>
              </w:tc>
              <w:tc>
                <w:tcPr>
                  <w:tcW w:w="4111" w:type="dxa"/>
                  <w:noWrap w:val="0"/>
                  <w:vAlign w:val="center"/>
                </w:tcPr>
                <w:p w14:paraId="2AF05640">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禁止在合规园区外新建、扩建钢铁、石化、化工、焦化、建材、有色、制浆造纸等高污染项目。</w:t>
                  </w:r>
                </w:p>
              </w:tc>
              <w:tc>
                <w:tcPr>
                  <w:tcW w:w="2400" w:type="dxa"/>
                  <w:noWrap w:val="0"/>
                  <w:vAlign w:val="center"/>
                </w:tcPr>
                <w:p w14:paraId="7C05A6C2">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本项目位于</w:t>
                  </w:r>
                  <w:r>
                    <w:rPr>
                      <w:rFonts w:hint="eastAsia"/>
                      <w:color w:val="auto"/>
                      <w:kern w:val="0"/>
                      <w:szCs w:val="21"/>
                      <w:highlight w:val="none"/>
                      <w:lang w:val="en-US" w:eastAsia="zh-CN"/>
                    </w:rPr>
                    <w:t>寻甸特色产业园区羊街片区，位于</w:t>
                  </w:r>
                  <w:r>
                    <w:rPr>
                      <w:rFonts w:hint="default"/>
                      <w:color w:val="auto"/>
                      <w:kern w:val="0"/>
                      <w:szCs w:val="21"/>
                      <w:highlight w:val="none"/>
                    </w:rPr>
                    <w:t>合规园区</w:t>
                  </w:r>
                  <w:r>
                    <w:rPr>
                      <w:rFonts w:hint="eastAsia"/>
                      <w:color w:val="auto"/>
                      <w:kern w:val="0"/>
                      <w:szCs w:val="21"/>
                      <w:highlight w:val="none"/>
                      <w:lang w:eastAsia="zh-CN"/>
                    </w:rPr>
                    <w:t>，</w:t>
                  </w:r>
                  <w:r>
                    <w:rPr>
                      <w:rFonts w:hint="eastAsia"/>
                      <w:color w:val="auto"/>
                      <w:kern w:val="0"/>
                      <w:szCs w:val="21"/>
                      <w:highlight w:val="none"/>
                      <w:lang w:val="en-US" w:eastAsia="zh-CN"/>
                    </w:rPr>
                    <w:t>且不属于</w:t>
                  </w:r>
                  <w:r>
                    <w:rPr>
                      <w:rFonts w:hint="default"/>
                      <w:color w:val="auto"/>
                      <w:kern w:val="0"/>
                      <w:szCs w:val="21"/>
                      <w:highlight w:val="none"/>
                    </w:rPr>
                    <w:t>钢铁、石化、化工、焦化、建材、有色、制浆造纸等高污染项目</w:t>
                  </w:r>
                  <w:r>
                    <w:rPr>
                      <w:rFonts w:hint="eastAsia"/>
                      <w:color w:val="auto"/>
                      <w:kern w:val="0"/>
                      <w:szCs w:val="21"/>
                      <w:highlight w:val="none"/>
                      <w:lang w:eastAsia="zh-CN"/>
                    </w:rPr>
                    <w:t>。</w:t>
                  </w:r>
                </w:p>
              </w:tc>
              <w:tc>
                <w:tcPr>
                  <w:tcW w:w="667" w:type="dxa"/>
                  <w:noWrap w:val="0"/>
                  <w:vAlign w:val="center"/>
                </w:tcPr>
                <w:p w14:paraId="1829AD6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4D24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6F229E0B">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4111" w:type="dxa"/>
                  <w:noWrap w:val="0"/>
                  <w:vAlign w:val="center"/>
                </w:tcPr>
                <w:p w14:paraId="318F746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禁止新建、扩建不符合国家石化、现代煤化工等产业布局规划的项目。</w:t>
                  </w:r>
                </w:p>
              </w:tc>
              <w:tc>
                <w:tcPr>
                  <w:tcW w:w="2400" w:type="dxa"/>
                  <w:noWrap w:val="0"/>
                  <w:vAlign w:val="center"/>
                </w:tcPr>
                <w:p w14:paraId="50949EA3">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项目不属于</w:t>
                  </w:r>
                  <w:r>
                    <w:rPr>
                      <w:rFonts w:hint="default"/>
                      <w:color w:val="auto"/>
                      <w:kern w:val="0"/>
                      <w:szCs w:val="21"/>
                      <w:highlight w:val="none"/>
                    </w:rPr>
                    <w:t>石化、现代煤化工</w:t>
                  </w:r>
                  <w:r>
                    <w:rPr>
                      <w:rFonts w:hint="eastAsia"/>
                      <w:color w:val="auto"/>
                      <w:kern w:val="0"/>
                      <w:szCs w:val="21"/>
                      <w:highlight w:val="none"/>
                      <w:lang w:eastAsia="zh-CN"/>
                    </w:rPr>
                    <w:t>项目。</w:t>
                  </w:r>
                </w:p>
              </w:tc>
              <w:tc>
                <w:tcPr>
                  <w:tcW w:w="667" w:type="dxa"/>
                  <w:noWrap w:val="0"/>
                  <w:vAlign w:val="center"/>
                </w:tcPr>
                <w:p w14:paraId="197E6B3E">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3D94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5D66BC9A">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11</w:t>
                  </w:r>
                </w:p>
              </w:tc>
              <w:tc>
                <w:tcPr>
                  <w:tcW w:w="4111" w:type="dxa"/>
                  <w:noWrap w:val="0"/>
                  <w:vAlign w:val="center"/>
                </w:tcPr>
                <w:p w14:paraId="3E86ECCB">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2400" w:type="dxa"/>
                  <w:noWrap w:val="0"/>
                  <w:vAlign w:val="center"/>
                </w:tcPr>
                <w:p w14:paraId="698691A5">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本项目不属于</w:t>
                  </w:r>
                  <w:r>
                    <w:rPr>
                      <w:rFonts w:hint="default"/>
                      <w:color w:val="auto"/>
                      <w:kern w:val="0"/>
                      <w:szCs w:val="21"/>
                      <w:highlight w:val="none"/>
                    </w:rPr>
                    <w:t>法律法规和相关政策明令禁止的落后产能项目</w:t>
                  </w:r>
                  <w:r>
                    <w:rPr>
                      <w:rFonts w:hint="eastAsia"/>
                      <w:color w:val="auto"/>
                      <w:kern w:val="0"/>
                      <w:szCs w:val="21"/>
                      <w:highlight w:val="none"/>
                      <w:lang w:eastAsia="zh-CN"/>
                    </w:rPr>
                    <w:t>，不属于</w:t>
                  </w:r>
                  <w:r>
                    <w:rPr>
                      <w:rFonts w:hint="default"/>
                      <w:color w:val="auto"/>
                      <w:kern w:val="0"/>
                      <w:szCs w:val="21"/>
                      <w:highlight w:val="none"/>
                    </w:rPr>
                    <w:t>严重过剩产能行业的项目</w:t>
                  </w:r>
                  <w:r>
                    <w:rPr>
                      <w:rFonts w:hint="eastAsia"/>
                      <w:color w:val="auto"/>
                      <w:kern w:val="0"/>
                      <w:szCs w:val="21"/>
                      <w:highlight w:val="none"/>
                      <w:lang w:eastAsia="zh-CN"/>
                    </w:rPr>
                    <w:t>，不属于</w:t>
                  </w:r>
                  <w:r>
                    <w:rPr>
                      <w:rFonts w:hint="default"/>
                      <w:color w:val="auto"/>
                      <w:kern w:val="0"/>
                      <w:szCs w:val="21"/>
                      <w:highlight w:val="none"/>
                    </w:rPr>
                    <w:t>高耗能高排放项目</w:t>
                  </w:r>
                  <w:r>
                    <w:rPr>
                      <w:rFonts w:hint="eastAsia"/>
                      <w:color w:val="auto"/>
                      <w:kern w:val="0"/>
                      <w:szCs w:val="21"/>
                      <w:highlight w:val="none"/>
                      <w:lang w:eastAsia="zh-CN"/>
                    </w:rPr>
                    <w:t>。</w:t>
                  </w:r>
                </w:p>
              </w:tc>
              <w:tc>
                <w:tcPr>
                  <w:tcW w:w="667" w:type="dxa"/>
                  <w:noWrap w:val="0"/>
                  <w:vAlign w:val="center"/>
                </w:tcPr>
                <w:p w14:paraId="05D6D12B">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r w14:paraId="7607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87" w:type="dxa"/>
                  <w:noWrap w:val="0"/>
                  <w:vAlign w:val="center"/>
                </w:tcPr>
                <w:p w14:paraId="03044C8F">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12</w:t>
                  </w:r>
                </w:p>
              </w:tc>
              <w:tc>
                <w:tcPr>
                  <w:tcW w:w="4111" w:type="dxa"/>
                  <w:noWrap w:val="0"/>
                  <w:vAlign w:val="center"/>
                </w:tcPr>
                <w:p w14:paraId="5D551C0F">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法律法规及相关政策文件有更加严格规定的从其规定。</w:t>
                  </w:r>
                </w:p>
              </w:tc>
              <w:tc>
                <w:tcPr>
                  <w:tcW w:w="2400" w:type="dxa"/>
                  <w:noWrap w:val="0"/>
                  <w:vAlign w:val="center"/>
                </w:tcPr>
                <w:p w14:paraId="400B3F9D">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auto"/>
                      <w:kern w:val="0"/>
                      <w:szCs w:val="21"/>
                      <w:highlight w:val="none"/>
                      <w:lang w:eastAsia="zh-CN"/>
                    </w:rPr>
                  </w:pPr>
                  <w:r>
                    <w:rPr>
                      <w:rFonts w:hint="eastAsia"/>
                      <w:color w:val="auto"/>
                      <w:kern w:val="0"/>
                      <w:szCs w:val="21"/>
                      <w:highlight w:val="none"/>
                      <w:lang w:eastAsia="zh-CN"/>
                    </w:rPr>
                    <w:t>不涉及。</w:t>
                  </w:r>
                </w:p>
              </w:tc>
              <w:tc>
                <w:tcPr>
                  <w:tcW w:w="667" w:type="dxa"/>
                  <w:noWrap w:val="0"/>
                  <w:vAlign w:val="center"/>
                </w:tcPr>
                <w:p w14:paraId="3708B1A8">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符合</w:t>
                  </w:r>
                </w:p>
              </w:tc>
            </w:tr>
          </w:tbl>
          <w:p w14:paraId="1F5053E1">
            <w:pPr>
              <w:pStyle w:val="38"/>
              <w:keepNext w:val="0"/>
              <w:keepLines w:val="0"/>
              <w:suppressLineNumbers w:val="0"/>
              <w:spacing w:before="0" w:beforeAutospacing="0" w:after="0" w:afterAutospacing="0"/>
              <w:ind w:left="0" w:right="0"/>
              <w:jc w:val="both"/>
              <w:rPr>
                <w:rFonts w:hint="eastAsia"/>
                <w:color w:val="auto"/>
                <w:sz w:val="24"/>
                <w:szCs w:val="24"/>
                <w:highlight w:val="none"/>
                <w:lang w:val="en-US" w:eastAsia="zh-CN"/>
              </w:rPr>
            </w:pPr>
            <w:r>
              <w:rPr>
                <w:rFonts w:hint="eastAsia"/>
                <w:color w:val="auto"/>
                <w:sz w:val="24"/>
                <w:szCs w:val="24"/>
                <w:highlight w:val="none"/>
                <w:lang w:val="en-US" w:eastAsia="zh-CN"/>
              </w:rPr>
              <w:t>综上，本项目建设不违反《长江经济带发展负面清单指南（试行，2022年版）》。</w:t>
            </w:r>
          </w:p>
          <w:p w14:paraId="22263B38">
            <w:pPr>
              <w:keepNext w:val="0"/>
              <w:keepLines w:val="0"/>
              <w:suppressLineNumbers w:val="0"/>
              <w:spacing w:before="0" w:beforeAutospacing="0" w:after="0" w:afterAutospacing="0"/>
              <w:ind w:left="0" w:right="0"/>
              <w:rPr>
                <w:rFonts w:hint="eastAsia"/>
                <w:color w:val="auto"/>
                <w:highlight w:val="none"/>
                <w:lang w:val="en-US" w:eastAsia="zh-CN"/>
              </w:rPr>
            </w:pPr>
            <w:r>
              <w:rPr>
                <w:rFonts w:hint="eastAsia"/>
                <w:b/>
                <w:bCs/>
                <w:color w:val="auto"/>
                <w:sz w:val="24"/>
                <w:szCs w:val="24"/>
                <w:highlight w:val="none"/>
                <w:lang w:val="en-US" w:eastAsia="zh-CN"/>
              </w:rPr>
              <w:t>9、与《云南省长江经济带发展负面清单指南实施细则（试行，2022年版）》的符合性分析</w:t>
            </w:r>
          </w:p>
          <w:p w14:paraId="5899DF5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项目与</w:t>
            </w:r>
            <w:r>
              <w:rPr>
                <w:rFonts w:hint="default" w:ascii="Times New Roman" w:hAnsi="Times New Roman" w:cs="Times New Roman"/>
                <w:color w:val="auto"/>
                <w:sz w:val="24"/>
                <w:szCs w:val="24"/>
                <w:highlight w:val="none"/>
                <w:lang w:val="en-US" w:eastAsia="zh-CN"/>
              </w:rPr>
              <w:t>《云南省长江经济带发展负面清单指南实施细则（试行，2022年版）》</w:t>
            </w:r>
            <w:r>
              <w:rPr>
                <w:rFonts w:hint="default" w:ascii="Times New Roman" w:hAnsi="Times New Roman" w:cs="Times New Roman"/>
                <w:color w:val="auto"/>
                <w:sz w:val="24"/>
                <w:szCs w:val="24"/>
                <w:highlight w:val="none"/>
              </w:rPr>
              <w:t>对比分析情况见下表。</w:t>
            </w:r>
          </w:p>
          <w:p w14:paraId="045DDE50">
            <w:pPr>
              <w:keepNext w:val="0"/>
              <w:keepLines w:val="0"/>
              <w:suppressLineNumbers w:val="0"/>
              <w:autoSpaceDE w:val="0"/>
              <w:autoSpaceDN w:val="0"/>
              <w:adjustRightInd w:val="0"/>
              <w:snapToGrid w:val="0"/>
              <w:spacing w:before="0" w:beforeAutospacing="0" w:after="0" w:afterAutospacing="0"/>
              <w:ind w:left="0" w:right="0"/>
              <w:jc w:val="center"/>
              <w:rPr>
                <w:rFonts w:hint="default" w:eastAsia="宋体"/>
                <w:b/>
                <w:bCs/>
                <w:color w:val="auto"/>
                <w:kern w:val="0"/>
                <w:szCs w:val="21"/>
                <w:highlight w:val="none"/>
              </w:rPr>
            </w:pPr>
            <w:r>
              <w:rPr>
                <w:rFonts w:hint="default" w:eastAsia="宋体"/>
                <w:b/>
                <w:bCs/>
                <w:color w:val="auto"/>
                <w:kern w:val="0"/>
                <w:szCs w:val="21"/>
                <w:highlight w:val="none"/>
              </w:rPr>
              <w:t>表</w:t>
            </w:r>
            <w:r>
              <w:rPr>
                <w:rFonts w:hint="eastAsia" w:eastAsia="宋体"/>
                <w:b/>
                <w:bCs/>
                <w:color w:val="auto"/>
                <w:kern w:val="0"/>
                <w:szCs w:val="21"/>
                <w:highlight w:val="none"/>
                <w:lang w:val="en-US" w:eastAsia="zh-CN"/>
              </w:rPr>
              <w:t>1-</w:t>
            </w:r>
            <w:r>
              <w:rPr>
                <w:rFonts w:hint="eastAsia"/>
                <w:b/>
                <w:bCs/>
                <w:color w:val="auto"/>
                <w:kern w:val="0"/>
                <w:szCs w:val="21"/>
                <w:highlight w:val="none"/>
                <w:lang w:val="en-US" w:eastAsia="zh-CN"/>
              </w:rPr>
              <w:t>10</w:t>
            </w:r>
            <w:r>
              <w:rPr>
                <w:rFonts w:hint="default" w:eastAsia="宋体"/>
                <w:b/>
                <w:bCs/>
                <w:color w:val="auto"/>
                <w:kern w:val="0"/>
                <w:szCs w:val="21"/>
                <w:highlight w:val="none"/>
              </w:rPr>
              <w:t xml:space="preserve">  与</w:t>
            </w:r>
            <w:r>
              <w:rPr>
                <w:rFonts w:hint="default" w:eastAsia="宋体"/>
                <w:b/>
                <w:bCs/>
                <w:color w:val="auto"/>
                <w:kern w:val="0"/>
                <w:szCs w:val="21"/>
                <w:highlight w:val="none"/>
                <w:lang w:val="en-US" w:eastAsia="zh-CN"/>
              </w:rPr>
              <w:t>《云南省长江经济带发展负面清单指南实施细则（试行，2022年版）》</w:t>
            </w:r>
            <w:r>
              <w:rPr>
                <w:rFonts w:hint="default" w:eastAsia="宋体"/>
                <w:b/>
                <w:bCs/>
                <w:color w:val="auto"/>
                <w:kern w:val="0"/>
                <w:szCs w:val="21"/>
                <w:highlight w:val="none"/>
              </w:rPr>
              <w:t>相符性分析</w:t>
            </w:r>
          </w:p>
          <w:tbl>
            <w:tblPr>
              <w:tblStyle w:val="30"/>
              <w:tblW w:w="7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125"/>
              <w:gridCol w:w="2587"/>
              <w:gridCol w:w="534"/>
            </w:tblGrid>
            <w:tr w14:paraId="369D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noWrap w:val="0"/>
                  <w:vAlign w:val="center"/>
                </w:tcPr>
                <w:p w14:paraId="1C99242B">
                  <w:pPr>
                    <w:pStyle w:val="13"/>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序号</w:t>
                  </w:r>
                </w:p>
              </w:tc>
              <w:tc>
                <w:tcPr>
                  <w:tcW w:w="4125" w:type="dxa"/>
                  <w:noWrap w:val="0"/>
                  <w:vAlign w:val="center"/>
                </w:tcPr>
                <w:p w14:paraId="6615BE4D">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highlight w:val="none"/>
                    </w:rPr>
                  </w:pPr>
                  <w:r>
                    <w:rPr>
                      <w:rFonts w:hint="default" w:ascii="Times New Roman" w:hAnsi="Times New Roman"/>
                      <w:b/>
                      <w:bCs/>
                      <w:color w:val="auto"/>
                      <w:sz w:val="21"/>
                      <w:szCs w:val="21"/>
                      <w:highlight w:val="none"/>
                    </w:rPr>
                    <w:t>相关规定</w:t>
                  </w:r>
                </w:p>
              </w:tc>
              <w:tc>
                <w:tcPr>
                  <w:tcW w:w="2587" w:type="dxa"/>
                  <w:noWrap w:val="0"/>
                  <w:vAlign w:val="center"/>
                </w:tcPr>
                <w:p w14:paraId="6F6943C4">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highlight w:val="none"/>
                    </w:rPr>
                  </w:pPr>
                  <w:r>
                    <w:rPr>
                      <w:rFonts w:hint="default" w:ascii="Times New Roman" w:hAnsi="Times New Roman"/>
                      <w:b/>
                      <w:bCs/>
                      <w:color w:val="auto"/>
                      <w:sz w:val="21"/>
                      <w:szCs w:val="21"/>
                      <w:highlight w:val="none"/>
                    </w:rPr>
                    <w:t>项目情况</w:t>
                  </w:r>
                </w:p>
              </w:tc>
              <w:tc>
                <w:tcPr>
                  <w:tcW w:w="534" w:type="dxa"/>
                  <w:noWrap w:val="0"/>
                  <w:vAlign w:val="center"/>
                </w:tcPr>
                <w:p w14:paraId="4964F0F5">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highlight w:val="none"/>
                    </w:rPr>
                  </w:pPr>
                  <w:r>
                    <w:rPr>
                      <w:rFonts w:hint="default" w:ascii="Times New Roman" w:hAnsi="Times New Roman"/>
                      <w:b/>
                      <w:bCs/>
                      <w:color w:val="auto"/>
                      <w:sz w:val="21"/>
                      <w:szCs w:val="21"/>
                      <w:highlight w:val="none"/>
                    </w:rPr>
                    <w:t>符合性</w:t>
                  </w:r>
                </w:p>
              </w:tc>
            </w:tr>
            <w:tr w14:paraId="4106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516" w:type="dxa"/>
                  <w:noWrap w:val="0"/>
                  <w:vAlign w:val="center"/>
                </w:tcPr>
                <w:p w14:paraId="22F161D9">
                  <w:pPr>
                    <w:keepNext w:val="0"/>
                    <w:keepLines w:val="0"/>
                    <w:widowControl/>
                    <w:suppressLineNumbers w:val="0"/>
                    <w:adjustRightInd w:val="0"/>
                    <w:snapToGrid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4125" w:type="dxa"/>
                  <w:noWrap w:val="0"/>
                  <w:vAlign w:val="center"/>
                </w:tcPr>
                <w:p w14:paraId="0E172057">
                  <w:pPr>
                    <w:pStyle w:val="9"/>
                    <w:keepNext w:val="0"/>
                    <w:keepLines w:val="0"/>
                    <w:suppressLineNumbers w:val="0"/>
                    <w:spacing w:before="128" w:beforeAutospacing="0" w:afterAutospacing="0" w:line="261" w:lineRule="auto"/>
                    <w:ind w:left="0" w:right="161"/>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禁止新建、改建和扩建不符合《全国内河航道与港 口布局规划》等全国港口规划和《昭通市港口码头岸线规划（金沙江段2019年</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2035年）》、《景洪港总体规划（2019</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2035年）》等州（市）级以上港口布局规划以及港口总体规划的码头项目。</w:t>
                  </w:r>
                </w:p>
              </w:tc>
              <w:tc>
                <w:tcPr>
                  <w:tcW w:w="2587" w:type="dxa"/>
                  <w:noWrap w:val="0"/>
                  <w:vAlign w:val="center"/>
                </w:tcPr>
                <w:p w14:paraId="4CCCD86D">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该项目为纸制品制造生产项目，不属于码头项目。</w:t>
                  </w:r>
                </w:p>
              </w:tc>
              <w:tc>
                <w:tcPr>
                  <w:tcW w:w="534" w:type="dxa"/>
                  <w:noWrap w:val="0"/>
                  <w:vAlign w:val="center"/>
                </w:tcPr>
                <w:p w14:paraId="675E713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6867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516" w:type="dxa"/>
                  <w:noWrap w:val="0"/>
                  <w:vAlign w:val="center"/>
                </w:tcPr>
                <w:p w14:paraId="099B6A14">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4125" w:type="dxa"/>
                  <w:noWrap w:val="0"/>
                  <w:vAlign w:val="center"/>
                </w:tcPr>
                <w:p w14:paraId="6342D77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禁止在自然保护区核心区、缓冲区的岸线和河段范围内投资建设旅游和生产经营项目。禁止建设与自然保护区保护方向不一致的旅游项目。禁止在自然保护区内进行开矿、采石</w:t>
                  </w:r>
                  <w:r>
                    <w:rPr>
                      <w:rFonts w:hint="eastAsia" w:cs="Times New Roman"/>
                      <w:b w:val="0"/>
                      <w:bCs w:val="0"/>
                      <w:color w:val="auto"/>
                      <w:kern w:val="0"/>
                      <w:sz w:val="21"/>
                      <w:szCs w:val="21"/>
                      <w:highlight w:val="none"/>
                      <w:lang w:val="en-US" w:eastAsia="zh-CN" w:bidi="ar-SA"/>
                    </w:rPr>
                    <w:t>挖沙</w:t>
                  </w:r>
                  <w:r>
                    <w:rPr>
                      <w:rFonts w:hint="default" w:ascii="Times New Roman" w:hAnsi="Times New Roman" w:eastAsia="宋体" w:cs="Times New Roman"/>
                      <w:b w:val="0"/>
                      <w:bCs w:val="0"/>
                      <w:color w:val="auto"/>
                      <w:kern w:val="0"/>
                      <w:sz w:val="21"/>
                      <w:szCs w:val="21"/>
                      <w:highlight w:val="none"/>
                      <w:lang w:val="en-US" w:eastAsia="zh-CN" w:bidi="ar-SA"/>
                    </w:rPr>
                    <w:t>等活动。禁止在自然保护区的核心区和缓冲区内建设任何生产设施，禁止在自然保护区的实验区内建设污染环境、破坏资源或者景观的生产设施。</w:t>
                  </w:r>
                </w:p>
              </w:tc>
              <w:tc>
                <w:tcPr>
                  <w:tcW w:w="2587" w:type="dxa"/>
                  <w:noWrap w:val="0"/>
                  <w:vAlign w:val="center"/>
                </w:tcPr>
                <w:p w14:paraId="6E30B19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项目租用已建厂房进行建设，不新增占地，不涉及</w:t>
                  </w:r>
                  <w:r>
                    <w:rPr>
                      <w:rFonts w:hint="default" w:ascii="Times New Roman" w:hAnsi="Times New Roman" w:eastAsia="宋体" w:cs="Times New Roman"/>
                      <w:b w:val="0"/>
                      <w:bCs w:val="0"/>
                      <w:color w:val="auto"/>
                      <w:kern w:val="0"/>
                      <w:sz w:val="21"/>
                      <w:szCs w:val="21"/>
                      <w:highlight w:val="none"/>
                      <w:lang w:val="en-US" w:eastAsia="zh-CN" w:bidi="ar-SA"/>
                    </w:rPr>
                    <w:t>自然保护区核心区、缓冲区的岸线和河段范围</w:t>
                  </w:r>
                  <w:r>
                    <w:rPr>
                      <w:rFonts w:hint="eastAsia" w:ascii="Times New Roman" w:hAnsi="Times New Roman" w:eastAsia="宋体" w:cs="Times New Roman"/>
                      <w:b w:val="0"/>
                      <w:bCs w:val="0"/>
                      <w:color w:val="auto"/>
                      <w:kern w:val="0"/>
                      <w:sz w:val="21"/>
                      <w:szCs w:val="21"/>
                      <w:highlight w:val="none"/>
                      <w:lang w:val="en-US" w:eastAsia="zh-CN" w:bidi="ar-SA"/>
                    </w:rPr>
                    <w:t>；不涉及自然保护区得试验区；该项目为纸制品生产项目，不涉及旅游和生产经营、开矿、采石</w:t>
                  </w:r>
                  <w:r>
                    <w:rPr>
                      <w:rFonts w:hint="eastAsia" w:cs="Times New Roman"/>
                      <w:b w:val="0"/>
                      <w:bCs w:val="0"/>
                      <w:color w:val="auto"/>
                      <w:kern w:val="0"/>
                      <w:sz w:val="21"/>
                      <w:szCs w:val="21"/>
                      <w:highlight w:val="none"/>
                      <w:lang w:val="en-US" w:eastAsia="zh-CN" w:bidi="ar-SA"/>
                    </w:rPr>
                    <w:t>挖沙</w:t>
                  </w:r>
                  <w:r>
                    <w:rPr>
                      <w:rFonts w:hint="eastAsia" w:ascii="Times New Roman" w:hAnsi="Times New Roman" w:eastAsia="宋体" w:cs="Times New Roman"/>
                      <w:b w:val="0"/>
                      <w:bCs w:val="0"/>
                      <w:color w:val="auto"/>
                      <w:kern w:val="0"/>
                      <w:sz w:val="21"/>
                      <w:szCs w:val="21"/>
                      <w:highlight w:val="none"/>
                      <w:lang w:val="en-US" w:eastAsia="zh-CN" w:bidi="ar-SA"/>
                    </w:rPr>
                    <w:t>等活动。</w:t>
                  </w:r>
                </w:p>
              </w:tc>
              <w:tc>
                <w:tcPr>
                  <w:tcW w:w="534" w:type="dxa"/>
                  <w:noWrap w:val="0"/>
                  <w:vAlign w:val="center"/>
                </w:tcPr>
                <w:p w14:paraId="250E146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符合</w:t>
                  </w:r>
                </w:p>
              </w:tc>
            </w:tr>
            <w:tr w14:paraId="176E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02859F1A">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4125" w:type="dxa"/>
                  <w:noWrap w:val="0"/>
                  <w:vAlign w:val="center"/>
                </w:tcPr>
                <w:p w14:paraId="49F53CE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587" w:type="dxa"/>
                  <w:noWrap w:val="0"/>
                  <w:vAlign w:val="center"/>
                </w:tcPr>
                <w:p w14:paraId="563D4E78">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项目租用已建厂房进行建设，不新增占地，不涉及</w:t>
                  </w:r>
                  <w:r>
                    <w:rPr>
                      <w:rFonts w:hint="default" w:ascii="Times New Roman" w:hAnsi="Times New Roman" w:eastAsia="宋体" w:cs="Times New Roman"/>
                      <w:b w:val="0"/>
                      <w:bCs w:val="0"/>
                      <w:color w:val="auto"/>
                      <w:kern w:val="0"/>
                      <w:sz w:val="21"/>
                      <w:szCs w:val="21"/>
                      <w:highlight w:val="none"/>
                      <w:lang w:val="en-US" w:eastAsia="zh-CN" w:bidi="ar-SA"/>
                    </w:rPr>
                    <w:t>自然保护区核心区、缓冲区的岸线和河段范围</w:t>
                  </w:r>
                  <w:r>
                    <w:rPr>
                      <w:rFonts w:hint="eastAsia" w:ascii="Times New Roman" w:hAnsi="Times New Roman" w:eastAsia="宋体" w:cs="Times New Roman"/>
                      <w:b w:val="0"/>
                      <w:bCs w:val="0"/>
                      <w:color w:val="auto"/>
                      <w:kern w:val="0"/>
                      <w:sz w:val="21"/>
                      <w:szCs w:val="21"/>
                      <w:highlight w:val="none"/>
                      <w:lang w:val="en-US" w:eastAsia="zh-CN" w:bidi="ar-SA"/>
                    </w:rPr>
                    <w:t>；该项目为塑料制品生产项目，不涉及开山</w:t>
                  </w:r>
                  <w:r>
                    <w:rPr>
                      <w:rFonts w:hint="default" w:ascii="Times New Roman" w:hAnsi="Times New Roman" w:eastAsia="宋体" w:cs="Times New Roman"/>
                      <w:b w:val="0"/>
                      <w:bCs w:val="0"/>
                      <w:color w:val="auto"/>
                      <w:kern w:val="0"/>
                      <w:sz w:val="21"/>
                      <w:szCs w:val="21"/>
                      <w:highlight w:val="none"/>
                      <w:lang w:val="en-US" w:eastAsia="zh-CN" w:bidi="ar-SA"/>
                    </w:rPr>
                    <w:t>、采石、开矿、开荒、修坟立碑</w:t>
                  </w:r>
                  <w:bookmarkStart w:id="45" w:name="_GoBack"/>
                  <w:bookmarkEnd w:id="45"/>
                  <w:r>
                    <w:rPr>
                      <w:rFonts w:hint="default" w:ascii="Times New Roman" w:hAnsi="Times New Roman" w:eastAsia="宋体" w:cs="Times New Roman"/>
                      <w:b w:val="0"/>
                      <w:bCs w:val="0"/>
                      <w:color w:val="auto"/>
                      <w:kern w:val="0"/>
                      <w:sz w:val="21"/>
                      <w:szCs w:val="21"/>
                      <w:highlight w:val="none"/>
                      <w:lang w:val="en-US" w:eastAsia="zh-CN" w:bidi="ar-SA"/>
                    </w:rPr>
                    <w:t>以及修建储存爆炸性、易燃性、放射性、毒害性腐蚀性物品的设施</w:t>
                  </w:r>
                  <w:r>
                    <w:rPr>
                      <w:rFonts w:hint="eastAsia" w:ascii="Times New Roman" w:hAnsi="Times New Roman" w:eastAsia="宋体" w:cs="Times New Roman"/>
                      <w:b w:val="0"/>
                      <w:bCs w:val="0"/>
                      <w:color w:val="auto"/>
                      <w:kern w:val="0"/>
                      <w:sz w:val="21"/>
                      <w:szCs w:val="21"/>
                      <w:highlight w:val="none"/>
                      <w:lang w:val="en-US" w:eastAsia="zh-CN" w:bidi="ar-SA"/>
                    </w:rPr>
                    <w:t>；也不涉及</w:t>
                  </w:r>
                  <w:r>
                    <w:rPr>
                      <w:rFonts w:hint="default" w:ascii="Times New Roman" w:hAnsi="Times New Roman" w:eastAsia="宋体" w:cs="Times New Roman"/>
                      <w:b w:val="0"/>
                      <w:bCs w:val="0"/>
                      <w:color w:val="auto"/>
                      <w:kern w:val="0"/>
                      <w:sz w:val="21"/>
                      <w:szCs w:val="21"/>
                      <w:highlight w:val="none"/>
                      <w:lang w:val="en-US" w:eastAsia="zh-CN" w:bidi="ar-SA"/>
                    </w:rPr>
                    <w:t>建设宾馆、会所、培训中心、疗养院</w:t>
                  </w:r>
                  <w:r>
                    <w:rPr>
                      <w:rFonts w:hint="eastAsia" w:ascii="Times New Roman" w:hAnsi="Times New Roman" w:eastAsia="宋体" w:cs="Times New Roman"/>
                      <w:b w:val="0"/>
                      <w:bCs w:val="0"/>
                      <w:color w:val="auto"/>
                      <w:kern w:val="0"/>
                      <w:sz w:val="21"/>
                      <w:szCs w:val="21"/>
                      <w:highlight w:val="none"/>
                      <w:lang w:val="en-US" w:eastAsia="zh-CN" w:bidi="ar-SA"/>
                    </w:rPr>
                    <w:t>等活动。</w:t>
                  </w:r>
                </w:p>
              </w:tc>
              <w:tc>
                <w:tcPr>
                  <w:tcW w:w="534" w:type="dxa"/>
                  <w:noWrap w:val="0"/>
                  <w:vAlign w:val="center"/>
                </w:tcPr>
                <w:p w14:paraId="3198A8D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符合</w:t>
                  </w:r>
                </w:p>
              </w:tc>
            </w:tr>
            <w:tr w14:paraId="3831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5B7B962B">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4125" w:type="dxa"/>
                  <w:noWrap w:val="0"/>
                  <w:vAlign w:val="center"/>
                </w:tcPr>
                <w:p w14:paraId="70E32956">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587" w:type="dxa"/>
                  <w:noWrap w:val="0"/>
                  <w:vAlign w:val="center"/>
                </w:tcPr>
                <w:p w14:paraId="1125592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项目不新增占地，不涉及饮用水水源一级保护区的岸线和河段范围；不涉及饮用水水源二级保护区的岸线和河段范围；该项目为纸制品生产项目，不涉及供水设施、网箱养殖、畜禽养殖、旅游等活动。</w:t>
                  </w:r>
                </w:p>
              </w:tc>
              <w:tc>
                <w:tcPr>
                  <w:tcW w:w="534" w:type="dxa"/>
                  <w:noWrap w:val="0"/>
                  <w:vAlign w:val="center"/>
                </w:tcPr>
                <w:p w14:paraId="0B1CBCA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符合</w:t>
                  </w:r>
                </w:p>
              </w:tc>
            </w:tr>
            <w:tr w14:paraId="2110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7E3DA634">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4125" w:type="dxa"/>
                  <w:noWrap w:val="0"/>
                  <w:vAlign w:val="center"/>
                </w:tcPr>
                <w:p w14:paraId="79E8EF10">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587" w:type="dxa"/>
                  <w:noWrap w:val="0"/>
                  <w:vAlign w:val="center"/>
                </w:tcPr>
                <w:p w14:paraId="7EFEBD7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项目不新增占地，不涉及水产种质资源保护区的岸线和河段范围；不涉及国家湿地公园；该项目为纸制品生产项目，不涉及围湖造田、围湖造地、围填海、挖沙、采矿、建设度假区、高尔夫球场等活动。</w:t>
                  </w:r>
                </w:p>
              </w:tc>
              <w:tc>
                <w:tcPr>
                  <w:tcW w:w="534" w:type="dxa"/>
                  <w:noWrap w:val="0"/>
                  <w:vAlign w:val="center"/>
                </w:tcPr>
                <w:p w14:paraId="467B482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符合</w:t>
                  </w:r>
                </w:p>
              </w:tc>
            </w:tr>
            <w:tr w14:paraId="213B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64DCB4EF">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6</w:t>
                  </w:r>
                </w:p>
              </w:tc>
              <w:tc>
                <w:tcPr>
                  <w:tcW w:w="4125" w:type="dxa"/>
                  <w:noWrap w:val="0"/>
                  <w:vAlign w:val="center"/>
                </w:tcPr>
                <w:p w14:paraId="0FA18600">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587" w:type="dxa"/>
                  <w:noWrap w:val="0"/>
                  <w:vAlign w:val="center"/>
                </w:tcPr>
                <w:p w14:paraId="4FEE2FB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项目不新增占地，不涉及长江流域河湖岸线，不在金沙江岸线保护区和保留区内；不在金沙江干流、九大高原湖泊保护区、保留区内；该项目为纸制品生产项目，不涉及不利于水资源及自然生态保护的活动。</w:t>
                  </w:r>
                </w:p>
              </w:tc>
              <w:tc>
                <w:tcPr>
                  <w:tcW w:w="534" w:type="dxa"/>
                  <w:noWrap w:val="0"/>
                  <w:vAlign w:val="center"/>
                </w:tcPr>
                <w:p w14:paraId="662C673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符合</w:t>
                  </w:r>
                </w:p>
              </w:tc>
            </w:tr>
            <w:tr w14:paraId="78E8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5311CC66">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7</w:t>
                  </w:r>
                </w:p>
              </w:tc>
              <w:tc>
                <w:tcPr>
                  <w:tcW w:w="4125" w:type="dxa"/>
                  <w:noWrap w:val="0"/>
                  <w:vAlign w:val="center"/>
                </w:tcPr>
                <w:p w14:paraId="7C31CA5D">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587" w:type="dxa"/>
                  <w:noWrap w:val="0"/>
                  <w:vAlign w:val="center"/>
                </w:tcPr>
                <w:p w14:paraId="2794DC1A">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该项目为纸制品生产项目，不涉及过江基础设施项目，项目未新设、改设或扩大排污口。</w:t>
                  </w:r>
                </w:p>
              </w:tc>
              <w:tc>
                <w:tcPr>
                  <w:tcW w:w="534" w:type="dxa"/>
                  <w:noWrap w:val="0"/>
                  <w:vAlign w:val="center"/>
                </w:tcPr>
                <w:p w14:paraId="4C2AB5B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符合</w:t>
                  </w:r>
                </w:p>
              </w:tc>
            </w:tr>
            <w:tr w14:paraId="6CE1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6992131E">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8</w:t>
                  </w:r>
                </w:p>
              </w:tc>
              <w:tc>
                <w:tcPr>
                  <w:tcW w:w="4125" w:type="dxa"/>
                  <w:noWrap w:val="0"/>
                  <w:vAlign w:val="center"/>
                </w:tcPr>
                <w:p w14:paraId="3329013B">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禁止在金沙江干流、长江一级支流、水生生物保护区和长江流域禁捕水域开展天然渔业资源生产性捕捞。</w:t>
                  </w:r>
                </w:p>
              </w:tc>
              <w:tc>
                <w:tcPr>
                  <w:tcW w:w="2587" w:type="dxa"/>
                  <w:noWrap w:val="0"/>
                  <w:vAlign w:val="center"/>
                </w:tcPr>
                <w:p w14:paraId="4717A29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项目不涉及金沙江干流、长江一级支流、水生生物保护区和长江流域禁捕水域。</w:t>
                  </w:r>
                </w:p>
              </w:tc>
              <w:tc>
                <w:tcPr>
                  <w:tcW w:w="534" w:type="dxa"/>
                  <w:noWrap w:val="0"/>
                  <w:vAlign w:val="center"/>
                </w:tcPr>
                <w:p w14:paraId="615E6F8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符合</w:t>
                  </w:r>
                </w:p>
              </w:tc>
            </w:tr>
            <w:tr w14:paraId="260D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1B85BC32">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9</w:t>
                  </w:r>
                </w:p>
              </w:tc>
              <w:tc>
                <w:tcPr>
                  <w:tcW w:w="4125" w:type="dxa"/>
                  <w:noWrap w:val="0"/>
                  <w:vAlign w:val="center"/>
                </w:tcPr>
                <w:p w14:paraId="25ED41F0">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禁止在金沙江干流，长江一级支流和九大高原湖泊岸线一公里范围内新建、扩建化工园区和化工项目。禁止在金沙江干流岸线三公里范围内和长江一级支流岸线一公里范围内新建、改建、扩建尾矿库、</w:t>
                  </w:r>
                  <w:r>
                    <w:rPr>
                      <w:rFonts w:hint="eastAsia" w:cs="Times New Roman"/>
                      <w:b w:val="0"/>
                      <w:bCs w:val="0"/>
                      <w:color w:val="auto"/>
                      <w:kern w:val="0"/>
                      <w:sz w:val="21"/>
                      <w:szCs w:val="21"/>
                      <w:highlight w:val="none"/>
                      <w:lang w:val="en-US" w:eastAsia="zh-CN" w:bidi="ar-SA"/>
                    </w:rPr>
                    <w:t>冶炼</w:t>
                  </w:r>
                  <w:r>
                    <w:rPr>
                      <w:rFonts w:hint="eastAsia" w:ascii="Times New Roman" w:hAnsi="Times New Roman" w:eastAsia="宋体" w:cs="Times New Roman"/>
                      <w:b w:val="0"/>
                      <w:bCs w:val="0"/>
                      <w:color w:val="auto"/>
                      <w:kern w:val="0"/>
                      <w:sz w:val="21"/>
                      <w:szCs w:val="21"/>
                      <w:highlight w:val="none"/>
                      <w:lang w:val="en-US" w:eastAsia="zh-CN" w:bidi="ar-SA"/>
                    </w:rPr>
                    <w:t>渣库和磷石膏库，以提升安全、生态环境保护水平为目的的改建除外。</w:t>
                  </w:r>
                </w:p>
              </w:tc>
              <w:tc>
                <w:tcPr>
                  <w:tcW w:w="2587" w:type="dxa"/>
                  <w:noWrap w:val="0"/>
                  <w:vAlign w:val="center"/>
                </w:tcPr>
                <w:p w14:paraId="78D457E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项目为纸制品生产项目，不属于化工、尾矿库、</w:t>
                  </w:r>
                  <w:r>
                    <w:rPr>
                      <w:rFonts w:hint="eastAsia" w:cs="Times New Roman"/>
                      <w:b w:val="0"/>
                      <w:bCs w:val="0"/>
                      <w:color w:val="auto"/>
                      <w:kern w:val="0"/>
                      <w:sz w:val="21"/>
                      <w:szCs w:val="21"/>
                      <w:highlight w:val="none"/>
                      <w:lang w:val="en-US" w:eastAsia="zh-CN" w:bidi="ar-SA"/>
                    </w:rPr>
                    <w:t>冶炼</w:t>
                  </w:r>
                  <w:r>
                    <w:rPr>
                      <w:rFonts w:hint="eastAsia" w:ascii="Times New Roman" w:hAnsi="Times New Roman" w:eastAsia="宋体" w:cs="Times New Roman"/>
                      <w:b w:val="0"/>
                      <w:bCs w:val="0"/>
                      <w:color w:val="auto"/>
                      <w:kern w:val="0"/>
                      <w:sz w:val="21"/>
                      <w:szCs w:val="21"/>
                      <w:highlight w:val="none"/>
                      <w:lang w:val="en-US" w:eastAsia="zh-CN" w:bidi="ar-SA"/>
                    </w:rPr>
                    <w:t>渣库和磷石膏库等项目。</w:t>
                  </w:r>
                </w:p>
              </w:tc>
              <w:tc>
                <w:tcPr>
                  <w:tcW w:w="534" w:type="dxa"/>
                  <w:noWrap w:val="0"/>
                  <w:vAlign w:val="center"/>
                </w:tcPr>
                <w:p w14:paraId="15183D8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符合</w:t>
                  </w:r>
                </w:p>
              </w:tc>
            </w:tr>
            <w:tr w14:paraId="1040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46944C05">
                  <w:pPr>
                    <w:pStyle w:val="13"/>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10</w:t>
                  </w:r>
                </w:p>
              </w:tc>
              <w:tc>
                <w:tcPr>
                  <w:tcW w:w="4125" w:type="dxa"/>
                  <w:noWrap w:val="0"/>
                  <w:vAlign w:val="center"/>
                </w:tcPr>
                <w:p w14:paraId="591D0EDF">
                  <w:pPr>
                    <w:pStyle w:val="4"/>
                    <w:keepNext w:val="0"/>
                    <w:keepLines w:val="0"/>
                    <w:suppressLineNumbers w:val="0"/>
                    <w:adjustRightInd w:val="0"/>
                    <w:snapToGrid w:val="0"/>
                    <w:spacing w:before="0" w:beforeAutospacing="0" w:after="0" w:afterAutospacing="0"/>
                    <w:ind w:right="0"/>
                    <w:jc w:val="center"/>
                    <w:outlineLvl w:val="2"/>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禁止在合规园区外新建、扩建钢铁、石化、化工焦化、建材、有色、制浆造纸行业中的高污染项目。</w:t>
                  </w:r>
                </w:p>
              </w:tc>
              <w:tc>
                <w:tcPr>
                  <w:tcW w:w="2587" w:type="dxa"/>
                  <w:noWrap w:val="0"/>
                  <w:vAlign w:val="center"/>
                </w:tcPr>
                <w:p w14:paraId="2CB023C8">
                  <w:pPr>
                    <w:pStyle w:val="4"/>
                    <w:keepNext w:val="0"/>
                    <w:keepLines w:val="0"/>
                    <w:suppressLineNumbers w:val="0"/>
                    <w:adjustRightInd w:val="0"/>
                    <w:snapToGrid w:val="0"/>
                    <w:spacing w:before="0" w:beforeAutospacing="0" w:after="0" w:afterAutospacing="0"/>
                    <w:ind w:right="0"/>
                    <w:jc w:val="left"/>
                    <w:outlineLvl w:val="2"/>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项目位于合规园区；项目属于纸制品生产项目，不属于钢铁、石化、化工焦化、建材、有色、制浆造纸行业中的高污染项目。</w:t>
                  </w:r>
                </w:p>
              </w:tc>
              <w:tc>
                <w:tcPr>
                  <w:tcW w:w="534" w:type="dxa"/>
                  <w:noWrap w:val="0"/>
                  <w:vAlign w:val="center"/>
                </w:tcPr>
                <w:p w14:paraId="318E078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符合</w:t>
                  </w:r>
                </w:p>
              </w:tc>
            </w:tr>
            <w:tr w14:paraId="7FA9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2B145B82">
                  <w:pPr>
                    <w:pStyle w:val="13"/>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11</w:t>
                  </w:r>
                </w:p>
              </w:tc>
              <w:tc>
                <w:tcPr>
                  <w:tcW w:w="4125" w:type="dxa"/>
                  <w:noWrap w:val="0"/>
                  <w:vAlign w:val="center"/>
                </w:tcPr>
                <w:p w14:paraId="09DAF217">
                  <w:pPr>
                    <w:pStyle w:val="4"/>
                    <w:keepNext w:val="0"/>
                    <w:keepLines w:val="0"/>
                    <w:suppressLineNumbers w:val="0"/>
                    <w:adjustRightInd w:val="0"/>
                    <w:snapToGrid w:val="0"/>
                    <w:spacing w:before="0" w:beforeAutospacing="0" w:after="0" w:afterAutospacing="0"/>
                    <w:ind w:right="0"/>
                    <w:jc w:val="center"/>
                    <w:outlineLvl w:val="2"/>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禁止新建、扩建不符合国家石化、现代煤化工等</w:t>
                  </w:r>
                </w:p>
                <w:p w14:paraId="46C14929">
                  <w:pPr>
                    <w:pStyle w:val="4"/>
                    <w:keepNext w:val="0"/>
                    <w:keepLines w:val="0"/>
                    <w:suppressLineNumbers w:val="0"/>
                    <w:adjustRightInd w:val="0"/>
                    <w:snapToGrid w:val="0"/>
                    <w:spacing w:before="0" w:beforeAutospacing="0" w:after="0" w:afterAutospacing="0"/>
                    <w:ind w:right="0"/>
                    <w:jc w:val="center"/>
                    <w:outlineLvl w:val="2"/>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产业布局规划的项目。禁止列入《云南省城镇人口密集区危险化学品生产企业搬迁改造名单》的搬迁改造企业在原址新建、扩建危险化学品生产项目。</w:t>
                  </w:r>
                </w:p>
              </w:tc>
              <w:tc>
                <w:tcPr>
                  <w:tcW w:w="2587" w:type="dxa"/>
                  <w:noWrap w:val="0"/>
                  <w:vAlign w:val="center"/>
                </w:tcPr>
                <w:p w14:paraId="0BEF3027">
                  <w:pPr>
                    <w:pStyle w:val="4"/>
                    <w:keepNext w:val="0"/>
                    <w:keepLines w:val="0"/>
                    <w:suppressLineNumbers w:val="0"/>
                    <w:adjustRightInd w:val="0"/>
                    <w:snapToGrid w:val="0"/>
                    <w:spacing w:before="0" w:beforeAutospacing="0" w:after="0" w:afterAutospacing="0"/>
                    <w:ind w:right="0"/>
                    <w:jc w:val="left"/>
                    <w:outlineLvl w:val="2"/>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项目属于纸制品生产项目，不属于石化、煤化工以及危险化学品生产项目。</w:t>
                  </w:r>
                </w:p>
              </w:tc>
              <w:tc>
                <w:tcPr>
                  <w:tcW w:w="534" w:type="dxa"/>
                  <w:noWrap w:val="0"/>
                  <w:vAlign w:val="center"/>
                </w:tcPr>
                <w:p w14:paraId="4B86424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符合</w:t>
                  </w:r>
                </w:p>
              </w:tc>
            </w:tr>
            <w:tr w14:paraId="2B78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1C1F7C7C">
                  <w:pPr>
                    <w:pStyle w:val="13"/>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12</w:t>
                  </w:r>
                </w:p>
              </w:tc>
              <w:tc>
                <w:tcPr>
                  <w:tcW w:w="4125" w:type="dxa"/>
                  <w:noWrap w:val="0"/>
                  <w:vAlign w:val="center"/>
                </w:tcPr>
                <w:p w14:paraId="087B2071">
                  <w:pPr>
                    <w:pStyle w:val="4"/>
                    <w:keepNext w:val="0"/>
                    <w:keepLines w:val="0"/>
                    <w:suppressLineNumbers w:val="0"/>
                    <w:adjustRightInd w:val="0"/>
                    <w:snapToGrid w:val="0"/>
                    <w:spacing w:before="0" w:beforeAutospacing="0" w:after="0" w:afterAutospacing="0"/>
                    <w:ind w:right="0"/>
                    <w:jc w:val="center"/>
                    <w:outlineLvl w:val="2"/>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磷、烧碱、纯碱、聚氯乙烯等行业新增产能。</w:t>
                  </w:r>
                </w:p>
              </w:tc>
              <w:tc>
                <w:tcPr>
                  <w:tcW w:w="2587" w:type="dxa"/>
                  <w:noWrap w:val="0"/>
                  <w:vAlign w:val="center"/>
                </w:tcPr>
                <w:p w14:paraId="5FBB9762">
                  <w:pPr>
                    <w:pStyle w:val="4"/>
                    <w:keepNext w:val="0"/>
                    <w:keepLines w:val="0"/>
                    <w:suppressLineNumbers w:val="0"/>
                    <w:adjustRightInd w:val="0"/>
                    <w:snapToGrid w:val="0"/>
                    <w:spacing w:before="0" w:beforeAutospacing="0" w:after="0" w:afterAutospacing="0"/>
                    <w:ind w:right="0"/>
                    <w:jc w:val="left"/>
                    <w:outlineLvl w:val="2"/>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项目属于纸制品生产项目，符合国家产业政策要求，项目能耗、环保、质量、安全均达标，符合国家产能置换要求；不属于过剩产能行业，不属于农药、尿素、磷、电石、焦炭、磷、烧碱、纯碱、聚氯乙烯等行业。</w:t>
                  </w:r>
                </w:p>
              </w:tc>
              <w:tc>
                <w:tcPr>
                  <w:tcW w:w="534" w:type="dxa"/>
                  <w:noWrap w:val="0"/>
                  <w:vAlign w:val="center"/>
                </w:tcPr>
                <w:p w14:paraId="68438E0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符合</w:t>
                  </w:r>
                </w:p>
              </w:tc>
            </w:tr>
          </w:tbl>
          <w:p w14:paraId="774A502C">
            <w:pPr>
              <w:pStyle w:val="38"/>
              <w:keepNext w:val="0"/>
              <w:keepLines w:val="0"/>
              <w:suppressLineNumbers w:val="0"/>
              <w:spacing w:before="0" w:beforeAutospacing="0" w:after="0" w:afterAutospacing="0"/>
              <w:ind w:left="0" w:right="0"/>
              <w:jc w:val="both"/>
              <w:rPr>
                <w:rFonts w:hint="eastAsia"/>
                <w:color w:val="auto"/>
                <w:sz w:val="24"/>
                <w:szCs w:val="24"/>
                <w:highlight w:val="yellow"/>
                <w:lang w:val="en-US" w:eastAsia="zh-CN"/>
              </w:rPr>
            </w:pPr>
            <w:r>
              <w:rPr>
                <w:rFonts w:hint="eastAsia"/>
                <w:color w:val="auto"/>
                <w:sz w:val="24"/>
                <w:szCs w:val="24"/>
                <w:highlight w:val="none"/>
                <w:lang w:val="en-US" w:eastAsia="zh-CN"/>
              </w:rPr>
              <w:t>综上，本项目建设与《云南省长江经济带发展负面清单指南实施细则（试行，2022年版）》相符。</w:t>
            </w:r>
          </w:p>
          <w:p w14:paraId="4B6CA85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10、与《中华人民共和国长江保护法》相符性分析</w:t>
            </w:r>
          </w:p>
          <w:p w14:paraId="5DE7A561">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2020年12月26日第十三届全国人民代表大会常务委员会第二十四次会议通过</w:t>
            </w:r>
            <w:r>
              <w:rPr>
                <w:rFonts w:hint="eastAsia" w:ascii="Times New Roman" w:hAnsi="Times New Roman" w:eastAsia="宋体" w:cs="Times New Roman"/>
                <w:color w:val="auto"/>
                <w:sz w:val="24"/>
                <w:szCs w:val="24"/>
                <w:highlight w:val="none"/>
                <w:lang w:eastAsia="zh-CN"/>
              </w:rPr>
              <w:t>《中华人民共和国长江保护法》。</w:t>
            </w:r>
          </w:p>
          <w:p w14:paraId="7ECB719F">
            <w:pPr>
              <w:keepNext w:val="0"/>
              <w:keepLines w:val="0"/>
              <w:pageBreakBefore w:val="0"/>
              <w:widowControl w:val="0"/>
              <w:numPr>
                <w:ilvl w:val="0"/>
                <w:numId w:val="0"/>
              </w:numPr>
              <w:suppressLineNumbers w:val="0"/>
              <w:kinsoku/>
              <w:wordWrap/>
              <w:overflowPunct/>
              <w:topLinePunct w:val="0"/>
              <w:autoSpaceDE/>
              <w:autoSpaceDN w:val="0"/>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color w:val="auto"/>
                <w:sz w:val="24"/>
                <w:szCs w:val="24"/>
                <w:highlight w:val="none"/>
                <w:lang w:val="en-US" w:eastAsia="zh-CN"/>
              </w:rPr>
              <w:t>本项目为其他纸制品制造</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不属于</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中华人民共和国长江保护法</w:t>
            </w:r>
            <w:r>
              <w:rPr>
                <w:rFonts w:hint="default" w:ascii="Times New Roman" w:hAnsi="Times New Roman" w:eastAsia="宋体" w:cs="Times New Roman"/>
                <w:color w:val="auto"/>
                <w:sz w:val="24"/>
                <w:szCs w:val="24"/>
                <w:highlight w:val="none"/>
              </w:rPr>
              <w:t>》中</w:t>
            </w:r>
            <w:r>
              <w:rPr>
                <w:rFonts w:hint="eastAsia" w:ascii="Times New Roman" w:hAnsi="Times New Roman" w:eastAsia="宋体" w:cs="Times New Roman"/>
                <w:color w:val="auto"/>
                <w:sz w:val="24"/>
                <w:szCs w:val="24"/>
                <w:highlight w:val="none"/>
                <w:lang w:eastAsia="zh-CN"/>
              </w:rPr>
              <w:t>禁止建设的行业，不</w:t>
            </w:r>
            <w:r>
              <w:rPr>
                <w:rFonts w:hint="default" w:ascii="Times New Roman" w:hAnsi="Times New Roman" w:eastAsia="宋体" w:cs="Times New Roman"/>
                <w:color w:val="auto"/>
                <w:sz w:val="24"/>
                <w:szCs w:val="24"/>
                <w:highlight w:val="none"/>
              </w:rPr>
              <w:t>违反生态环境准入清单的规定进行生产建设活动</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符合国家产业政策</w:t>
            </w:r>
            <w:r>
              <w:rPr>
                <w:rFonts w:hint="eastAsia"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选址不涉及自然保护区、饮用水源保护区、水产种质资源保护区、生态红线、基本农田等环境敏感区域，满足《</w:t>
            </w:r>
            <w:r>
              <w:rPr>
                <w:rFonts w:hint="eastAsia" w:ascii="Times New Roman" w:hAnsi="Times New Roman" w:eastAsia="宋体" w:cs="Times New Roman"/>
                <w:color w:val="auto"/>
                <w:sz w:val="24"/>
                <w:szCs w:val="24"/>
                <w:highlight w:val="none"/>
                <w:lang w:eastAsia="zh-CN"/>
              </w:rPr>
              <w:t>中华人民共和国长江保护法</w:t>
            </w:r>
            <w:r>
              <w:rPr>
                <w:rFonts w:hint="default" w:ascii="Times New Roman" w:hAnsi="Times New Roman" w:eastAsia="宋体" w:cs="Times New Roman"/>
                <w:color w:val="auto"/>
                <w:sz w:val="24"/>
                <w:szCs w:val="24"/>
                <w:highlight w:val="none"/>
              </w:rPr>
              <w:t>》中的要求。</w:t>
            </w:r>
          </w:p>
          <w:p w14:paraId="2CECB9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与《重点行业挥发性有机物综合治理方案》符合性分析</w:t>
            </w:r>
          </w:p>
          <w:p w14:paraId="3E7DFF0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贯彻落实《中共中央国务院关于全面加强生态环境保护坚决打好污染防治攻坚战的意见》《国务院关于印发打赢蓝天保卫战三年行动计划的通知》有关要求，深入实施《“十三五”挥发性有机物污染防治工作方案》，加强对各地工作指导，提高挥发性有机物（VOCs）治理的科学性、针对性和有效性，协同控制温室气体排放。</w:t>
            </w:r>
          </w:p>
          <w:p w14:paraId="3F3C700D">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color w:val="auto"/>
                <w:sz w:val="24"/>
                <w:szCs w:val="24"/>
                <w:highlight w:val="none"/>
                <w:lang w:val="en-US" w:eastAsia="zh-CN"/>
              </w:rPr>
            </w:pPr>
            <w:r>
              <w:rPr>
                <w:rFonts w:hint="default"/>
                <w:b/>
                <w:color w:val="auto"/>
                <w:szCs w:val="21"/>
                <w:highlight w:val="none"/>
              </w:rPr>
              <w:t>表1-</w:t>
            </w:r>
            <w:r>
              <w:rPr>
                <w:rFonts w:hint="eastAsia"/>
                <w:b/>
                <w:color w:val="auto"/>
                <w:szCs w:val="21"/>
                <w:highlight w:val="none"/>
                <w:lang w:val="en-US" w:eastAsia="zh-CN"/>
              </w:rPr>
              <w:t>11 项目与《重点行业挥发性有机物综合治理方案》符合性分析情况表</w:t>
            </w:r>
          </w:p>
          <w:tbl>
            <w:tblPr>
              <w:tblStyle w:val="30"/>
              <w:tblW w:w="7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320"/>
              <w:gridCol w:w="2392"/>
              <w:gridCol w:w="534"/>
            </w:tblGrid>
            <w:tr w14:paraId="1F2A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noWrap w:val="0"/>
                  <w:vAlign w:val="center"/>
                </w:tcPr>
                <w:p w14:paraId="1185567A">
                  <w:pPr>
                    <w:pStyle w:val="13"/>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序号</w:t>
                  </w:r>
                </w:p>
              </w:tc>
              <w:tc>
                <w:tcPr>
                  <w:tcW w:w="4320" w:type="dxa"/>
                  <w:noWrap w:val="0"/>
                  <w:vAlign w:val="center"/>
                </w:tcPr>
                <w:p w14:paraId="38A41D75">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highlight w:val="none"/>
                    </w:rPr>
                  </w:pPr>
                  <w:r>
                    <w:rPr>
                      <w:rFonts w:hint="default" w:ascii="Times New Roman" w:hAnsi="Times New Roman"/>
                      <w:b/>
                      <w:bCs/>
                      <w:color w:val="auto"/>
                      <w:sz w:val="21"/>
                      <w:szCs w:val="21"/>
                      <w:highlight w:val="none"/>
                    </w:rPr>
                    <w:t>相关规定</w:t>
                  </w:r>
                </w:p>
              </w:tc>
              <w:tc>
                <w:tcPr>
                  <w:tcW w:w="2392" w:type="dxa"/>
                  <w:noWrap w:val="0"/>
                  <w:vAlign w:val="center"/>
                </w:tcPr>
                <w:p w14:paraId="26D6C204">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highlight w:val="none"/>
                    </w:rPr>
                  </w:pPr>
                  <w:r>
                    <w:rPr>
                      <w:rFonts w:hint="default" w:ascii="Times New Roman" w:hAnsi="Times New Roman"/>
                      <w:b/>
                      <w:bCs/>
                      <w:color w:val="auto"/>
                      <w:sz w:val="21"/>
                      <w:szCs w:val="21"/>
                      <w:highlight w:val="none"/>
                    </w:rPr>
                    <w:t>项目情况</w:t>
                  </w:r>
                </w:p>
              </w:tc>
              <w:tc>
                <w:tcPr>
                  <w:tcW w:w="534" w:type="dxa"/>
                  <w:noWrap w:val="0"/>
                  <w:vAlign w:val="center"/>
                </w:tcPr>
                <w:p w14:paraId="7B4CABF4">
                  <w:pPr>
                    <w:pStyle w:val="13"/>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b/>
                      <w:bCs/>
                      <w:color w:val="auto"/>
                      <w:sz w:val="21"/>
                      <w:szCs w:val="21"/>
                      <w:highlight w:val="none"/>
                    </w:rPr>
                  </w:pPr>
                  <w:r>
                    <w:rPr>
                      <w:rFonts w:hint="default" w:ascii="Times New Roman" w:hAnsi="Times New Roman"/>
                      <w:b/>
                      <w:bCs/>
                      <w:color w:val="auto"/>
                      <w:sz w:val="21"/>
                      <w:szCs w:val="21"/>
                      <w:highlight w:val="none"/>
                    </w:rPr>
                    <w:t>符合性</w:t>
                  </w:r>
                </w:p>
              </w:tc>
            </w:tr>
            <w:tr w14:paraId="7EAD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516" w:type="dxa"/>
                  <w:noWrap w:val="0"/>
                  <w:vAlign w:val="center"/>
                </w:tcPr>
                <w:p w14:paraId="2B5097C4">
                  <w:pPr>
                    <w:keepNext w:val="0"/>
                    <w:keepLines w:val="0"/>
                    <w:widowControl/>
                    <w:suppressLineNumbers w:val="0"/>
                    <w:adjustRightInd w:val="0"/>
                    <w:snapToGrid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1</w:t>
                  </w:r>
                </w:p>
              </w:tc>
              <w:tc>
                <w:tcPr>
                  <w:tcW w:w="4320" w:type="dxa"/>
                  <w:noWrap w:val="0"/>
                  <w:vAlign w:val="center"/>
                </w:tcPr>
                <w:p w14:paraId="75F2F3FD">
                  <w:pPr>
                    <w:pStyle w:val="9"/>
                    <w:keepNext w:val="0"/>
                    <w:keepLines w:val="0"/>
                    <w:suppressLineNumbers w:val="0"/>
                    <w:spacing w:before="128" w:beforeAutospacing="0" w:afterAutospacing="0" w:line="261" w:lineRule="auto"/>
                    <w:ind w:left="0" w:right="161"/>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大力推进源头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tc>
              <w:tc>
                <w:tcPr>
                  <w:tcW w:w="2392" w:type="dxa"/>
                  <w:noWrap w:val="0"/>
                  <w:vAlign w:val="center"/>
                </w:tcPr>
                <w:p w14:paraId="3344994F">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项目生产原料主要为三聚氰胺甲醛树脂，满足《木材工业胶粘剂用脲醛、酚醛、三聚氰胺甲醛树脂》（GB/T 14732-2017）要求；</w:t>
                  </w:r>
                </w:p>
              </w:tc>
              <w:tc>
                <w:tcPr>
                  <w:tcW w:w="534" w:type="dxa"/>
                  <w:noWrap w:val="0"/>
                  <w:vAlign w:val="center"/>
                </w:tcPr>
                <w:p w14:paraId="4263E32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14:paraId="45DE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16" w:type="dxa"/>
                  <w:noWrap w:val="0"/>
                  <w:vAlign w:val="center"/>
                </w:tcPr>
                <w:p w14:paraId="5C29EB9A">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4320" w:type="dxa"/>
                  <w:noWrap w:val="0"/>
                  <w:vAlign w:val="center"/>
                </w:tcPr>
                <w:p w14:paraId="2460367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eastAsia" w:ascii="Times New Roman" w:hAnsi="Times New Roman" w:eastAsia="宋体" w:cs="Times New Roman"/>
                      <w:color w:val="auto"/>
                      <w:kern w:val="0"/>
                      <w:szCs w:val="21"/>
                      <w:highlight w:val="none"/>
                      <w:lang w:val="en-US" w:eastAsia="zh-CN"/>
                    </w:rPr>
                    <w:t>。</w:t>
                  </w:r>
                </w:p>
              </w:tc>
              <w:tc>
                <w:tcPr>
                  <w:tcW w:w="2392" w:type="dxa"/>
                  <w:noWrap w:val="0"/>
                  <w:vAlign w:val="center"/>
                </w:tcPr>
                <w:p w14:paraId="6F1A29E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项目</w:t>
                  </w:r>
                  <w:r>
                    <w:rPr>
                      <w:rFonts w:hint="eastAsia" w:cs="Times New Roman"/>
                      <w:color w:val="auto"/>
                      <w:kern w:val="0"/>
                      <w:szCs w:val="21"/>
                      <w:highlight w:val="none"/>
                      <w:lang w:val="en-US" w:eastAsia="zh-CN"/>
                    </w:rPr>
                    <w:t>外购胶水均封存于密封桶中，通过密封接口管道注入密封调胶罐中，调胶完成后通过密闭管道注入密闭储胶罐中储存，调胶过程中产生的</w:t>
                  </w:r>
                  <w:r>
                    <w:rPr>
                      <w:rFonts w:hint="default" w:ascii="Times New Roman" w:hAnsi="Times New Roman" w:eastAsia="宋体" w:cs="Times New Roman"/>
                      <w:color w:val="auto"/>
                      <w:kern w:val="0"/>
                      <w:szCs w:val="21"/>
                      <w:highlight w:val="none"/>
                      <w:lang w:val="en-US" w:eastAsia="zh-CN"/>
                    </w:rPr>
                    <w:t>VOCs</w:t>
                  </w:r>
                  <w:r>
                    <w:rPr>
                      <w:rFonts w:hint="eastAsia" w:cs="Times New Roman"/>
                      <w:color w:val="auto"/>
                      <w:kern w:val="0"/>
                      <w:szCs w:val="21"/>
                      <w:highlight w:val="none"/>
                      <w:lang w:val="en-US" w:eastAsia="zh-CN"/>
                    </w:rPr>
                    <w:t>和调配好的胶水通过密闭管道注入卧式浸渍烘干一体化设备浸渍工段，浸渍工段上方设置负压集气罩，对</w:t>
                  </w:r>
                  <w:r>
                    <w:rPr>
                      <w:rFonts w:hint="default" w:ascii="Times New Roman" w:hAnsi="Times New Roman" w:eastAsia="宋体" w:cs="Times New Roman"/>
                      <w:color w:val="auto"/>
                      <w:kern w:val="0"/>
                      <w:szCs w:val="21"/>
                      <w:highlight w:val="none"/>
                      <w:lang w:val="en-US" w:eastAsia="zh-CN"/>
                    </w:rPr>
                    <w:t>VOCs</w:t>
                  </w:r>
                  <w:r>
                    <w:rPr>
                      <w:rFonts w:hint="eastAsia" w:cs="Times New Roman"/>
                      <w:color w:val="auto"/>
                      <w:kern w:val="0"/>
                      <w:szCs w:val="21"/>
                      <w:highlight w:val="none"/>
                      <w:lang w:val="en-US" w:eastAsia="zh-CN"/>
                    </w:rPr>
                    <w:t>收集效率为90%，经过“UV光解+活性炭吸附装置”处理后通过15m高排气筒排放，烘干过程在密闭空间进行，产生的</w:t>
                  </w:r>
                  <w:r>
                    <w:rPr>
                      <w:rFonts w:hint="default" w:ascii="Times New Roman" w:hAnsi="Times New Roman" w:eastAsia="宋体" w:cs="Times New Roman"/>
                      <w:color w:val="auto"/>
                      <w:kern w:val="0"/>
                      <w:szCs w:val="21"/>
                      <w:highlight w:val="none"/>
                      <w:lang w:val="en-US" w:eastAsia="zh-CN"/>
                    </w:rPr>
                    <w:t>VOCs</w:t>
                  </w:r>
                  <w:r>
                    <w:rPr>
                      <w:rFonts w:hint="eastAsia" w:cs="Times New Roman"/>
                      <w:color w:val="auto"/>
                      <w:kern w:val="0"/>
                      <w:szCs w:val="21"/>
                      <w:highlight w:val="none"/>
                      <w:lang w:val="en-US" w:eastAsia="zh-CN"/>
                    </w:rPr>
                    <w:t>全部通过排气管道收集至“UV光解+活性炭吸附装置”处理后通过15m高排气筒排放；</w:t>
                  </w:r>
                  <w:r>
                    <w:rPr>
                      <w:rFonts w:hint="eastAsia" w:ascii="Times New Roman" w:hAnsi="Times New Roman" w:eastAsia="宋体" w:cs="Times New Roman"/>
                      <w:color w:val="auto"/>
                      <w:kern w:val="0"/>
                      <w:szCs w:val="21"/>
                      <w:highlight w:val="none"/>
                      <w:lang w:val="en-US" w:eastAsia="zh-CN"/>
                    </w:rPr>
                    <w:t>有效减少了无组织</w:t>
                  </w:r>
                  <w:r>
                    <w:rPr>
                      <w:rFonts w:hint="default" w:ascii="Times New Roman" w:hAnsi="Times New Roman" w:eastAsia="宋体" w:cs="Times New Roman"/>
                      <w:color w:val="auto"/>
                      <w:kern w:val="0"/>
                      <w:szCs w:val="21"/>
                      <w:highlight w:val="none"/>
                      <w:lang w:val="en-US" w:eastAsia="zh-CN"/>
                    </w:rPr>
                    <w:t>VOCs</w:t>
                  </w:r>
                  <w:r>
                    <w:rPr>
                      <w:rFonts w:hint="eastAsia" w:ascii="Times New Roman" w:hAnsi="Times New Roman" w:eastAsia="宋体" w:cs="Times New Roman"/>
                      <w:color w:val="auto"/>
                      <w:kern w:val="0"/>
                      <w:szCs w:val="21"/>
                      <w:highlight w:val="none"/>
                      <w:lang w:val="en-US" w:eastAsia="zh-CN"/>
                    </w:rPr>
                    <w:t>排放。</w:t>
                  </w:r>
                </w:p>
              </w:tc>
              <w:tc>
                <w:tcPr>
                  <w:tcW w:w="534" w:type="dxa"/>
                  <w:noWrap w:val="0"/>
                  <w:vAlign w:val="center"/>
                </w:tcPr>
                <w:p w14:paraId="1CAF106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符合</w:t>
                  </w:r>
                </w:p>
              </w:tc>
            </w:tr>
            <w:tr w14:paraId="14FB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08B3CD0D">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w:t>
                  </w:r>
                </w:p>
              </w:tc>
              <w:tc>
                <w:tcPr>
                  <w:tcW w:w="4320" w:type="dxa"/>
                  <w:noWrap w:val="0"/>
                  <w:vAlign w:val="center"/>
                </w:tcPr>
                <w:p w14:paraId="3E25ABF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推进建设适宜高效的治污设施。企业新建治污设施或对现有治污设施实施改造，应依据排放废气的浓度、组分、风量，温度、湿度、压力，以及生产工况等，合理选择治理技术。</w:t>
                  </w:r>
                </w:p>
              </w:tc>
              <w:tc>
                <w:tcPr>
                  <w:tcW w:w="2392" w:type="dxa"/>
                  <w:noWrap w:val="0"/>
                  <w:vAlign w:val="center"/>
                </w:tcPr>
                <w:p w14:paraId="2AE8F58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项目调胶、烘干过程中产生的甲醛和</w:t>
                  </w:r>
                  <w:r>
                    <w:rPr>
                      <w:rFonts w:hint="default" w:ascii="Times New Roman" w:hAnsi="Times New Roman" w:eastAsia="宋体" w:cs="Times New Roman"/>
                      <w:color w:val="auto"/>
                      <w:kern w:val="0"/>
                      <w:szCs w:val="21"/>
                      <w:highlight w:val="none"/>
                      <w:lang w:val="en-US" w:eastAsia="zh-CN"/>
                    </w:rPr>
                    <w:t>VOCs</w:t>
                  </w:r>
                  <w:r>
                    <w:rPr>
                      <w:rFonts w:hint="eastAsia" w:ascii="Times New Roman" w:hAnsi="Times New Roman" w:eastAsia="宋体" w:cs="Times New Roman"/>
                      <w:color w:val="auto"/>
                      <w:kern w:val="0"/>
                      <w:szCs w:val="21"/>
                      <w:highlight w:val="none"/>
                      <w:lang w:val="en-US" w:eastAsia="zh-CN"/>
                    </w:rPr>
                    <w:t>通过“UV光解+三级活性炭吸附净化装置”处理达标后，由15m高的排气筒排放，排放浓度、排放速率均满足限制要求。</w:t>
                  </w:r>
                </w:p>
              </w:tc>
              <w:tc>
                <w:tcPr>
                  <w:tcW w:w="534" w:type="dxa"/>
                  <w:noWrap w:val="0"/>
                  <w:vAlign w:val="center"/>
                </w:tcPr>
                <w:p w14:paraId="50B23BA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lang w:val="en-US" w:eastAsia="zh-CN"/>
                    </w:rPr>
                    <w:t>符合</w:t>
                  </w:r>
                </w:p>
              </w:tc>
            </w:tr>
            <w:tr w14:paraId="4F50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6" w:type="dxa"/>
                  <w:noWrap w:val="0"/>
                  <w:vAlign w:val="center"/>
                </w:tcPr>
                <w:p w14:paraId="50D064D0">
                  <w:pPr>
                    <w:pStyle w:val="13"/>
                    <w:keepNext w:val="0"/>
                    <w:keepLines w:val="0"/>
                    <w:widowControl/>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p>
              </w:tc>
              <w:tc>
                <w:tcPr>
                  <w:tcW w:w="4320" w:type="dxa"/>
                  <w:noWrap w:val="0"/>
                  <w:vAlign w:val="center"/>
                </w:tcPr>
                <w:p w14:paraId="2A75F2D7">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深入实施精细化管控。各地应围绕当地环境空气质量改善需求，根据O</w:t>
                  </w:r>
                  <w:r>
                    <w:rPr>
                      <w:rFonts w:hint="default" w:ascii="Times New Roman" w:hAnsi="Times New Roman" w:eastAsia="宋体" w:cs="Times New Roman"/>
                      <w:color w:val="auto"/>
                      <w:kern w:val="0"/>
                      <w:szCs w:val="21"/>
                      <w:highlight w:val="none"/>
                      <w:vertAlign w:val="subscript"/>
                      <w:lang w:val="en-US" w:eastAsia="zh-CN"/>
                    </w:rPr>
                    <w:t>3</w:t>
                  </w:r>
                  <w:r>
                    <w:rPr>
                      <w:rFonts w:hint="default" w:ascii="Times New Roman" w:hAnsi="Times New Roman" w:eastAsia="宋体" w:cs="Times New Roman"/>
                      <w:color w:val="auto"/>
                      <w:kern w:val="0"/>
                      <w:szCs w:val="21"/>
                      <w:highlight w:val="none"/>
                      <w:lang w:val="en-US" w:eastAsia="zh-CN"/>
                    </w:rPr>
                    <w:t>、PM2.5来源解析，结合行业污染排放特征和VOCs物质光化学反应活性等，确定本地区VOCs控制的重点行业和重点污染物，兼顾恶臭污染物和有毒有害物质控制等，提出有效管控方案，提高VOCs治理的精准性、针对性和有效性。</w:t>
                  </w:r>
                </w:p>
              </w:tc>
              <w:tc>
                <w:tcPr>
                  <w:tcW w:w="2392" w:type="dxa"/>
                  <w:noWrap w:val="0"/>
                  <w:vAlign w:val="center"/>
                </w:tcPr>
                <w:p w14:paraId="7177842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项目特征污染物为甲醛和</w:t>
                  </w:r>
                  <w:r>
                    <w:rPr>
                      <w:rFonts w:hint="default" w:ascii="Times New Roman" w:hAnsi="Times New Roman" w:eastAsia="宋体" w:cs="Times New Roman"/>
                      <w:color w:val="auto"/>
                      <w:kern w:val="0"/>
                      <w:szCs w:val="21"/>
                      <w:highlight w:val="none"/>
                      <w:lang w:val="en-US" w:eastAsia="zh-CN"/>
                    </w:rPr>
                    <w:t>VOCs</w:t>
                  </w:r>
                  <w:r>
                    <w:rPr>
                      <w:rFonts w:hint="eastAsia" w:ascii="Times New Roman" w:hAnsi="Times New Roman" w:eastAsia="宋体" w:cs="Times New Roman"/>
                      <w:color w:val="auto"/>
                      <w:kern w:val="0"/>
                      <w:szCs w:val="21"/>
                      <w:highlight w:val="none"/>
                      <w:lang w:val="en-US" w:eastAsia="zh-CN"/>
                    </w:rPr>
                    <w:t>，经“UV光解+三级活性炭吸附净化装置”处理后对大气环境影响不大，项目将进一步深入管控，</w:t>
                  </w:r>
                  <w:r>
                    <w:rPr>
                      <w:rFonts w:hint="default" w:ascii="Times New Roman" w:hAnsi="Times New Roman" w:eastAsia="宋体" w:cs="Times New Roman"/>
                      <w:color w:val="auto"/>
                      <w:kern w:val="0"/>
                      <w:szCs w:val="21"/>
                      <w:highlight w:val="none"/>
                      <w:lang w:val="en-US" w:eastAsia="zh-CN"/>
                    </w:rPr>
                    <w:t>提高VOCs治理的精准性、针对性和有效性。</w:t>
                  </w:r>
                </w:p>
              </w:tc>
              <w:tc>
                <w:tcPr>
                  <w:tcW w:w="534" w:type="dxa"/>
                  <w:noWrap w:val="0"/>
                  <w:vAlign w:val="center"/>
                </w:tcPr>
                <w:p w14:paraId="680D0D0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符合</w:t>
                  </w:r>
                </w:p>
              </w:tc>
            </w:tr>
          </w:tbl>
          <w:p w14:paraId="080B69A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综上，项目</w:t>
            </w:r>
            <w:r>
              <w:rPr>
                <w:rFonts w:hint="default" w:ascii="Times New Roman" w:hAnsi="Times New Roman" w:eastAsia="宋体" w:cs="Times New Roman"/>
                <w:color w:val="auto"/>
                <w:sz w:val="24"/>
                <w:szCs w:val="24"/>
                <w:highlight w:val="none"/>
                <w:lang w:val="en-US" w:eastAsia="zh-CN"/>
              </w:rPr>
              <w:t>符合《重点行业挥发性有机物综合治理方案》的相关技术要求。</w:t>
            </w:r>
          </w:p>
          <w:p w14:paraId="0B6BFEB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12、与《挥发性有机物无组织排放控制标准》（GB37822-2019）的符合性分析</w:t>
            </w:r>
          </w:p>
          <w:p w14:paraId="3808EA1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项目与《挥发性有机物无组织排放控制标准》（GB37822-2019）</w:t>
            </w:r>
            <w:r>
              <w:rPr>
                <w:rFonts w:hint="eastAsia" w:cs="Times New Roman"/>
                <w:color w:val="auto"/>
                <w:sz w:val="24"/>
                <w:szCs w:val="24"/>
                <w:highlight w:val="none"/>
                <w:lang w:val="en-US" w:eastAsia="zh-CN"/>
              </w:rPr>
              <w:t>的符合性分析见下表。</w:t>
            </w:r>
          </w:p>
          <w:p w14:paraId="00B56D89">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表1-</w:t>
            </w:r>
            <w:r>
              <w:rPr>
                <w:rFonts w:hint="eastAsia"/>
                <w:b/>
                <w:color w:val="auto"/>
                <w:szCs w:val="21"/>
                <w:highlight w:val="none"/>
                <w:lang w:val="en-US" w:eastAsia="zh-CN"/>
              </w:rPr>
              <w:t xml:space="preserve">12 </w:t>
            </w:r>
            <w:r>
              <w:rPr>
                <w:rFonts w:hint="default"/>
                <w:b/>
                <w:color w:val="auto"/>
                <w:szCs w:val="21"/>
                <w:highlight w:val="none"/>
              </w:rPr>
              <w:t xml:space="preserve"> 项目与</w:t>
            </w:r>
            <w:r>
              <w:rPr>
                <w:rFonts w:hint="default"/>
                <w:b/>
                <w:color w:val="auto"/>
                <w:szCs w:val="21"/>
                <w:highlight w:val="none"/>
                <w:lang w:val="en-US" w:eastAsia="zh-CN"/>
              </w:rPr>
              <w:t>《挥发性有机物无组织排放控制标准》</w:t>
            </w:r>
            <w:r>
              <w:rPr>
                <w:rFonts w:hint="default"/>
                <w:b/>
                <w:color w:val="auto"/>
                <w:szCs w:val="21"/>
                <w:highlight w:val="none"/>
              </w:rPr>
              <w:t>的相符性分析</w:t>
            </w:r>
          </w:p>
          <w:tbl>
            <w:tblPr>
              <w:tblStyle w:val="30"/>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109"/>
              <w:gridCol w:w="3146"/>
              <w:gridCol w:w="2132"/>
              <w:gridCol w:w="426"/>
            </w:tblGrid>
            <w:tr w14:paraId="2155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7" w:type="dxa"/>
                  <w:gridSpan w:val="3"/>
                  <w:noWrap w:val="0"/>
                  <w:vAlign w:val="center"/>
                </w:tcPr>
                <w:p w14:paraId="413BEBD7">
                  <w:pPr>
                    <w:pStyle w:val="2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val="en-US" w:eastAsia="zh-CN" w:bidi="ar"/>
                    </w:rPr>
                    <w:t>《挥发性有机物无组织排放控制标准》</w:t>
                  </w:r>
                </w:p>
              </w:tc>
              <w:tc>
                <w:tcPr>
                  <w:tcW w:w="2132" w:type="dxa"/>
                  <w:noWrap w:val="0"/>
                  <w:vAlign w:val="center"/>
                </w:tcPr>
                <w:p w14:paraId="17E0E6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w:t>
                  </w:r>
                </w:p>
              </w:tc>
              <w:tc>
                <w:tcPr>
                  <w:tcW w:w="426" w:type="dxa"/>
                  <w:noWrap w:val="0"/>
                  <w:vAlign w:val="center"/>
                </w:tcPr>
                <w:p w14:paraId="196DF4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4540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restart"/>
                  <w:noWrap w:val="0"/>
                  <w:vAlign w:val="center"/>
                </w:tcPr>
                <w:p w14:paraId="573DE94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bidi="ar"/>
                    </w:rPr>
                    <w:t>7工艺过程VOCs无组织排放控制要求</w:t>
                  </w:r>
                </w:p>
              </w:tc>
              <w:tc>
                <w:tcPr>
                  <w:tcW w:w="1109" w:type="dxa"/>
                  <w:vMerge w:val="restart"/>
                  <w:noWrap w:val="0"/>
                  <w:vAlign w:val="center"/>
                </w:tcPr>
                <w:p w14:paraId="37B0C6FA">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bidi="ar"/>
                    </w:rPr>
                    <w:t>7.1涉VOCs物料的化工生产过程</w:t>
                  </w:r>
                </w:p>
              </w:tc>
              <w:tc>
                <w:tcPr>
                  <w:tcW w:w="3146" w:type="dxa"/>
                  <w:noWrap w:val="0"/>
                  <w:vAlign w:val="center"/>
                </w:tcPr>
                <w:p w14:paraId="03D17630">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7.1.1物料投加和卸放：</w:t>
                  </w:r>
                </w:p>
                <w:p w14:paraId="0FC981A0">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a）液态VOCs物料应采用密闭管道输送方式或采用高位槽（罐）、桶泵等给料方式密闭投加。无法密闭投加的，应在密闭空间内操作，或进行局部气体收集，废气应排至VOCs废气收集处理系统。</w:t>
                  </w:r>
                </w:p>
                <w:p w14:paraId="418AADF4">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b）粉状、粒状VOCs物料应采用气力输送方式或采用密闭固体投料器等给料方式密闭投加。无法密闭投加的，应在密闭空间内操作，或进行局部气体收集，废气应排至除尘设施、VOCs废气收集处理系统。</w:t>
                  </w:r>
                </w:p>
                <w:p w14:paraId="64D42AF8">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c）VOCs物料卸（出、放）料过程应密闭，卸料废气应排至VOCs废气收集处理系统；无法密闭的，应采取局部气体收集措施，废气应排至VOCs废气收集处理系统。</w:t>
                  </w:r>
                </w:p>
              </w:tc>
              <w:tc>
                <w:tcPr>
                  <w:tcW w:w="2132" w:type="dxa"/>
                  <w:noWrap w:val="0"/>
                  <w:vAlign w:val="center"/>
                </w:tcPr>
                <w:p w14:paraId="11654B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a）</w:t>
                  </w:r>
                  <w:r>
                    <w:rPr>
                      <w:rFonts w:hint="eastAsia" w:cs="Times New Roman"/>
                      <w:color w:val="auto"/>
                      <w:sz w:val="21"/>
                      <w:szCs w:val="21"/>
                      <w:highlight w:val="none"/>
                      <w:lang w:val="en-US" w:eastAsia="zh-CN" w:bidi="ar"/>
                    </w:rPr>
                    <w:t>项目</w:t>
                  </w:r>
                  <w:r>
                    <w:rPr>
                      <w:rFonts w:hint="default" w:ascii="Times New Roman" w:hAnsi="Times New Roman" w:eastAsia="宋体" w:cs="Times New Roman"/>
                      <w:color w:val="auto"/>
                      <w:sz w:val="21"/>
                      <w:szCs w:val="21"/>
                      <w:highlight w:val="none"/>
                      <w:lang w:val="en-US" w:eastAsia="zh-CN" w:bidi="ar"/>
                    </w:rPr>
                    <w:t>VOCs物料</w:t>
                  </w:r>
                  <w:r>
                    <w:rPr>
                      <w:rFonts w:hint="eastAsia" w:cs="Times New Roman"/>
                      <w:color w:val="auto"/>
                      <w:sz w:val="21"/>
                      <w:szCs w:val="21"/>
                      <w:highlight w:val="none"/>
                      <w:lang w:val="en-US" w:eastAsia="zh-CN" w:bidi="ar"/>
                    </w:rPr>
                    <w:t>投放过程在密闭空间内进行。</w:t>
                  </w:r>
                </w:p>
                <w:p w14:paraId="5B1AD7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b）项目不使用粉状、粒状VOCs物料。</w:t>
                  </w:r>
                </w:p>
                <w:p w14:paraId="779C50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val="en-US" w:eastAsia="zh-CN" w:bidi="ar"/>
                    </w:rPr>
                    <w:t>c）项目VOCs废气经集气罩局部收集至“UV光解+三级活性炭吸附净化装</w:t>
                  </w:r>
                  <w:r>
                    <w:rPr>
                      <w:rFonts w:hint="default" w:ascii="Times New Roman" w:hAnsi="Times New Roman" w:eastAsia="宋体" w:cs="Times New Roman"/>
                      <w:color w:val="auto"/>
                      <w:kern w:val="0"/>
                      <w:sz w:val="21"/>
                      <w:szCs w:val="21"/>
                      <w:highlight w:val="none"/>
                      <w:lang w:val="en-US" w:eastAsia="zh-CN" w:bidi="ar"/>
                    </w:rPr>
                    <w:t>置”处理达标后，由1根</w:t>
                  </w:r>
                  <w:r>
                    <w:rPr>
                      <w:rFonts w:hint="eastAsia" w:ascii="Times New Roman" w:hAnsi="Times New Roman" w:eastAsia="宋体" w:cs="Times New Roman"/>
                      <w:color w:val="auto"/>
                      <w:kern w:val="0"/>
                      <w:sz w:val="21"/>
                      <w:szCs w:val="21"/>
                      <w:highlight w:val="none"/>
                      <w:lang w:val="en-US" w:eastAsia="zh-CN" w:bidi="ar"/>
                    </w:rPr>
                    <w:t>15</w:t>
                  </w:r>
                  <w:r>
                    <w:rPr>
                      <w:rFonts w:hint="default" w:ascii="Times New Roman" w:hAnsi="Times New Roman" w:eastAsia="宋体" w:cs="Times New Roman"/>
                      <w:color w:val="auto"/>
                      <w:kern w:val="0"/>
                      <w:sz w:val="21"/>
                      <w:szCs w:val="21"/>
                      <w:highlight w:val="none"/>
                      <w:lang w:val="en-US" w:eastAsia="zh-CN" w:bidi="ar"/>
                    </w:rPr>
                    <w:t>m高排气筒</w:t>
                  </w:r>
                  <w:r>
                    <w:rPr>
                      <w:rFonts w:hint="eastAsia" w:ascii="Times New Roman" w:hAnsi="Times New Roman" w:eastAsia="宋体" w:cs="Times New Roman"/>
                      <w:color w:val="auto"/>
                      <w:kern w:val="0"/>
                      <w:sz w:val="21"/>
                      <w:szCs w:val="21"/>
                      <w:highlight w:val="none"/>
                      <w:lang w:val="en-US" w:eastAsia="zh-CN" w:bidi="ar"/>
                    </w:rPr>
                    <w:t>（DA001）</w:t>
                  </w:r>
                  <w:r>
                    <w:rPr>
                      <w:rFonts w:hint="default" w:ascii="Times New Roman" w:hAnsi="Times New Roman" w:eastAsia="宋体" w:cs="Times New Roman"/>
                      <w:color w:val="auto"/>
                      <w:kern w:val="0"/>
                      <w:sz w:val="21"/>
                      <w:szCs w:val="21"/>
                      <w:highlight w:val="none"/>
                      <w:lang w:val="en-US" w:eastAsia="zh-CN" w:bidi="ar"/>
                    </w:rPr>
                    <w:t>排放。</w:t>
                  </w:r>
                </w:p>
              </w:tc>
              <w:tc>
                <w:tcPr>
                  <w:tcW w:w="426" w:type="dxa"/>
                  <w:noWrap w:val="0"/>
                  <w:vAlign w:val="center"/>
                </w:tcPr>
                <w:p w14:paraId="54FA0AF2">
                  <w:pPr>
                    <w:pStyle w:val="2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14:paraId="6596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375FD697">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continue"/>
                  <w:noWrap w:val="0"/>
                  <w:vAlign w:val="center"/>
                </w:tcPr>
                <w:p w14:paraId="524B4E91">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3146" w:type="dxa"/>
                  <w:noWrap w:val="0"/>
                  <w:vAlign w:val="center"/>
                </w:tcPr>
                <w:p w14:paraId="316BAA50">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bidi="ar"/>
                    </w:rPr>
                    <w:t>7.1.2化学反应：</w:t>
                  </w:r>
                </w:p>
                <w:p w14:paraId="7177963E">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bidi="ar"/>
                    </w:rPr>
                    <w:t>a）反应设备进料置换废气、挥发排气、反应尾气等应排至VOCs废气收集处理系统。</w:t>
                  </w:r>
                </w:p>
                <w:p w14:paraId="0574F701">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bidi="ar"/>
                    </w:rPr>
                    <w:t>b）在反应期间，反应设备的进料口、出料口、检修口、搅拌口、观察孔等开口（孔）在不操作应保持密闭。</w:t>
                  </w:r>
                </w:p>
              </w:tc>
              <w:tc>
                <w:tcPr>
                  <w:tcW w:w="2132" w:type="dxa"/>
                  <w:noWrap w:val="0"/>
                  <w:vAlign w:val="center"/>
                </w:tcPr>
                <w:p w14:paraId="07858390">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项目不涉及化学反应过程。</w:t>
                  </w:r>
                </w:p>
              </w:tc>
              <w:tc>
                <w:tcPr>
                  <w:tcW w:w="426" w:type="dxa"/>
                  <w:noWrap w:val="0"/>
                  <w:vAlign w:val="center"/>
                </w:tcPr>
                <w:p w14:paraId="5B47F16F">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080D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29430DC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continue"/>
                  <w:noWrap w:val="0"/>
                  <w:vAlign w:val="center"/>
                </w:tcPr>
                <w:p w14:paraId="349F7AA7">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3146" w:type="dxa"/>
                  <w:noWrap w:val="0"/>
                  <w:vAlign w:val="center"/>
                </w:tcPr>
                <w:p w14:paraId="0B4A518F">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7.1.3分离精制：</w:t>
                  </w:r>
                </w:p>
                <w:p w14:paraId="6077D95B">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a）离心、过滤单元操作应采用密闭式离心机、压滤机等设备，离心、过滤废气应排至VOCs废气收集处理系统。未采用密闭设备的，应在密闭空间内操作，或进行局部气体收集，废气应排至VOCs废气收集处理系统。</w:t>
                  </w:r>
                </w:p>
                <w:p w14:paraId="495E3D88">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b）干燥单元操作应采用密闭干燥设备，干燥废气应排至VOCs废气收集处理系统。未采用密闭设备的，应在密闭空间内操作，或进行局部气体收集，废气应排至VOCs废气收集处理系统。</w:t>
                  </w:r>
                </w:p>
                <w:p w14:paraId="20DE8B18">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c）吸收、洗涤、蒸馏/精馏、萃取、结晶等单元操作排放的废气，冷凝单元操作排放的不凝尾气，吸附单元操作的脱附尾气等应排至VOCs废气收集处理系统。</w:t>
                  </w:r>
                </w:p>
                <w:p w14:paraId="06E68243">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d）分离精制后的VOCs母液应密闭收集，母液储槽（罐）产生的废气应排至VOCs废气收集处理系统。</w:t>
                  </w:r>
                </w:p>
              </w:tc>
              <w:tc>
                <w:tcPr>
                  <w:tcW w:w="2132" w:type="dxa"/>
                  <w:noWrap w:val="0"/>
                  <w:vAlign w:val="center"/>
                </w:tcPr>
                <w:p w14:paraId="639C68DC">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eastAsia="zh-CN" w:bidi="ar"/>
                    </w:rPr>
                    <w:t>项目不涉及</w:t>
                  </w:r>
                  <w:r>
                    <w:rPr>
                      <w:rFonts w:hint="default" w:ascii="Times New Roman" w:hAnsi="Times New Roman" w:eastAsia="宋体" w:cs="Times New Roman"/>
                      <w:color w:val="auto"/>
                      <w:sz w:val="21"/>
                      <w:szCs w:val="21"/>
                      <w:highlight w:val="none"/>
                      <w:lang w:val="en-US" w:eastAsia="zh-CN" w:bidi="ar"/>
                    </w:rPr>
                    <w:t>分离精制</w:t>
                  </w:r>
                  <w:r>
                    <w:rPr>
                      <w:rFonts w:hint="default" w:ascii="Times New Roman" w:hAnsi="Times New Roman" w:eastAsia="宋体" w:cs="Times New Roman"/>
                      <w:color w:val="auto"/>
                      <w:sz w:val="21"/>
                      <w:szCs w:val="21"/>
                      <w:highlight w:val="none"/>
                      <w:lang w:eastAsia="zh-CN" w:bidi="ar"/>
                    </w:rPr>
                    <w:t>过程。</w:t>
                  </w:r>
                </w:p>
              </w:tc>
              <w:tc>
                <w:tcPr>
                  <w:tcW w:w="426" w:type="dxa"/>
                  <w:noWrap w:val="0"/>
                  <w:vAlign w:val="center"/>
                </w:tcPr>
                <w:p w14:paraId="0E052C75">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14:paraId="7450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5705FFC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continue"/>
                  <w:noWrap w:val="0"/>
                  <w:vAlign w:val="center"/>
                </w:tcPr>
                <w:p w14:paraId="798B879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3146" w:type="dxa"/>
                  <w:noWrap w:val="0"/>
                  <w:vAlign w:val="center"/>
                </w:tcPr>
                <w:p w14:paraId="33987F86">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7.1.4真空系统：</w:t>
                  </w:r>
                </w:p>
                <w:p w14:paraId="424F1D0F">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真空系统应采用干式真空泵，真空排气应排至VOCs废气收集处理系统。若使用液环（水环）真空泵、水（水蒸气）喷射真空泵等，工作介质的循环槽（罐）应密闭，真空排气、循环槽（罐）排气应排至VOCs废气收集处理系统。</w:t>
                  </w:r>
                </w:p>
              </w:tc>
              <w:tc>
                <w:tcPr>
                  <w:tcW w:w="2132" w:type="dxa"/>
                  <w:noWrap w:val="0"/>
                  <w:vAlign w:val="center"/>
                </w:tcPr>
                <w:p w14:paraId="7BEE22B7">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eastAsia="zh-CN" w:bidi="ar"/>
                    </w:rPr>
                    <w:t>项目不涉及</w:t>
                  </w:r>
                  <w:r>
                    <w:rPr>
                      <w:rFonts w:hint="default" w:ascii="Times New Roman" w:hAnsi="Times New Roman" w:eastAsia="宋体" w:cs="Times New Roman"/>
                      <w:color w:val="auto"/>
                      <w:sz w:val="21"/>
                      <w:szCs w:val="21"/>
                      <w:highlight w:val="none"/>
                      <w:lang w:val="en-US" w:eastAsia="zh-CN" w:bidi="ar"/>
                    </w:rPr>
                    <w:t>真空系统</w:t>
                  </w:r>
                  <w:r>
                    <w:rPr>
                      <w:rFonts w:hint="default" w:ascii="Times New Roman" w:hAnsi="Times New Roman" w:eastAsia="宋体" w:cs="Times New Roman"/>
                      <w:color w:val="auto"/>
                      <w:sz w:val="21"/>
                      <w:szCs w:val="21"/>
                      <w:highlight w:val="none"/>
                      <w:lang w:eastAsia="zh-CN" w:bidi="ar"/>
                    </w:rPr>
                    <w:t>。</w:t>
                  </w:r>
                </w:p>
              </w:tc>
              <w:tc>
                <w:tcPr>
                  <w:tcW w:w="426" w:type="dxa"/>
                  <w:noWrap w:val="0"/>
                  <w:vAlign w:val="center"/>
                </w:tcPr>
                <w:p w14:paraId="5A76EE15">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14:paraId="0F87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2E3EB8B6">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continue"/>
                  <w:noWrap w:val="0"/>
                  <w:vAlign w:val="center"/>
                </w:tcPr>
                <w:p w14:paraId="5C8D3AEE">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3146" w:type="dxa"/>
                  <w:noWrap w:val="0"/>
                  <w:vAlign w:val="center"/>
                </w:tcPr>
                <w:p w14:paraId="7DD5EAA9">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7.1.5配料加工和含VOCs产品的包装：</w:t>
                  </w:r>
                </w:p>
                <w:p w14:paraId="7CD4DDDE">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VOCs物料混合、搅拌、研磨、造粒、切片、压块等配料加工过程，以及含VOCs产品的包装（灌装、分装）过程应采用密闭设备或在密闭空间内操作，废气应排至VOCs废气收集处理系统；无法密闭的，应采取局部气体收集措施，废气应排至VOCs废气收集处理系统。</w:t>
                  </w:r>
                </w:p>
              </w:tc>
              <w:tc>
                <w:tcPr>
                  <w:tcW w:w="2132" w:type="dxa"/>
                  <w:noWrap w:val="0"/>
                  <w:vAlign w:val="center"/>
                </w:tcPr>
                <w:p w14:paraId="483563DC">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bidi="ar"/>
                    </w:rPr>
                    <w:t>项目VOCs废气经集气罩局部收集至“UV光解+三级活性炭吸附净化装置”处理达标后，由1根</w:t>
                  </w:r>
                  <w:r>
                    <w:rPr>
                      <w:rFonts w:hint="eastAsia" w:ascii="Times New Roman" w:hAnsi="Times New Roman" w:eastAsia="宋体" w:cs="Times New Roman"/>
                      <w:color w:val="auto"/>
                      <w:sz w:val="21"/>
                      <w:szCs w:val="21"/>
                      <w:highlight w:val="none"/>
                      <w:lang w:val="en-US" w:eastAsia="zh-CN" w:bidi="ar"/>
                    </w:rPr>
                    <w:t>15</w:t>
                  </w:r>
                  <w:r>
                    <w:rPr>
                      <w:rFonts w:hint="default" w:ascii="Times New Roman" w:hAnsi="Times New Roman" w:eastAsia="宋体" w:cs="Times New Roman"/>
                      <w:color w:val="auto"/>
                      <w:sz w:val="21"/>
                      <w:szCs w:val="21"/>
                      <w:highlight w:val="none"/>
                      <w:lang w:val="en-US" w:eastAsia="zh-CN" w:bidi="ar"/>
                    </w:rPr>
                    <w:t>m高排气筒</w:t>
                  </w:r>
                  <w:r>
                    <w:rPr>
                      <w:rFonts w:hint="eastAsia" w:ascii="Times New Roman" w:hAnsi="Times New Roman" w:eastAsia="宋体" w:cs="Times New Roman"/>
                      <w:color w:val="auto"/>
                      <w:sz w:val="21"/>
                      <w:szCs w:val="21"/>
                      <w:highlight w:val="none"/>
                      <w:lang w:val="en-US" w:eastAsia="zh-CN" w:bidi="ar"/>
                    </w:rPr>
                    <w:t>（DA001）</w:t>
                  </w:r>
                  <w:r>
                    <w:rPr>
                      <w:rFonts w:hint="default" w:ascii="Times New Roman" w:hAnsi="Times New Roman" w:eastAsia="宋体" w:cs="Times New Roman"/>
                      <w:color w:val="auto"/>
                      <w:sz w:val="21"/>
                      <w:szCs w:val="21"/>
                      <w:highlight w:val="none"/>
                      <w:lang w:val="en-US" w:eastAsia="zh-CN" w:bidi="ar"/>
                    </w:rPr>
                    <w:t>排放。</w:t>
                  </w:r>
                </w:p>
              </w:tc>
              <w:tc>
                <w:tcPr>
                  <w:tcW w:w="426" w:type="dxa"/>
                  <w:noWrap w:val="0"/>
                  <w:vAlign w:val="center"/>
                </w:tcPr>
                <w:p w14:paraId="33281FCD">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14:paraId="762C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4BC1ED2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restart"/>
                  <w:noWrap w:val="0"/>
                  <w:vAlign w:val="center"/>
                </w:tcPr>
                <w:p w14:paraId="15ECE7E2">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7.2含VOCs产品的使用过程</w:t>
                  </w:r>
                </w:p>
              </w:tc>
              <w:tc>
                <w:tcPr>
                  <w:tcW w:w="3146" w:type="dxa"/>
                  <w:noWrap w:val="0"/>
                  <w:vAlign w:val="center"/>
                </w:tcPr>
                <w:p w14:paraId="30635AF4">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7.2.1VOCs质量占比大于等于10%的含VOCs产品，其使用过程应采用密闭设备或在密闭空间内操作，废气应排至VOCs废气收集处理系统；无法密闭的，应采取局部气体收集措施，废气应排至VOCs废气收集处理系统。</w:t>
                  </w:r>
                </w:p>
              </w:tc>
              <w:tc>
                <w:tcPr>
                  <w:tcW w:w="2132" w:type="dxa"/>
                  <w:noWrap w:val="0"/>
                  <w:vAlign w:val="center"/>
                </w:tcPr>
                <w:p w14:paraId="3F65356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bidi="ar"/>
                    </w:rPr>
                    <w:t>项目VOCs废气经集气罩局部收集至“UV光解+三级活性炭吸附净化装置”处理达标后，由1根</w:t>
                  </w:r>
                  <w:r>
                    <w:rPr>
                      <w:rFonts w:hint="eastAsia" w:ascii="Times New Roman" w:hAnsi="Times New Roman" w:eastAsia="宋体" w:cs="Times New Roman"/>
                      <w:color w:val="auto"/>
                      <w:sz w:val="21"/>
                      <w:szCs w:val="21"/>
                      <w:highlight w:val="none"/>
                      <w:lang w:val="en-US" w:eastAsia="zh-CN" w:bidi="ar"/>
                    </w:rPr>
                    <w:t>15</w:t>
                  </w:r>
                  <w:r>
                    <w:rPr>
                      <w:rFonts w:hint="default" w:ascii="Times New Roman" w:hAnsi="Times New Roman" w:eastAsia="宋体" w:cs="Times New Roman"/>
                      <w:color w:val="auto"/>
                      <w:sz w:val="21"/>
                      <w:szCs w:val="21"/>
                      <w:highlight w:val="none"/>
                      <w:lang w:val="en-US" w:eastAsia="zh-CN" w:bidi="ar"/>
                    </w:rPr>
                    <w:t>m高排气筒</w:t>
                  </w:r>
                  <w:r>
                    <w:rPr>
                      <w:rFonts w:hint="eastAsia" w:ascii="Times New Roman" w:hAnsi="Times New Roman" w:eastAsia="宋体" w:cs="Times New Roman"/>
                      <w:color w:val="auto"/>
                      <w:sz w:val="21"/>
                      <w:szCs w:val="21"/>
                      <w:highlight w:val="none"/>
                      <w:lang w:val="en-US" w:eastAsia="zh-CN" w:bidi="ar"/>
                    </w:rPr>
                    <w:t>（DA001）</w:t>
                  </w:r>
                  <w:r>
                    <w:rPr>
                      <w:rFonts w:hint="default" w:ascii="Times New Roman" w:hAnsi="Times New Roman" w:eastAsia="宋体" w:cs="Times New Roman"/>
                      <w:color w:val="auto"/>
                      <w:sz w:val="21"/>
                      <w:szCs w:val="21"/>
                      <w:highlight w:val="none"/>
                      <w:lang w:val="en-US" w:eastAsia="zh-CN" w:bidi="ar"/>
                    </w:rPr>
                    <w:t>排放。</w:t>
                  </w:r>
                </w:p>
              </w:tc>
              <w:tc>
                <w:tcPr>
                  <w:tcW w:w="426" w:type="dxa"/>
                  <w:noWrap w:val="0"/>
                  <w:vAlign w:val="center"/>
                </w:tcPr>
                <w:p w14:paraId="27F378BD">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1E23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52" w:type="dxa"/>
                  <w:vMerge w:val="continue"/>
                  <w:noWrap w:val="0"/>
                  <w:vAlign w:val="center"/>
                </w:tcPr>
                <w:p w14:paraId="0DAA626C">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continue"/>
                  <w:noWrap w:val="0"/>
                  <w:vAlign w:val="center"/>
                </w:tcPr>
                <w:p w14:paraId="482D318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56829B27">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7.2.2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tc>
              <w:tc>
                <w:tcPr>
                  <w:tcW w:w="2132" w:type="dxa"/>
                  <w:noWrap w:val="0"/>
                  <w:vAlign w:val="center"/>
                </w:tcPr>
                <w:p w14:paraId="26A1F7B3">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项目不涉及</w:t>
                  </w:r>
                  <w:r>
                    <w:rPr>
                      <w:rFonts w:hint="default" w:ascii="Times New Roman" w:hAnsi="Times New Roman" w:eastAsia="宋体" w:cs="Times New Roman"/>
                      <w:color w:val="auto"/>
                      <w:sz w:val="21"/>
                      <w:szCs w:val="21"/>
                      <w:highlight w:val="none"/>
                      <w:lang w:val="en-US" w:eastAsia="zh-CN" w:bidi="ar"/>
                    </w:rPr>
                    <w:t>混合/混炼、塑炼/塑化/熔化、加工成型（挤出、注射、压制、压延、发泡、纺丝等）等作业。</w:t>
                  </w:r>
                </w:p>
              </w:tc>
              <w:tc>
                <w:tcPr>
                  <w:tcW w:w="426" w:type="dxa"/>
                  <w:noWrap w:val="0"/>
                  <w:vAlign w:val="center"/>
                </w:tcPr>
                <w:p w14:paraId="15CFCB70">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eastAsia="zh-CN" w:bidi="ar"/>
                    </w:rPr>
                    <w:t>相符</w:t>
                  </w:r>
                </w:p>
              </w:tc>
            </w:tr>
            <w:tr w14:paraId="5016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197B9570">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restart"/>
                  <w:noWrap w:val="0"/>
                  <w:vAlign w:val="center"/>
                </w:tcPr>
                <w:p w14:paraId="5DB2747F">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7.3其他要求</w:t>
                  </w:r>
                </w:p>
              </w:tc>
              <w:tc>
                <w:tcPr>
                  <w:tcW w:w="3146" w:type="dxa"/>
                  <w:noWrap w:val="0"/>
                  <w:vAlign w:val="center"/>
                </w:tcPr>
                <w:p w14:paraId="2D348A87">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7.3.1企业应建立台账，记录含VOCs原辅材料和含VOCs产品的名称、使用量、回收量、废弃量、去向以及VOCs含量等信息。台账保存期限不少于3年。</w:t>
                  </w:r>
                </w:p>
              </w:tc>
              <w:tc>
                <w:tcPr>
                  <w:tcW w:w="2132" w:type="dxa"/>
                  <w:noWrap w:val="0"/>
                  <w:vAlign w:val="center"/>
                </w:tcPr>
                <w:p w14:paraId="7CB4B03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rPr>
                    <w:t>企业运营过程将建立台账，记录含VOCs原辅材料和含VOCs产品的名称、使用量、回收量、废弃量、去向以及VOCs含量等信息。台账保存期限不少于3年。</w:t>
                  </w:r>
                </w:p>
              </w:tc>
              <w:tc>
                <w:tcPr>
                  <w:tcW w:w="426" w:type="dxa"/>
                  <w:noWrap w:val="0"/>
                  <w:vAlign w:val="center"/>
                </w:tcPr>
                <w:p w14:paraId="099AB8CF">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008A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7E9C444F">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continue"/>
                  <w:noWrap w:val="0"/>
                  <w:vAlign w:val="center"/>
                </w:tcPr>
                <w:p w14:paraId="23A8846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39F26C1E">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7.3.2通风生产设备、操作工位、车间厂房等应在符合安全生产、职业卫生相关规定的前提下，根据行业作业规程与标准、工业建筑及洁净厂房通风设计规范等的要求，采用合理的通风量。</w:t>
                  </w:r>
                </w:p>
              </w:tc>
              <w:tc>
                <w:tcPr>
                  <w:tcW w:w="2132" w:type="dxa"/>
                  <w:noWrap w:val="0"/>
                  <w:vAlign w:val="center"/>
                </w:tcPr>
                <w:p w14:paraId="06F7564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项目通风生产设备、操作工位、车间厂房等符合安全生产、职业卫生相关规定，符合行业作业规程与标准、工业建筑及洁净厂房通风设计规范。</w:t>
                  </w:r>
                </w:p>
              </w:tc>
              <w:tc>
                <w:tcPr>
                  <w:tcW w:w="426" w:type="dxa"/>
                  <w:noWrap w:val="0"/>
                  <w:vAlign w:val="center"/>
                </w:tcPr>
                <w:p w14:paraId="02DF9A9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6A65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952" w:type="dxa"/>
                  <w:vMerge w:val="continue"/>
                  <w:noWrap w:val="0"/>
                  <w:vAlign w:val="center"/>
                </w:tcPr>
                <w:p w14:paraId="45702527">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continue"/>
                  <w:noWrap w:val="0"/>
                  <w:vAlign w:val="center"/>
                </w:tcPr>
                <w:p w14:paraId="20B2906F">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181B10C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7.3.3载有VOCs物料的设备及其管道在开停工（车）、检维修和清洗时，应在退料阶段将残存物料退净，并用密闭容器盛装，退料过程废气应排至VOCs废气收集处理系统；清洗及吹扫过程排气应排至VOCs废气收集处理系统。</w:t>
                  </w:r>
                </w:p>
              </w:tc>
              <w:tc>
                <w:tcPr>
                  <w:tcW w:w="2132" w:type="dxa"/>
                  <w:noWrap w:val="0"/>
                  <w:vAlign w:val="center"/>
                </w:tcPr>
                <w:p w14:paraId="471CE8BE">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项目不涉及载有VOCs物料的设备及其管道。</w:t>
                  </w:r>
                </w:p>
              </w:tc>
              <w:tc>
                <w:tcPr>
                  <w:tcW w:w="426" w:type="dxa"/>
                  <w:noWrap w:val="0"/>
                  <w:vAlign w:val="center"/>
                </w:tcPr>
                <w:p w14:paraId="19FFD669">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1A5F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437F204E">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p>
              </w:tc>
              <w:tc>
                <w:tcPr>
                  <w:tcW w:w="1109" w:type="dxa"/>
                  <w:vMerge w:val="continue"/>
                  <w:noWrap w:val="0"/>
                  <w:vAlign w:val="center"/>
                </w:tcPr>
                <w:p w14:paraId="59A87F0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4170ACB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7.3.4工艺过程产生的含VOCs废料（渣、液）应按照第5章、第6章的要求进行储存、转移和输送。盛装过VOCs物料的废包装容器应加盖密闭。</w:t>
                  </w:r>
                </w:p>
              </w:tc>
              <w:tc>
                <w:tcPr>
                  <w:tcW w:w="2132" w:type="dxa"/>
                  <w:noWrap w:val="0"/>
                  <w:vAlign w:val="center"/>
                </w:tcPr>
                <w:p w14:paraId="6DB65286">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项目不涉及盛装过VOCs物料的废包装容器。</w:t>
                  </w:r>
                </w:p>
              </w:tc>
              <w:tc>
                <w:tcPr>
                  <w:tcW w:w="426" w:type="dxa"/>
                  <w:noWrap w:val="0"/>
                  <w:vAlign w:val="center"/>
                </w:tcPr>
                <w:p w14:paraId="6FFA1DE6">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3197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952" w:type="dxa"/>
                  <w:vMerge w:val="restart"/>
                  <w:noWrap w:val="0"/>
                  <w:vAlign w:val="center"/>
                </w:tcPr>
                <w:p w14:paraId="7046579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10VOCs无组织排放废气收集处理系统要求</w:t>
                  </w:r>
                </w:p>
              </w:tc>
              <w:tc>
                <w:tcPr>
                  <w:tcW w:w="1109" w:type="dxa"/>
                  <w:vMerge w:val="restart"/>
                  <w:noWrap w:val="0"/>
                  <w:vAlign w:val="center"/>
                </w:tcPr>
                <w:p w14:paraId="5DB010ED">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10.1基本要求</w:t>
                  </w:r>
                </w:p>
              </w:tc>
              <w:tc>
                <w:tcPr>
                  <w:tcW w:w="3146" w:type="dxa"/>
                  <w:noWrap w:val="0"/>
                  <w:vAlign w:val="center"/>
                </w:tcPr>
                <w:p w14:paraId="2701F641">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10.1.1针对VOCs无组织排放设置的废气收集处理系统应满足本章要求。</w:t>
                  </w:r>
                </w:p>
              </w:tc>
              <w:tc>
                <w:tcPr>
                  <w:tcW w:w="2132" w:type="dxa"/>
                  <w:noWrap w:val="0"/>
                  <w:vAlign w:val="center"/>
                </w:tcPr>
                <w:p w14:paraId="15A715E5">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项目涉及VOCs无组织排放。</w:t>
                  </w:r>
                </w:p>
              </w:tc>
              <w:tc>
                <w:tcPr>
                  <w:tcW w:w="426" w:type="dxa"/>
                  <w:noWrap w:val="0"/>
                  <w:vAlign w:val="center"/>
                </w:tcPr>
                <w:p w14:paraId="45A59C61">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3E7F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42DA9B09">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vMerge w:val="continue"/>
                  <w:noWrap w:val="0"/>
                  <w:vAlign w:val="center"/>
                </w:tcPr>
                <w:p w14:paraId="0ACE91DE">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71F9A96E">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10.1.2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132" w:type="dxa"/>
                  <w:noWrap w:val="0"/>
                  <w:vAlign w:val="center"/>
                </w:tcPr>
                <w:p w14:paraId="57A4D8C6">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项目VOCs废气收集处理系统与生产工艺设备同步运行。VOCs废气收集处理系统发生故障或检修时，对应的生产工艺设备将停止运行，待检修完毕后同步投入使用。</w:t>
                  </w:r>
                </w:p>
              </w:tc>
              <w:tc>
                <w:tcPr>
                  <w:tcW w:w="426" w:type="dxa"/>
                  <w:noWrap w:val="0"/>
                  <w:vAlign w:val="center"/>
                </w:tcPr>
                <w:p w14:paraId="123479AA">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28FD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52" w:type="dxa"/>
                  <w:vMerge w:val="continue"/>
                  <w:noWrap w:val="0"/>
                  <w:vAlign w:val="center"/>
                </w:tcPr>
                <w:p w14:paraId="1A9F9CAE">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vMerge w:val="restart"/>
                  <w:noWrap w:val="0"/>
                  <w:vAlign w:val="center"/>
                </w:tcPr>
                <w:p w14:paraId="29F8B2BC">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10.2废气收集系统要求</w:t>
                  </w:r>
                </w:p>
              </w:tc>
              <w:tc>
                <w:tcPr>
                  <w:tcW w:w="3146" w:type="dxa"/>
                  <w:noWrap w:val="0"/>
                  <w:vAlign w:val="center"/>
                </w:tcPr>
                <w:p w14:paraId="475B5E23">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10.2.1企业应考虑生产工艺、操作方式、废气性质、处理方法等因素，对VOCs废气进行分类收集。</w:t>
                  </w:r>
                </w:p>
              </w:tc>
              <w:tc>
                <w:tcPr>
                  <w:tcW w:w="2132" w:type="dxa"/>
                  <w:shd w:val="clear" w:color="auto" w:fill="auto"/>
                  <w:noWrap w:val="0"/>
                  <w:vAlign w:val="center"/>
                </w:tcPr>
                <w:p w14:paraId="69161A9F">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项目产生的有机废气主要为甲醛及VOCs，经</w:t>
                  </w:r>
                  <w:r>
                    <w:rPr>
                      <w:rFonts w:hint="default" w:ascii="Times New Roman" w:hAnsi="Times New Roman" w:eastAsia="宋体" w:cs="Times New Roman"/>
                      <w:color w:val="auto"/>
                      <w:sz w:val="21"/>
                      <w:szCs w:val="21"/>
                      <w:highlight w:val="none"/>
                      <w:lang w:val="en-US" w:eastAsia="zh-CN" w:bidi="ar"/>
                    </w:rPr>
                    <w:t>集气罩收集至“UV光解+三级活性炭吸附净化装置”处理达标后，由1根</w:t>
                  </w:r>
                  <w:r>
                    <w:rPr>
                      <w:rFonts w:hint="eastAsia" w:ascii="Times New Roman" w:hAnsi="Times New Roman" w:eastAsia="宋体" w:cs="Times New Roman"/>
                      <w:color w:val="auto"/>
                      <w:sz w:val="21"/>
                      <w:szCs w:val="21"/>
                      <w:highlight w:val="none"/>
                      <w:lang w:val="en-US" w:eastAsia="zh-CN" w:bidi="ar"/>
                    </w:rPr>
                    <w:t>15</w:t>
                  </w:r>
                  <w:r>
                    <w:rPr>
                      <w:rFonts w:hint="default" w:ascii="Times New Roman" w:hAnsi="Times New Roman" w:eastAsia="宋体" w:cs="Times New Roman"/>
                      <w:color w:val="auto"/>
                      <w:sz w:val="21"/>
                      <w:szCs w:val="21"/>
                      <w:highlight w:val="none"/>
                      <w:lang w:val="en-US" w:eastAsia="zh-CN" w:bidi="ar"/>
                    </w:rPr>
                    <w:t>m高排气筒</w:t>
                  </w:r>
                  <w:r>
                    <w:rPr>
                      <w:rFonts w:hint="eastAsia" w:ascii="Times New Roman" w:hAnsi="Times New Roman" w:eastAsia="宋体" w:cs="Times New Roman"/>
                      <w:color w:val="auto"/>
                      <w:sz w:val="21"/>
                      <w:szCs w:val="21"/>
                      <w:highlight w:val="none"/>
                      <w:lang w:val="en-US" w:eastAsia="zh-CN" w:bidi="ar"/>
                    </w:rPr>
                    <w:t>（DA001）</w:t>
                  </w:r>
                  <w:r>
                    <w:rPr>
                      <w:rFonts w:hint="default" w:ascii="Times New Roman" w:hAnsi="Times New Roman" w:eastAsia="宋体" w:cs="Times New Roman"/>
                      <w:color w:val="auto"/>
                      <w:sz w:val="21"/>
                      <w:szCs w:val="21"/>
                      <w:highlight w:val="none"/>
                      <w:lang w:val="en-US" w:eastAsia="zh-CN" w:bidi="ar"/>
                    </w:rPr>
                    <w:t>排放。</w:t>
                  </w:r>
                </w:p>
              </w:tc>
              <w:tc>
                <w:tcPr>
                  <w:tcW w:w="426" w:type="dxa"/>
                  <w:noWrap w:val="0"/>
                  <w:vAlign w:val="center"/>
                </w:tcPr>
                <w:p w14:paraId="31B2BB5E">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36E1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952" w:type="dxa"/>
                  <w:vMerge w:val="continue"/>
                  <w:noWrap w:val="0"/>
                  <w:vAlign w:val="center"/>
                </w:tcPr>
                <w:p w14:paraId="390546CE">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vMerge w:val="continue"/>
                  <w:noWrap w:val="0"/>
                  <w:vAlign w:val="center"/>
                </w:tcPr>
                <w:p w14:paraId="6BC52F4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68C13C9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10.2.2废气收集系统排风罩（集气罩）的设置应符合GB/T16758的规定。采用外部排风罩的，应按GB/T16758、AQ/T4274—2016规定的方法测量控制风速，测量点应选取在距排风罩开口面最远处的VOCs无组织排放位置，控制风速不应低于0.3m/s（行业相关规范有具体规定的，按相关规定执行）。</w:t>
                  </w:r>
                </w:p>
              </w:tc>
              <w:tc>
                <w:tcPr>
                  <w:tcW w:w="2132" w:type="dxa"/>
                  <w:noWrap w:val="0"/>
                  <w:vAlign w:val="center"/>
                </w:tcPr>
                <w:p w14:paraId="50C63B12">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项目集气罩的设置符</w:t>
                  </w:r>
                  <w:r>
                    <w:rPr>
                      <w:rFonts w:hint="default" w:ascii="Times New Roman" w:hAnsi="Times New Roman" w:eastAsia="宋体" w:cs="Times New Roman"/>
                      <w:color w:val="auto"/>
                      <w:sz w:val="21"/>
                      <w:szCs w:val="21"/>
                      <w:highlight w:val="none"/>
                      <w:shd w:val="clear"/>
                      <w:lang w:val="en-US" w:eastAsia="zh-CN"/>
                    </w:rPr>
                    <w:t>合GB/T16758的规定，配套</w:t>
                  </w:r>
                  <w:r>
                    <w:rPr>
                      <w:rFonts w:hint="default" w:ascii="Times New Roman" w:hAnsi="Times New Roman" w:eastAsia="宋体" w:cs="Times New Roman"/>
                      <w:color w:val="auto"/>
                      <w:sz w:val="21"/>
                      <w:szCs w:val="21"/>
                      <w:highlight w:val="none"/>
                      <w:shd w:val="clear"/>
                    </w:rPr>
                    <w:t>风机总风量</w:t>
                  </w:r>
                  <w:r>
                    <w:rPr>
                      <w:rFonts w:hint="default" w:ascii="Times New Roman" w:hAnsi="Times New Roman" w:eastAsia="宋体" w:cs="Times New Roman"/>
                      <w:color w:val="auto"/>
                      <w:sz w:val="21"/>
                      <w:szCs w:val="21"/>
                      <w:highlight w:val="none"/>
                      <w:shd w:val="clear"/>
                      <w:lang w:val="en-US" w:eastAsia="zh-CN"/>
                    </w:rPr>
                    <w:t>为</w:t>
                  </w:r>
                  <w:r>
                    <w:rPr>
                      <w:rFonts w:hint="eastAsia" w:ascii="Times New Roman" w:hAnsi="Times New Roman" w:cs="Times New Roman"/>
                      <w:color w:val="auto"/>
                      <w:sz w:val="21"/>
                      <w:szCs w:val="21"/>
                      <w:highlight w:val="none"/>
                      <w:shd w:val="clear"/>
                      <w:lang w:val="en-US" w:eastAsia="zh-CN"/>
                    </w:rPr>
                    <w:t>20320</w:t>
                  </w:r>
                  <w:r>
                    <w:rPr>
                      <w:rFonts w:hint="default" w:ascii="Times New Roman" w:hAnsi="Times New Roman" w:eastAsia="宋体" w:cs="Times New Roman"/>
                      <w:color w:val="auto"/>
                      <w:sz w:val="21"/>
                      <w:szCs w:val="21"/>
                      <w:highlight w:val="none"/>
                      <w:shd w:val="clear"/>
                    </w:rPr>
                    <w:t>m</w:t>
                  </w:r>
                  <w:r>
                    <w:rPr>
                      <w:rFonts w:hint="default" w:ascii="Times New Roman" w:hAnsi="Times New Roman" w:eastAsia="宋体" w:cs="Times New Roman"/>
                      <w:color w:val="auto"/>
                      <w:sz w:val="21"/>
                      <w:szCs w:val="21"/>
                      <w:highlight w:val="none"/>
                      <w:shd w:val="clear"/>
                      <w:vertAlign w:val="superscript"/>
                    </w:rPr>
                    <w:t>3</w:t>
                  </w:r>
                  <w:r>
                    <w:rPr>
                      <w:rFonts w:hint="default" w:ascii="Times New Roman" w:hAnsi="Times New Roman" w:eastAsia="宋体" w:cs="Times New Roman"/>
                      <w:color w:val="auto"/>
                      <w:sz w:val="21"/>
                      <w:szCs w:val="21"/>
                      <w:highlight w:val="none"/>
                      <w:shd w:val="clear"/>
                    </w:rPr>
                    <w:t>/h</w:t>
                  </w:r>
                  <w:r>
                    <w:rPr>
                      <w:rFonts w:hint="default" w:ascii="Times New Roman" w:hAnsi="Times New Roman" w:eastAsia="宋体" w:cs="Times New Roman"/>
                      <w:color w:val="auto"/>
                      <w:sz w:val="21"/>
                      <w:szCs w:val="21"/>
                      <w:highlight w:val="none"/>
                      <w:shd w:val="clear"/>
                      <w:lang w:eastAsia="zh-CN"/>
                    </w:rPr>
                    <w:t>，</w:t>
                  </w:r>
                  <w:r>
                    <w:rPr>
                      <w:rFonts w:hint="default" w:ascii="Times New Roman" w:hAnsi="Times New Roman" w:eastAsia="宋体" w:cs="Times New Roman"/>
                      <w:color w:val="auto"/>
                      <w:sz w:val="21"/>
                      <w:szCs w:val="21"/>
                      <w:highlight w:val="none"/>
                      <w:shd w:val="clear"/>
                      <w:lang w:val="en-US" w:eastAsia="zh-CN"/>
                    </w:rPr>
                    <w:t>集气</w:t>
                  </w:r>
                  <w:r>
                    <w:rPr>
                      <w:rFonts w:hint="default" w:ascii="Times New Roman" w:hAnsi="Times New Roman" w:eastAsia="宋体" w:cs="Times New Roman"/>
                      <w:color w:val="auto"/>
                      <w:sz w:val="21"/>
                      <w:szCs w:val="21"/>
                      <w:highlight w:val="none"/>
                      <w:lang w:val="en-US" w:eastAsia="zh-CN"/>
                    </w:rPr>
                    <w:t>罩投影面积约为15.5m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，可保证集气罩风速不低于0.3m/</w:t>
                  </w:r>
                  <w:r>
                    <w:rPr>
                      <w:rFonts w:hint="default" w:ascii="Times New Roman" w:hAnsi="Times New Roman" w:eastAsia="宋体" w:cs="Times New Roman"/>
                      <w:b w:val="0"/>
                      <w:bCs w:val="0"/>
                      <w:color w:val="auto"/>
                      <w:sz w:val="21"/>
                      <w:szCs w:val="21"/>
                      <w:highlight w:val="none"/>
                      <w:lang w:val="en-US" w:eastAsia="zh-CN"/>
                    </w:rPr>
                    <w:t>s。</w:t>
                  </w:r>
                </w:p>
              </w:tc>
              <w:tc>
                <w:tcPr>
                  <w:tcW w:w="426" w:type="dxa"/>
                  <w:noWrap w:val="0"/>
                  <w:vAlign w:val="center"/>
                </w:tcPr>
                <w:p w14:paraId="5FF89CB6">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eastAsia="zh-CN" w:bidi="ar"/>
                    </w:rPr>
                    <w:t>相符</w:t>
                  </w:r>
                </w:p>
              </w:tc>
            </w:tr>
            <w:tr w14:paraId="72E3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noWrap w:val="0"/>
                  <w:vAlign w:val="center"/>
                </w:tcPr>
                <w:p w14:paraId="29E5DE85">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vMerge w:val="continue"/>
                  <w:noWrap w:val="0"/>
                  <w:vAlign w:val="center"/>
                </w:tcPr>
                <w:p w14:paraId="058D9A4C">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0607FE6A">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10.2.3废气收集系统的输送管道应密闭。废气收集系统应在负压下运行，若处于正压状态，应对输送管道组件的密封点进行泄漏检测，泄漏检测值不应超过500mmol/mol，亦不应有感官可察觉泄漏。泄漏检测频次、修复与记录的要求按照第8章规定执行。</w:t>
                  </w:r>
                </w:p>
              </w:tc>
              <w:tc>
                <w:tcPr>
                  <w:tcW w:w="2132" w:type="dxa"/>
                  <w:noWrap w:val="0"/>
                  <w:vAlign w:val="center"/>
                </w:tcPr>
                <w:p w14:paraId="1C896842">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项目废气收集系统的输送管道为密闭式，废气收集系统在负压下运行。</w:t>
                  </w:r>
                </w:p>
              </w:tc>
              <w:tc>
                <w:tcPr>
                  <w:tcW w:w="426" w:type="dxa"/>
                  <w:noWrap w:val="0"/>
                  <w:vAlign w:val="center"/>
                </w:tcPr>
                <w:p w14:paraId="5E1AC5D9">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eastAsia="zh-CN" w:bidi="ar"/>
                    </w:rPr>
                    <w:t>相符</w:t>
                  </w:r>
                </w:p>
              </w:tc>
            </w:tr>
            <w:tr w14:paraId="34BD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noWrap w:val="0"/>
                  <w:vAlign w:val="center"/>
                </w:tcPr>
                <w:p w14:paraId="6840C60A">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vMerge w:val="restart"/>
                  <w:noWrap w:val="0"/>
                  <w:vAlign w:val="center"/>
                </w:tcPr>
                <w:p w14:paraId="4D4D6597">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10.3VOCs排放控制要求</w:t>
                  </w:r>
                </w:p>
              </w:tc>
              <w:tc>
                <w:tcPr>
                  <w:tcW w:w="3146" w:type="dxa"/>
                  <w:noWrap w:val="0"/>
                  <w:vAlign w:val="center"/>
                </w:tcPr>
                <w:p w14:paraId="6B2C8D3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10.3.1VOCs废气收集处理系统污染物排放应符合GB16297或相关行业排放标准的规定。</w:t>
                  </w:r>
                </w:p>
              </w:tc>
              <w:tc>
                <w:tcPr>
                  <w:tcW w:w="2132" w:type="dxa"/>
                  <w:noWrap w:val="0"/>
                  <w:vAlign w:val="center"/>
                </w:tcPr>
                <w:p w14:paraId="18941A5A">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项目有无组织排放的甲醛、</w:t>
                  </w:r>
                  <w:r>
                    <w:rPr>
                      <w:rFonts w:hint="eastAsia" w:ascii="Times New Roman" w:hAnsi="Times New Roman"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lang w:val="zh-CN" w:eastAsia="zh-CN"/>
                    </w:rPr>
                    <w:t>《大气污染物综合排放标准》（GB16297-1996）表2</w:t>
                  </w:r>
                  <w:r>
                    <w:rPr>
                      <w:rFonts w:hint="eastAsia" w:ascii="Times New Roman" w:hAnsi="Times New Roman" w:cs="Times New Roman"/>
                      <w:color w:val="auto"/>
                      <w:sz w:val="21"/>
                      <w:szCs w:val="21"/>
                      <w:highlight w:val="none"/>
                      <w:lang w:val="zh-CN" w:eastAsia="zh-CN"/>
                    </w:rPr>
                    <w:t>中</w:t>
                  </w:r>
                  <w:r>
                    <w:rPr>
                      <w:rFonts w:hint="default" w:ascii="Times New Roman" w:hAnsi="Times New Roman" w:eastAsia="宋体" w:cs="Times New Roman"/>
                      <w:color w:val="auto"/>
                      <w:sz w:val="21"/>
                      <w:szCs w:val="21"/>
                      <w:highlight w:val="none"/>
                      <w:lang w:val="en-US" w:eastAsia="zh-CN"/>
                    </w:rPr>
                    <w:t>无组织排放监控浓度限值。</w:t>
                  </w:r>
                </w:p>
              </w:tc>
              <w:tc>
                <w:tcPr>
                  <w:tcW w:w="426" w:type="dxa"/>
                  <w:noWrap w:val="0"/>
                  <w:vAlign w:val="center"/>
                </w:tcPr>
                <w:p w14:paraId="03EC72FD">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eastAsia="zh-CN" w:bidi="ar"/>
                    </w:rPr>
                    <w:t>相符</w:t>
                  </w:r>
                </w:p>
              </w:tc>
            </w:tr>
            <w:tr w14:paraId="7EED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noWrap w:val="0"/>
                  <w:vAlign w:val="center"/>
                </w:tcPr>
                <w:p w14:paraId="6D2620F4">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vMerge w:val="continue"/>
                  <w:noWrap w:val="0"/>
                  <w:vAlign w:val="center"/>
                </w:tcPr>
                <w:p w14:paraId="46F19362">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12C18446">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10.3.2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2132" w:type="dxa"/>
                  <w:noWrap w:val="0"/>
                  <w:vAlign w:val="center"/>
                </w:tcPr>
                <w:p w14:paraId="6B3104C1">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项目收集</w:t>
                  </w:r>
                  <w:r>
                    <w:rPr>
                      <w:rFonts w:hint="default" w:ascii="Times New Roman" w:hAnsi="Times New Roman" w:eastAsia="宋体" w:cs="Times New Roman"/>
                      <w:color w:val="auto"/>
                      <w:sz w:val="21"/>
                      <w:szCs w:val="21"/>
                      <w:highlight w:val="none"/>
                      <w:lang w:val="en-US" w:eastAsia="zh-CN" w:bidi="ar"/>
                    </w:rPr>
                    <w:t>的废气中NMHC初始排放速率为0.</w:t>
                  </w:r>
                  <w:r>
                    <w:rPr>
                      <w:rFonts w:hint="eastAsia" w:ascii="Times New Roman" w:hAnsi="Times New Roman" w:cs="Times New Roman"/>
                      <w:color w:val="auto"/>
                      <w:sz w:val="21"/>
                      <w:szCs w:val="21"/>
                      <w:highlight w:val="none"/>
                      <w:lang w:val="en-US" w:eastAsia="zh-CN" w:bidi="ar"/>
                    </w:rPr>
                    <w:t>252</w:t>
                  </w:r>
                  <w:r>
                    <w:rPr>
                      <w:rFonts w:hint="default" w:ascii="Times New Roman" w:hAnsi="Times New Roman" w:eastAsia="宋体" w:cs="Times New Roman"/>
                      <w:color w:val="auto"/>
                      <w:sz w:val="21"/>
                      <w:szCs w:val="21"/>
                      <w:highlight w:val="none"/>
                      <w:lang w:val="en-US" w:eastAsia="zh-CN" w:bidi="ar"/>
                    </w:rPr>
                    <w:t>kg/h，＜3kg/h，且项目采用的“UV光解+三级活性炭吸附净化装置”净化效率为80%。</w:t>
                  </w:r>
                </w:p>
              </w:tc>
              <w:tc>
                <w:tcPr>
                  <w:tcW w:w="426" w:type="dxa"/>
                  <w:noWrap w:val="0"/>
                  <w:vAlign w:val="center"/>
                </w:tcPr>
                <w:p w14:paraId="727F9397">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52E0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noWrap w:val="0"/>
                  <w:vAlign w:val="center"/>
                </w:tcPr>
                <w:p w14:paraId="65730DB7">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vMerge w:val="continue"/>
                  <w:noWrap w:val="0"/>
                  <w:vAlign w:val="center"/>
                </w:tcPr>
                <w:p w14:paraId="2EECE07B">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7A5B62F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10.3.3吸附、吸收、冷凝、生物、膜分离等其他VOCs处理设施，以实测质量浓度作为达标判定依据，不得稀释排放。</w:t>
                  </w:r>
                </w:p>
              </w:tc>
              <w:tc>
                <w:tcPr>
                  <w:tcW w:w="2132" w:type="dxa"/>
                  <w:noWrap w:val="0"/>
                  <w:vAlign w:val="center"/>
                </w:tcPr>
                <w:p w14:paraId="05AD9812">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项目采用的“UV光解+三级活性炭吸附净化装置”属于吸附处理设施，以实测质量浓度作为达标判定依据，不进行稀释排放。</w:t>
                  </w:r>
                </w:p>
              </w:tc>
              <w:tc>
                <w:tcPr>
                  <w:tcW w:w="426" w:type="dxa"/>
                  <w:noWrap w:val="0"/>
                  <w:vAlign w:val="center"/>
                </w:tcPr>
                <w:p w14:paraId="447317D6">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eastAsia="zh-CN" w:bidi="ar"/>
                    </w:rPr>
                    <w:t>相符</w:t>
                  </w:r>
                </w:p>
              </w:tc>
            </w:tr>
            <w:tr w14:paraId="38BC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noWrap w:val="0"/>
                  <w:vAlign w:val="center"/>
                </w:tcPr>
                <w:p w14:paraId="4B7D9077">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vMerge w:val="continue"/>
                  <w:noWrap w:val="0"/>
                  <w:vAlign w:val="center"/>
                </w:tcPr>
                <w:p w14:paraId="67620149">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0015AA02">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10.3.4排气筒高度不低于15m（因安全考虑或有特殊工艺要求的除外），具体高度以及与周围建筑物的相对高度关系应根据环境影响评价文件确定。</w:t>
                  </w:r>
                </w:p>
              </w:tc>
              <w:tc>
                <w:tcPr>
                  <w:tcW w:w="2132" w:type="dxa"/>
                  <w:noWrap w:val="0"/>
                  <w:vAlign w:val="center"/>
                </w:tcPr>
                <w:p w14:paraId="5AF5F42D">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项目排气筒高度为</w:t>
                  </w:r>
                  <w:r>
                    <w:rPr>
                      <w:rFonts w:hint="eastAsia" w:ascii="Times New Roman" w:hAnsi="Times New Roman" w:cs="Times New Roman"/>
                      <w:color w:val="auto"/>
                      <w:sz w:val="21"/>
                      <w:szCs w:val="21"/>
                      <w:highlight w:val="none"/>
                      <w:lang w:val="en-US" w:eastAsia="zh-CN" w:bidi="ar"/>
                    </w:rPr>
                    <w:t>15</w:t>
                  </w:r>
                  <w:r>
                    <w:rPr>
                      <w:rFonts w:hint="default" w:ascii="Times New Roman" w:hAnsi="Times New Roman" w:eastAsia="宋体" w:cs="Times New Roman"/>
                      <w:color w:val="auto"/>
                      <w:sz w:val="21"/>
                      <w:szCs w:val="21"/>
                      <w:highlight w:val="none"/>
                      <w:lang w:val="en-US" w:eastAsia="zh-CN" w:bidi="ar"/>
                    </w:rPr>
                    <w:t>m。</w:t>
                  </w:r>
                </w:p>
              </w:tc>
              <w:tc>
                <w:tcPr>
                  <w:tcW w:w="426" w:type="dxa"/>
                  <w:noWrap w:val="0"/>
                  <w:vAlign w:val="center"/>
                </w:tcPr>
                <w:p w14:paraId="655490CB">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eastAsia="zh-CN" w:bidi="ar"/>
                    </w:rPr>
                    <w:t>相符</w:t>
                  </w:r>
                </w:p>
              </w:tc>
            </w:tr>
            <w:tr w14:paraId="024F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952" w:type="dxa"/>
                  <w:vMerge w:val="continue"/>
                  <w:noWrap w:val="0"/>
                  <w:vAlign w:val="center"/>
                </w:tcPr>
                <w:p w14:paraId="07CB4375">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vMerge w:val="continue"/>
                  <w:noWrap w:val="0"/>
                  <w:vAlign w:val="center"/>
                </w:tcPr>
                <w:p w14:paraId="71C1C21B">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3146" w:type="dxa"/>
                  <w:noWrap w:val="0"/>
                  <w:vAlign w:val="center"/>
                </w:tcPr>
                <w:p w14:paraId="078E8773">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10.3.5当执行不同排放控制要求的废气合并排气筒排放时，应在废气混合前进行监测，并执行相应的排放控制要求；若可选择的监控位置只能对混合后的废气进行监测，则应按各排放控制要求中最严格的规定执行。</w:t>
                  </w:r>
                </w:p>
              </w:tc>
              <w:tc>
                <w:tcPr>
                  <w:tcW w:w="2132" w:type="dxa"/>
                  <w:noWrap w:val="0"/>
                  <w:vAlign w:val="center"/>
                </w:tcPr>
                <w:p w14:paraId="7BCDDC70">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不涉及合并排气筒的情况。</w:t>
                  </w:r>
                </w:p>
              </w:tc>
              <w:tc>
                <w:tcPr>
                  <w:tcW w:w="426" w:type="dxa"/>
                  <w:noWrap w:val="0"/>
                  <w:vAlign w:val="center"/>
                </w:tcPr>
                <w:p w14:paraId="5386269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eastAsia="zh-CN" w:bidi="ar"/>
                    </w:rPr>
                    <w:t>相符</w:t>
                  </w:r>
                </w:p>
              </w:tc>
            </w:tr>
            <w:tr w14:paraId="5A82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952" w:type="dxa"/>
                  <w:vMerge w:val="continue"/>
                  <w:noWrap w:val="0"/>
                  <w:vAlign w:val="center"/>
                </w:tcPr>
                <w:p w14:paraId="4FAA2092">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c>
                <w:tcPr>
                  <w:tcW w:w="1109" w:type="dxa"/>
                  <w:noWrap w:val="0"/>
                  <w:vAlign w:val="center"/>
                </w:tcPr>
                <w:p w14:paraId="22473412">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10.4记录要求</w:t>
                  </w:r>
                </w:p>
              </w:tc>
              <w:tc>
                <w:tcPr>
                  <w:tcW w:w="3146" w:type="dxa"/>
                  <w:noWrap w:val="0"/>
                  <w:vAlign w:val="center"/>
                </w:tcPr>
                <w:p w14:paraId="057C4171">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2132" w:type="dxa"/>
                  <w:noWrap w:val="0"/>
                  <w:vAlign w:val="center"/>
                </w:tcPr>
                <w:p w14:paraId="551C981A">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在运营过程中将建立台账，记录废气收集系统、VOCs处理设施的主要运行和维护信息，如运行时间、废气处理量、操作温度、停留时间、吸附剂再生/更换周期和更换量等关键运行参数。台账保存期限不少于3年。</w:t>
                  </w:r>
                </w:p>
              </w:tc>
              <w:tc>
                <w:tcPr>
                  <w:tcW w:w="426" w:type="dxa"/>
                  <w:noWrap w:val="0"/>
                  <w:vAlign w:val="center"/>
                </w:tcPr>
                <w:p w14:paraId="790FCFE8">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eastAsia="zh-CN" w:bidi="ar"/>
                    </w:rPr>
                    <w:t>相符</w:t>
                  </w:r>
                </w:p>
              </w:tc>
            </w:tr>
          </w:tbl>
          <w:p w14:paraId="76C6702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综上分析，项目与</w:t>
            </w:r>
            <w:r>
              <w:rPr>
                <w:rFonts w:hint="eastAsia" w:ascii="Times New Roman" w:hAnsi="Times New Roman" w:eastAsia="宋体" w:cs="Times New Roman"/>
                <w:color w:val="auto"/>
                <w:sz w:val="24"/>
                <w:szCs w:val="24"/>
                <w:highlight w:val="none"/>
                <w:lang w:val="en-US" w:eastAsia="zh-CN"/>
              </w:rPr>
              <w:t>《挥发性有机物无组织排放控制标准》（GB37822-2019）</w:t>
            </w:r>
            <w:r>
              <w:rPr>
                <w:rFonts w:hint="eastAsia" w:cs="Times New Roman"/>
                <w:color w:val="auto"/>
                <w:sz w:val="24"/>
                <w:szCs w:val="24"/>
                <w:highlight w:val="none"/>
                <w:lang w:val="en-US" w:eastAsia="zh-CN"/>
              </w:rPr>
              <w:t>中相关规定符合。</w:t>
            </w:r>
          </w:p>
          <w:p w14:paraId="0CF67E6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13、与《云南省重点行业挥发性有机物综合治理实施方案》符合性分析</w:t>
            </w:r>
          </w:p>
          <w:p w14:paraId="7712DE80">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2019年9月4日，云南省生态环境厅印发了《云南省重点行业挥发性有机物综合治理实施方案》（云环通〔2019〕125号）。项目与《云南省重点行业挥发性有机物综合治理实施方案》的相符性分析见</w:t>
            </w:r>
            <w:r>
              <w:rPr>
                <w:rFonts w:hint="eastAsia"/>
                <w:color w:val="auto"/>
                <w:sz w:val="24"/>
                <w:highlight w:val="none"/>
                <w:lang w:val="en-US" w:eastAsia="zh-CN"/>
              </w:rPr>
              <w:t>下表</w:t>
            </w:r>
            <w:r>
              <w:rPr>
                <w:rFonts w:hint="default"/>
                <w:color w:val="auto"/>
                <w:sz w:val="24"/>
                <w:highlight w:val="none"/>
              </w:rPr>
              <w:t>。</w:t>
            </w:r>
          </w:p>
          <w:p w14:paraId="3CF92411">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表1-</w:t>
            </w:r>
            <w:r>
              <w:rPr>
                <w:rFonts w:hint="eastAsia"/>
                <w:b/>
                <w:color w:val="auto"/>
                <w:szCs w:val="21"/>
                <w:highlight w:val="none"/>
                <w:lang w:val="en-US" w:eastAsia="zh-CN"/>
              </w:rPr>
              <w:t>13</w:t>
            </w:r>
            <w:r>
              <w:rPr>
                <w:rFonts w:hint="default"/>
                <w:b/>
                <w:color w:val="auto"/>
                <w:szCs w:val="21"/>
                <w:highlight w:val="none"/>
              </w:rPr>
              <w:t xml:space="preserve">  项目与《云南省重点行业挥发性有机物综合治理实施方案》的相符性分析</w:t>
            </w:r>
          </w:p>
          <w:tbl>
            <w:tblPr>
              <w:tblStyle w:val="30"/>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2"/>
              <w:gridCol w:w="3371"/>
              <w:gridCol w:w="722"/>
            </w:tblGrid>
            <w:tr w14:paraId="0B3C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672" w:type="dxa"/>
                  <w:noWrap w:val="0"/>
                  <w:vAlign w:val="center"/>
                </w:tcPr>
                <w:p w14:paraId="76F917E8">
                  <w:pPr>
                    <w:pStyle w:val="2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《云南省重点行业挥发性有机物综合治理实施方案》</w:t>
                  </w:r>
                </w:p>
              </w:tc>
              <w:tc>
                <w:tcPr>
                  <w:tcW w:w="3371" w:type="dxa"/>
                  <w:noWrap w:val="0"/>
                  <w:vAlign w:val="center"/>
                </w:tcPr>
                <w:p w14:paraId="7AD9B252">
                  <w:pPr>
                    <w:keepNext w:val="0"/>
                    <w:keepLines w:val="0"/>
                    <w:suppressLineNumbers w:val="0"/>
                    <w:adjustRightInd w:val="0"/>
                    <w:snapToGrid w:val="0"/>
                    <w:spacing w:before="0" w:beforeAutospacing="0" w:after="0" w:afterAutospacing="0"/>
                    <w:ind w:left="0" w:right="0"/>
                    <w:jc w:val="center"/>
                    <w:rPr>
                      <w:rFonts w:hint="default" w:eastAsia="宋体"/>
                      <w:b/>
                      <w:color w:val="auto"/>
                      <w:szCs w:val="21"/>
                      <w:highlight w:val="none"/>
                    </w:rPr>
                  </w:pPr>
                  <w:r>
                    <w:rPr>
                      <w:rFonts w:hint="default" w:eastAsia="宋体"/>
                      <w:b/>
                      <w:color w:val="auto"/>
                      <w:szCs w:val="21"/>
                      <w:highlight w:val="none"/>
                    </w:rPr>
                    <w:t>本项目</w:t>
                  </w:r>
                </w:p>
              </w:tc>
              <w:tc>
                <w:tcPr>
                  <w:tcW w:w="722" w:type="dxa"/>
                  <w:noWrap w:val="0"/>
                  <w:vAlign w:val="center"/>
                </w:tcPr>
                <w:p w14:paraId="6E507142">
                  <w:pPr>
                    <w:keepNext w:val="0"/>
                    <w:keepLines w:val="0"/>
                    <w:suppressLineNumbers w:val="0"/>
                    <w:adjustRightInd w:val="0"/>
                    <w:snapToGrid w:val="0"/>
                    <w:spacing w:before="0" w:beforeAutospacing="0" w:after="0" w:afterAutospacing="0"/>
                    <w:ind w:left="0" w:right="0"/>
                    <w:jc w:val="center"/>
                    <w:rPr>
                      <w:rFonts w:hint="default" w:eastAsia="宋体"/>
                      <w:b/>
                      <w:color w:val="auto"/>
                      <w:szCs w:val="21"/>
                      <w:highlight w:val="none"/>
                    </w:rPr>
                  </w:pPr>
                  <w:r>
                    <w:rPr>
                      <w:rFonts w:hint="default" w:eastAsia="宋体"/>
                      <w:b/>
                      <w:color w:val="auto"/>
                      <w:szCs w:val="21"/>
                      <w:highlight w:val="none"/>
                    </w:rPr>
                    <w:t>相符性</w:t>
                  </w:r>
                </w:p>
              </w:tc>
            </w:tr>
            <w:tr w14:paraId="69DA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3672" w:type="dxa"/>
                  <w:noWrap w:val="0"/>
                  <w:vAlign w:val="center"/>
                </w:tcPr>
                <w:p w14:paraId="6C623A35">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3371" w:type="dxa"/>
                  <w:noWrap w:val="0"/>
                  <w:vAlign w:val="center"/>
                </w:tcPr>
                <w:p w14:paraId="3C472F72">
                  <w:pPr>
                    <w:keepNext w:val="0"/>
                    <w:keepLines w:val="0"/>
                    <w:suppressLineNumbers w:val="0"/>
                    <w:adjustRightInd w:val="0"/>
                    <w:snapToGrid w:val="0"/>
                    <w:spacing w:before="0" w:beforeAutospacing="0" w:after="0" w:afterAutospacing="0"/>
                    <w:ind w:left="0" w:right="0"/>
                    <w:jc w:val="center"/>
                    <w:rPr>
                      <w:rFonts w:hint="eastAsia" w:eastAsia="宋体"/>
                      <w:color w:val="auto"/>
                      <w:szCs w:val="21"/>
                      <w:highlight w:val="none"/>
                      <w:lang w:eastAsia="zh-CN" w:bidi="ar"/>
                    </w:rPr>
                  </w:pPr>
                  <w:r>
                    <w:rPr>
                      <w:rFonts w:hint="eastAsia" w:eastAsia="宋体"/>
                      <w:color w:val="auto"/>
                      <w:szCs w:val="21"/>
                      <w:highlight w:val="none"/>
                      <w:lang w:eastAsia="zh-CN" w:bidi="ar"/>
                    </w:rPr>
                    <w:t>项目已采取含</w:t>
                  </w:r>
                  <w:r>
                    <w:rPr>
                      <w:rFonts w:hint="default" w:ascii="Times New Roman" w:hAnsi="Times New Roman" w:eastAsia="宋体" w:cs="Times New Roman"/>
                      <w:color w:val="auto"/>
                      <w:sz w:val="21"/>
                      <w:szCs w:val="21"/>
                      <w:highlight w:val="none"/>
                      <w:lang w:bidi="ar"/>
                    </w:rPr>
                    <w:t>VOCs 物料（包括含 VOCs 原辅材料、含 VOCs 产品、含 VOCs 废料以及有机聚合物材料等）储存、转移和输送、设备与管线组件泄漏、敞开液面逸散以及工艺过程等五类排放源实施管控，</w:t>
                  </w:r>
                  <w:r>
                    <w:rPr>
                      <w:rFonts w:hint="default" w:ascii="Times New Roman" w:hAnsi="Times New Roman" w:eastAsia="宋体" w:cs="Times New Roman"/>
                      <w:color w:val="auto"/>
                      <w:sz w:val="21"/>
                      <w:szCs w:val="21"/>
                      <w:highlight w:val="none"/>
                      <w:lang w:val="en-US" w:eastAsia="zh-CN" w:bidi="ar"/>
                    </w:rPr>
                    <w:t>项目</w:t>
                  </w:r>
                  <w:r>
                    <w:rPr>
                      <w:rFonts w:hint="eastAsia" w:cs="Times New Roman"/>
                      <w:color w:val="auto"/>
                      <w:sz w:val="21"/>
                      <w:szCs w:val="21"/>
                      <w:highlight w:val="none"/>
                      <w:lang w:val="en-US" w:eastAsia="zh-CN" w:bidi="ar"/>
                    </w:rPr>
                    <w:t>调胶、浸渍、烘干</w:t>
                  </w:r>
                  <w:r>
                    <w:rPr>
                      <w:rFonts w:hint="default" w:ascii="Times New Roman" w:hAnsi="Times New Roman" w:eastAsia="宋体" w:cs="Times New Roman"/>
                      <w:color w:val="auto"/>
                      <w:sz w:val="21"/>
                      <w:szCs w:val="21"/>
                      <w:highlight w:val="none"/>
                      <w:lang w:val="en-US" w:eastAsia="zh-CN" w:bidi="ar"/>
                    </w:rPr>
                    <w:t>过程产生的甲醛收集</w:t>
                  </w:r>
                  <w:r>
                    <w:rPr>
                      <w:rFonts w:hint="eastAsia" w:cs="Times New Roman"/>
                      <w:color w:val="auto"/>
                      <w:sz w:val="21"/>
                      <w:szCs w:val="21"/>
                      <w:highlight w:val="none"/>
                      <w:lang w:val="en-US" w:eastAsia="zh-CN" w:bidi="ar"/>
                    </w:rPr>
                    <w:t>至</w:t>
                  </w:r>
                  <w:r>
                    <w:rPr>
                      <w:rFonts w:hint="default" w:ascii="Times New Roman" w:hAnsi="Times New Roman" w:eastAsia="宋体" w:cs="Times New Roman"/>
                      <w:color w:val="auto"/>
                      <w:sz w:val="21"/>
                      <w:szCs w:val="21"/>
                      <w:highlight w:val="none"/>
                      <w:lang w:val="en-US" w:eastAsia="zh-CN" w:bidi="ar"/>
                    </w:rPr>
                    <w:t>“UV光解+三级活性炭吸附净化装置”处理达标后，由1根</w:t>
                  </w:r>
                  <w:r>
                    <w:rPr>
                      <w:rFonts w:hint="eastAsia" w:ascii="Times New Roman" w:hAnsi="Times New Roman" w:eastAsia="宋体" w:cs="Times New Roman"/>
                      <w:color w:val="auto"/>
                      <w:sz w:val="21"/>
                      <w:szCs w:val="21"/>
                      <w:highlight w:val="none"/>
                      <w:lang w:val="en-US" w:eastAsia="zh-CN" w:bidi="ar"/>
                    </w:rPr>
                    <w:t>15</w:t>
                  </w:r>
                  <w:r>
                    <w:rPr>
                      <w:rFonts w:hint="default" w:ascii="Times New Roman" w:hAnsi="Times New Roman" w:eastAsia="宋体" w:cs="Times New Roman"/>
                      <w:color w:val="auto"/>
                      <w:sz w:val="21"/>
                      <w:szCs w:val="21"/>
                      <w:highlight w:val="none"/>
                      <w:lang w:val="en-US" w:eastAsia="zh-CN" w:bidi="ar"/>
                    </w:rPr>
                    <w:t>m高排气筒</w:t>
                  </w:r>
                  <w:r>
                    <w:rPr>
                      <w:rFonts w:hint="eastAsia" w:ascii="Times New Roman" w:hAnsi="Times New Roman" w:eastAsia="宋体" w:cs="Times New Roman"/>
                      <w:color w:val="auto"/>
                      <w:sz w:val="21"/>
                      <w:szCs w:val="21"/>
                      <w:highlight w:val="none"/>
                      <w:lang w:val="en-US" w:eastAsia="zh-CN" w:bidi="ar"/>
                    </w:rPr>
                    <w:t>（DA001）</w:t>
                  </w:r>
                  <w:r>
                    <w:rPr>
                      <w:rFonts w:hint="default" w:ascii="Times New Roman" w:hAnsi="Times New Roman" w:eastAsia="宋体" w:cs="Times New Roman"/>
                      <w:color w:val="auto"/>
                      <w:sz w:val="21"/>
                      <w:szCs w:val="21"/>
                      <w:highlight w:val="none"/>
                      <w:lang w:val="en-US" w:eastAsia="zh-CN" w:bidi="ar"/>
                    </w:rPr>
                    <w:t>排放。</w:t>
                  </w:r>
                </w:p>
              </w:tc>
              <w:tc>
                <w:tcPr>
                  <w:tcW w:w="722" w:type="dxa"/>
                  <w:noWrap w:val="0"/>
                  <w:vAlign w:val="center"/>
                </w:tcPr>
                <w:p w14:paraId="778A1C61">
                  <w:pPr>
                    <w:pStyle w:val="2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14:paraId="2F51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9" w:hRule="atLeast"/>
              </w:trPr>
              <w:tc>
                <w:tcPr>
                  <w:tcW w:w="3672" w:type="dxa"/>
                  <w:noWrap w:val="0"/>
                  <w:vAlign w:val="center"/>
                </w:tcPr>
                <w:p w14:paraId="6F3C1712">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无组织排放位置，控制风速应不低于0</w:t>
                  </w:r>
                  <w:r>
                    <w:rPr>
                      <w:rFonts w:hint="eastAsia" w:ascii="Times New Roman" w:hAnsi="Times New Roman" w:cs="Times New Roman"/>
                      <w:color w:val="auto"/>
                      <w:sz w:val="21"/>
                      <w:szCs w:val="21"/>
                      <w:highlight w:val="none"/>
                      <w:lang w:val="en-US" w:eastAsia="zh-CN" w:bidi="ar"/>
                    </w:rPr>
                    <w:t>.</w:t>
                  </w:r>
                  <w:r>
                    <w:rPr>
                      <w:rFonts w:hint="default" w:ascii="Times New Roman" w:hAnsi="Times New Roman" w:eastAsia="宋体" w:cs="Times New Roman"/>
                      <w:color w:val="auto"/>
                      <w:sz w:val="21"/>
                      <w:szCs w:val="21"/>
                      <w:highlight w:val="none"/>
                      <w:lang w:bidi="ar"/>
                    </w:rPr>
                    <w:t>3米/秒，有行业要求的按相关规定执行。</w:t>
                  </w:r>
                </w:p>
              </w:tc>
              <w:tc>
                <w:tcPr>
                  <w:tcW w:w="3371" w:type="dxa"/>
                  <w:noWrap w:val="0"/>
                  <w:vAlign w:val="center"/>
                </w:tcPr>
                <w:p w14:paraId="6401676E">
                  <w:pPr>
                    <w:pStyle w:val="28"/>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val="en-US" w:eastAsia="zh-CN" w:bidi="ar"/>
                    </w:rPr>
                    <w:t>项目</w:t>
                  </w:r>
                  <w:r>
                    <w:rPr>
                      <w:rFonts w:hint="eastAsia" w:ascii="Times New Roman" w:hAnsi="Times New Roman" w:cs="Times New Roman"/>
                      <w:color w:val="auto"/>
                      <w:sz w:val="21"/>
                      <w:szCs w:val="21"/>
                      <w:highlight w:val="none"/>
                      <w:lang w:val="en-US" w:eastAsia="zh-CN" w:bidi="ar"/>
                    </w:rPr>
                    <w:t>生产</w:t>
                  </w:r>
                  <w:r>
                    <w:rPr>
                      <w:rFonts w:hint="default" w:ascii="Times New Roman" w:hAnsi="Times New Roman" w:eastAsia="宋体" w:cs="Times New Roman"/>
                      <w:color w:val="auto"/>
                      <w:sz w:val="21"/>
                      <w:szCs w:val="21"/>
                      <w:highlight w:val="none"/>
                      <w:lang w:val="en-US" w:eastAsia="zh-CN" w:bidi="ar"/>
                    </w:rPr>
                    <w:t>过程产生的甲醛、</w:t>
                  </w:r>
                  <w:r>
                    <w:rPr>
                      <w:rFonts w:hint="eastAsia" w:ascii="Times New Roman" w:hAnsi="Times New Roman" w:cs="Times New Roman"/>
                      <w:color w:val="auto"/>
                      <w:sz w:val="21"/>
                      <w:szCs w:val="21"/>
                      <w:highlight w:val="none"/>
                      <w:lang w:val="en-US" w:eastAsia="zh-CN" w:bidi="ar"/>
                    </w:rPr>
                    <w:t>VOCs</w:t>
                  </w:r>
                  <w:r>
                    <w:rPr>
                      <w:rFonts w:hint="default" w:ascii="Times New Roman" w:hAnsi="Times New Roman" w:eastAsia="宋体" w:cs="Times New Roman"/>
                      <w:color w:val="auto"/>
                      <w:sz w:val="21"/>
                      <w:szCs w:val="21"/>
                      <w:highlight w:val="none"/>
                      <w:lang w:val="en-US" w:eastAsia="zh-CN" w:bidi="ar"/>
                    </w:rPr>
                    <w:t>经集气罩收集、“UV光解+三级活性炭吸附净化装置”处理达标后，由1根</w:t>
                  </w:r>
                  <w:r>
                    <w:rPr>
                      <w:rFonts w:hint="eastAsia" w:ascii="Times New Roman" w:hAnsi="Times New Roman" w:eastAsia="宋体" w:cs="Times New Roman"/>
                      <w:color w:val="auto"/>
                      <w:sz w:val="21"/>
                      <w:szCs w:val="21"/>
                      <w:highlight w:val="none"/>
                      <w:lang w:val="en-US" w:eastAsia="zh-CN" w:bidi="ar"/>
                    </w:rPr>
                    <w:t>15</w:t>
                  </w:r>
                  <w:r>
                    <w:rPr>
                      <w:rFonts w:hint="default" w:ascii="Times New Roman" w:hAnsi="Times New Roman" w:eastAsia="宋体" w:cs="Times New Roman"/>
                      <w:color w:val="auto"/>
                      <w:sz w:val="21"/>
                      <w:szCs w:val="21"/>
                      <w:highlight w:val="none"/>
                      <w:lang w:val="en-US" w:eastAsia="zh-CN" w:bidi="ar"/>
                    </w:rPr>
                    <w:t>m高排气筒</w:t>
                  </w:r>
                  <w:r>
                    <w:rPr>
                      <w:rFonts w:hint="eastAsia" w:ascii="Times New Roman" w:hAnsi="Times New Roman" w:eastAsia="宋体" w:cs="Times New Roman"/>
                      <w:color w:val="auto"/>
                      <w:sz w:val="21"/>
                      <w:szCs w:val="21"/>
                      <w:highlight w:val="none"/>
                      <w:lang w:val="en-US" w:eastAsia="zh-CN" w:bidi="ar"/>
                    </w:rPr>
                    <w:t>（DA001）</w:t>
                  </w:r>
                  <w:r>
                    <w:rPr>
                      <w:rFonts w:hint="default" w:ascii="Times New Roman" w:hAnsi="Times New Roman" w:eastAsia="宋体" w:cs="Times New Roman"/>
                      <w:color w:val="auto"/>
                      <w:sz w:val="21"/>
                      <w:szCs w:val="21"/>
                      <w:highlight w:val="none"/>
                      <w:lang w:val="en-US" w:eastAsia="zh-CN" w:bidi="ar"/>
                    </w:rPr>
                    <w:t>排放。</w:t>
                  </w:r>
                </w:p>
              </w:tc>
              <w:tc>
                <w:tcPr>
                  <w:tcW w:w="722" w:type="dxa"/>
                  <w:noWrap w:val="0"/>
                  <w:vAlign w:val="center"/>
                </w:tcPr>
                <w:p w14:paraId="7E56AFE5">
                  <w:pPr>
                    <w:pStyle w:val="2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bl>
          <w:p w14:paraId="455DCBD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综上所述，项目与《云南省重点行业挥发性有机物综合治理实施方案》（云环通〔2019〕125号）相符。</w:t>
            </w:r>
          </w:p>
          <w:p w14:paraId="596965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14、与《昆明市重点行业挥发性有机物综合治理实施方案》（昆生环通[2019]185号）符合性分析</w:t>
            </w:r>
          </w:p>
          <w:p w14:paraId="1E5759BE">
            <w:pPr>
              <w:keepNext w:val="0"/>
              <w:keepLines w:val="0"/>
              <w:suppressLineNumbers w:val="0"/>
              <w:spacing w:before="0" w:beforeAutospacing="0" w:after="0" w:afterAutospacing="0"/>
              <w:ind w:left="0" w:right="0"/>
              <w:jc w:val="center"/>
              <w:rPr>
                <w:rFonts w:hint="default"/>
                <w:b/>
                <w:color w:val="auto"/>
                <w:szCs w:val="21"/>
                <w:highlight w:val="none"/>
              </w:rPr>
            </w:pPr>
            <w:r>
              <w:rPr>
                <w:rFonts w:hint="default"/>
                <w:b/>
                <w:color w:val="auto"/>
                <w:szCs w:val="21"/>
                <w:highlight w:val="none"/>
              </w:rPr>
              <w:t>表1-</w:t>
            </w:r>
            <w:r>
              <w:rPr>
                <w:rFonts w:hint="eastAsia"/>
                <w:b/>
                <w:color w:val="auto"/>
                <w:szCs w:val="21"/>
                <w:highlight w:val="none"/>
                <w:lang w:val="en-US" w:eastAsia="zh-CN"/>
              </w:rPr>
              <w:t>14</w:t>
            </w:r>
            <w:r>
              <w:rPr>
                <w:rFonts w:hint="default"/>
                <w:b/>
                <w:color w:val="auto"/>
                <w:szCs w:val="21"/>
                <w:highlight w:val="none"/>
              </w:rPr>
              <w:t xml:space="preserve">  项目与</w:t>
            </w:r>
            <w:r>
              <w:rPr>
                <w:rFonts w:hint="default"/>
                <w:b/>
                <w:color w:val="auto"/>
                <w:szCs w:val="21"/>
                <w:highlight w:val="none"/>
                <w:lang w:val="en-US" w:eastAsia="zh-CN"/>
              </w:rPr>
              <w:t>《昆明市重点行业挥发性有机物综合治理实施方案》</w:t>
            </w:r>
            <w:r>
              <w:rPr>
                <w:rFonts w:hint="default"/>
                <w:b/>
                <w:color w:val="auto"/>
                <w:szCs w:val="21"/>
                <w:highlight w:val="none"/>
              </w:rPr>
              <w:t>的相符性分析</w:t>
            </w:r>
          </w:p>
          <w:tbl>
            <w:tblPr>
              <w:tblStyle w:val="30"/>
              <w:tblW w:w="7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2"/>
              <w:gridCol w:w="3371"/>
              <w:gridCol w:w="722"/>
            </w:tblGrid>
            <w:tr w14:paraId="1B41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3672" w:type="dxa"/>
                  <w:noWrap w:val="0"/>
                  <w:vAlign w:val="center"/>
                </w:tcPr>
                <w:p w14:paraId="6438B639">
                  <w:pPr>
                    <w:pStyle w:val="2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val="en-US" w:eastAsia="zh-CN" w:bidi="ar"/>
                    </w:rPr>
                    <w:t>《昆明市重点行业挥发性有机物综合治理实施方案》</w:t>
                  </w:r>
                </w:p>
              </w:tc>
              <w:tc>
                <w:tcPr>
                  <w:tcW w:w="3371" w:type="dxa"/>
                  <w:noWrap w:val="0"/>
                  <w:vAlign w:val="center"/>
                </w:tcPr>
                <w:p w14:paraId="47D24FD0">
                  <w:pPr>
                    <w:keepNext w:val="0"/>
                    <w:keepLines w:val="0"/>
                    <w:suppressLineNumbers w:val="0"/>
                    <w:adjustRightInd w:val="0"/>
                    <w:snapToGrid w:val="0"/>
                    <w:spacing w:before="0" w:beforeAutospacing="0" w:after="0" w:afterAutospacing="0"/>
                    <w:ind w:left="0" w:right="0"/>
                    <w:jc w:val="center"/>
                    <w:rPr>
                      <w:rFonts w:hint="default" w:eastAsia="宋体"/>
                      <w:b/>
                      <w:color w:val="auto"/>
                      <w:szCs w:val="21"/>
                      <w:highlight w:val="none"/>
                    </w:rPr>
                  </w:pPr>
                  <w:r>
                    <w:rPr>
                      <w:rFonts w:hint="default" w:eastAsia="宋体"/>
                      <w:b/>
                      <w:color w:val="auto"/>
                      <w:szCs w:val="21"/>
                      <w:highlight w:val="none"/>
                    </w:rPr>
                    <w:t>本项目</w:t>
                  </w:r>
                </w:p>
              </w:tc>
              <w:tc>
                <w:tcPr>
                  <w:tcW w:w="722" w:type="dxa"/>
                  <w:noWrap w:val="0"/>
                  <w:vAlign w:val="center"/>
                </w:tcPr>
                <w:p w14:paraId="2075B6FD">
                  <w:pPr>
                    <w:keepNext w:val="0"/>
                    <w:keepLines w:val="0"/>
                    <w:suppressLineNumbers w:val="0"/>
                    <w:adjustRightInd w:val="0"/>
                    <w:snapToGrid w:val="0"/>
                    <w:spacing w:before="0" w:beforeAutospacing="0" w:after="0" w:afterAutospacing="0"/>
                    <w:ind w:left="0" w:right="0"/>
                    <w:jc w:val="center"/>
                    <w:rPr>
                      <w:rFonts w:hint="default" w:eastAsia="宋体"/>
                      <w:b/>
                      <w:color w:val="auto"/>
                      <w:szCs w:val="21"/>
                      <w:highlight w:val="none"/>
                    </w:rPr>
                  </w:pPr>
                  <w:r>
                    <w:rPr>
                      <w:rFonts w:hint="default" w:eastAsia="宋体"/>
                      <w:b/>
                      <w:color w:val="auto"/>
                      <w:szCs w:val="21"/>
                      <w:highlight w:val="none"/>
                    </w:rPr>
                    <w:t>相符性</w:t>
                  </w:r>
                </w:p>
              </w:tc>
            </w:tr>
            <w:tr w14:paraId="54A6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3672" w:type="dxa"/>
                  <w:noWrap w:val="0"/>
                  <w:vAlign w:val="center"/>
                </w:tcPr>
                <w:p w14:paraId="4731EE43">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(一)严格环境准入进一步提高行业准入门槛，严格限制石化、化工、包装印刷、工业涂装等高VOCs排放建设项目，控制新增污染物排放量</w:t>
                  </w:r>
                  <w:r>
                    <w:rPr>
                      <w:rFonts w:hint="eastAsia"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鼓励提倡新、改、扩建涉VOCs排放项目使用低VOCs含量原辅材料，采取密闭措施，加强废气收集，配套安装高效治理设施，减少污染排放。同时，淘汰国家及地方明令禁止的落后工艺和设备。</w:t>
                  </w:r>
                </w:p>
              </w:tc>
              <w:tc>
                <w:tcPr>
                  <w:tcW w:w="3371" w:type="dxa"/>
                  <w:noWrap w:val="0"/>
                  <w:vAlign w:val="center"/>
                </w:tcPr>
                <w:p w14:paraId="02D2246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
                    </w:rPr>
                    <w:t>项目不属于石化、化工、包装印刷、工业涂装等高VOCs排放项目；</w:t>
                  </w:r>
                  <w:r>
                    <w:rPr>
                      <w:rFonts w:hint="default" w:ascii="Times New Roman" w:hAnsi="Times New Roman" w:eastAsia="宋体" w:cs="Times New Roman"/>
                      <w:color w:val="auto"/>
                      <w:kern w:val="2"/>
                      <w:sz w:val="21"/>
                      <w:szCs w:val="21"/>
                      <w:highlight w:val="none"/>
                      <w:lang w:val="en-US" w:eastAsia="zh-CN" w:bidi="ar"/>
                    </w:rPr>
                    <w:t>项目</w:t>
                  </w:r>
                  <w:r>
                    <w:rPr>
                      <w:rFonts w:hint="eastAsia" w:cs="Times New Roman"/>
                      <w:color w:val="auto"/>
                      <w:kern w:val="2"/>
                      <w:sz w:val="21"/>
                      <w:szCs w:val="21"/>
                      <w:highlight w:val="none"/>
                      <w:lang w:val="en-US" w:eastAsia="zh-CN" w:bidi="ar"/>
                    </w:rPr>
                    <w:t>烘干</w:t>
                  </w:r>
                  <w:r>
                    <w:rPr>
                      <w:rFonts w:hint="default" w:ascii="Times New Roman" w:hAnsi="Times New Roman" w:eastAsia="宋体" w:cs="Times New Roman"/>
                      <w:color w:val="auto"/>
                      <w:kern w:val="2"/>
                      <w:sz w:val="21"/>
                      <w:szCs w:val="21"/>
                      <w:highlight w:val="none"/>
                      <w:lang w:val="en-US" w:eastAsia="zh-CN" w:bidi="ar"/>
                    </w:rPr>
                    <w:t>过程产生的甲醛、</w:t>
                  </w:r>
                  <w:r>
                    <w:rPr>
                      <w:rFonts w:hint="eastAsia" w:cs="Times New Roman"/>
                      <w:color w:val="auto"/>
                      <w:kern w:val="2"/>
                      <w:sz w:val="21"/>
                      <w:szCs w:val="21"/>
                      <w:highlight w:val="none"/>
                      <w:lang w:val="en-US" w:eastAsia="zh-CN" w:bidi="ar"/>
                    </w:rPr>
                    <w:t>VOCs</w:t>
                  </w:r>
                  <w:r>
                    <w:rPr>
                      <w:rFonts w:hint="default" w:ascii="Times New Roman" w:hAnsi="Times New Roman" w:eastAsia="宋体" w:cs="Times New Roman"/>
                      <w:color w:val="auto"/>
                      <w:kern w:val="2"/>
                      <w:sz w:val="21"/>
                      <w:szCs w:val="21"/>
                      <w:highlight w:val="none"/>
                      <w:lang w:val="en-US" w:eastAsia="zh-CN" w:bidi="ar"/>
                    </w:rPr>
                    <w:t>经集气罩收集、“UV光解+三级活性炭吸附净化装置”处理达标后，</w:t>
                  </w:r>
                  <w:r>
                    <w:rPr>
                      <w:rFonts w:hint="default" w:ascii="Times New Roman" w:hAnsi="Times New Roman" w:eastAsia="宋体" w:cs="Times New Roman"/>
                      <w:color w:val="auto"/>
                      <w:sz w:val="21"/>
                      <w:szCs w:val="21"/>
                      <w:highlight w:val="none"/>
                      <w:lang w:val="en-US" w:eastAsia="zh-CN" w:bidi="ar"/>
                    </w:rPr>
                    <w:t>由1根</w:t>
                  </w:r>
                  <w:r>
                    <w:rPr>
                      <w:rFonts w:hint="eastAsia" w:ascii="Times New Roman" w:hAnsi="Times New Roman" w:eastAsia="宋体" w:cs="Times New Roman"/>
                      <w:color w:val="auto"/>
                      <w:sz w:val="21"/>
                      <w:szCs w:val="21"/>
                      <w:highlight w:val="none"/>
                      <w:lang w:val="en-US" w:eastAsia="zh-CN" w:bidi="ar"/>
                    </w:rPr>
                    <w:t>15</w:t>
                  </w:r>
                  <w:r>
                    <w:rPr>
                      <w:rFonts w:hint="default" w:ascii="Times New Roman" w:hAnsi="Times New Roman" w:eastAsia="宋体" w:cs="Times New Roman"/>
                      <w:color w:val="auto"/>
                      <w:sz w:val="21"/>
                      <w:szCs w:val="21"/>
                      <w:highlight w:val="none"/>
                      <w:lang w:val="en-US" w:eastAsia="zh-CN" w:bidi="ar"/>
                    </w:rPr>
                    <w:t>m高排气筒</w:t>
                  </w:r>
                  <w:r>
                    <w:rPr>
                      <w:rFonts w:hint="eastAsia" w:ascii="Times New Roman" w:hAnsi="Times New Roman" w:eastAsia="宋体" w:cs="Times New Roman"/>
                      <w:color w:val="auto"/>
                      <w:sz w:val="21"/>
                      <w:szCs w:val="21"/>
                      <w:highlight w:val="none"/>
                      <w:lang w:val="en-US" w:eastAsia="zh-CN" w:bidi="ar"/>
                    </w:rPr>
                    <w:t>（DA001）</w:t>
                  </w:r>
                  <w:r>
                    <w:rPr>
                      <w:rFonts w:hint="default" w:ascii="Times New Roman" w:hAnsi="Times New Roman" w:eastAsia="宋体" w:cs="Times New Roman"/>
                      <w:color w:val="auto"/>
                      <w:sz w:val="21"/>
                      <w:szCs w:val="21"/>
                      <w:highlight w:val="none"/>
                      <w:lang w:val="en-US" w:eastAsia="zh-CN" w:bidi="ar"/>
                    </w:rPr>
                    <w:t>排放</w:t>
                  </w:r>
                  <w:r>
                    <w:rPr>
                      <w:rFonts w:hint="eastAsia" w:ascii="Times New Roman" w:hAnsi="Times New Roman" w:eastAsia="宋体" w:cs="Times New Roman"/>
                      <w:color w:val="auto"/>
                      <w:kern w:val="2"/>
                      <w:sz w:val="21"/>
                      <w:szCs w:val="21"/>
                      <w:highlight w:val="none"/>
                      <w:lang w:val="en-US" w:eastAsia="zh-CN" w:bidi="ar"/>
                    </w:rPr>
                    <w:t>；项目不涉及国家及地方明令禁止的落后工艺和设备。</w:t>
                  </w:r>
                </w:p>
              </w:tc>
              <w:tc>
                <w:tcPr>
                  <w:tcW w:w="722" w:type="dxa"/>
                  <w:noWrap w:val="0"/>
                  <w:vAlign w:val="center"/>
                </w:tcPr>
                <w:p w14:paraId="298E5DDD">
                  <w:pPr>
                    <w:pStyle w:val="2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14:paraId="3A13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3672" w:type="dxa"/>
                  <w:noWrap w:val="0"/>
                  <w:vAlign w:val="center"/>
                </w:tcPr>
                <w:p w14:paraId="070D4976">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(二)积极推广先进生产工艺通过采用全密闭、连续化、自动化等生产技术，以及高效工艺与设备等，减少工艺过程无组织排放。挥发性有机液体装载优先采用底部装载方式。石化、化工行业重点推进使用低 (无)泄漏的泵、压缩机、过滤机、离心机、干燥设备等，推广采用油品在线调和技术、密闭式循环水冷却系统等。工业涂装行业重点推进使用紧凑式涂装工艺，推广采用辘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3371" w:type="dxa"/>
                  <w:noWrap w:val="0"/>
                  <w:vAlign w:val="center"/>
                </w:tcPr>
                <w:p w14:paraId="22699B1D">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本项目属其他纸制品制造项目，生产过程中使用高效工艺及设备。项目不涉及</w:t>
                  </w:r>
                  <w:r>
                    <w:rPr>
                      <w:rFonts w:hint="default" w:ascii="Times New Roman" w:hAnsi="Times New Roman" w:eastAsia="宋体" w:cs="Times New Roman"/>
                      <w:color w:val="auto"/>
                      <w:sz w:val="21"/>
                      <w:szCs w:val="21"/>
                      <w:highlight w:val="none"/>
                      <w:lang w:bidi="ar"/>
                    </w:rPr>
                    <w:t>挥发性有机液体装载</w:t>
                  </w:r>
                  <w:r>
                    <w:rPr>
                      <w:rFonts w:hint="eastAsia" w:ascii="Times New Roman" w:hAnsi="Times New Roman" w:eastAsia="宋体" w:cs="Times New Roman"/>
                      <w:color w:val="auto"/>
                      <w:sz w:val="21"/>
                      <w:szCs w:val="21"/>
                      <w:highlight w:val="none"/>
                      <w:lang w:eastAsia="zh-CN" w:bidi="ar"/>
                    </w:rPr>
                    <w:t>、不属于</w:t>
                  </w:r>
                  <w:r>
                    <w:rPr>
                      <w:rFonts w:hint="default" w:ascii="Times New Roman" w:hAnsi="Times New Roman" w:eastAsia="宋体" w:cs="Times New Roman"/>
                      <w:color w:val="auto"/>
                      <w:sz w:val="21"/>
                      <w:szCs w:val="21"/>
                      <w:highlight w:val="none"/>
                      <w:lang w:bidi="ar"/>
                    </w:rPr>
                    <w:t>石化、化工行业</w:t>
                  </w:r>
                  <w:r>
                    <w:rPr>
                      <w:rFonts w:hint="eastAsia" w:ascii="Times New Roman" w:hAnsi="Times New Roman" w:eastAsia="宋体" w:cs="Times New Roman"/>
                      <w:color w:val="auto"/>
                      <w:sz w:val="21"/>
                      <w:szCs w:val="21"/>
                      <w:highlight w:val="none"/>
                      <w:lang w:eastAsia="zh-CN" w:bidi="ar"/>
                    </w:rPr>
                    <w:t>，不涉及</w:t>
                  </w:r>
                  <w:r>
                    <w:rPr>
                      <w:rFonts w:hint="default" w:ascii="Times New Roman" w:hAnsi="Times New Roman" w:eastAsia="宋体" w:cs="Times New Roman"/>
                      <w:color w:val="auto"/>
                      <w:sz w:val="21"/>
                      <w:szCs w:val="21"/>
                      <w:highlight w:val="none"/>
                      <w:lang w:bidi="ar"/>
                    </w:rPr>
                    <w:t>工业涂装行业</w:t>
                  </w:r>
                  <w:r>
                    <w:rPr>
                      <w:rFonts w:hint="eastAsia"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包装印刷行业</w:t>
                  </w:r>
                  <w:r>
                    <w:rPr>
                      <w:rFonts w:hint="eastAsia" w:ascii="Times New Roman" w:hAnsi="Times New Roman" w:eastAsia="宋体" w:cs="Times New Roman"/>
                      <w:color w:val="auto"/>
                      <w:sz w:val="21"/>
                      <w:szCs w:val="21"/>
                      <w:highlight w:val="none"/>
                      <w:lang w:eastAsia="zh-CN" w:bidi="ar"/>
                    </w:rPr>
                    <w:t>。</w:t>
                  </w:r>
                </w:p>
              </w:tc>
              <w:tc>
                <w:tcPr>
                  <w:tcW w:w="722" w:type="dxa"/>
                  <w:noWrap w:val="0"/>
                  <w:vAlign w:val="center"/>
                </w:tcPr>
                <w:p w14:paraId="36216920">
                  <w:pPr>
                    <w:pStyle w:val="2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14:paraId="5A13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3672" w:type="dxa"/>
                  <w:noWrap w:val="0"/>
                  <w:vAlign w:val="center"/>
                </w:tcPr>
                <w:p w14:paraId="7044FE1F">
                  <w:pPr>
                    <w:pStyle w:val="28"/>
                    <w:keepNext w:val="0"/>
                    <w:keepLines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(三)推进建设适宜高效的治污设施</w:t>
                  </w:r>
                  <w:r>
                    <w:rPr>
                      <w:rFonts w:hint="eastAsia"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鼓励企业采用多种技术的组合工艺，提高VOCs治理效率。低浓度、大风量废气，宜采用沸石转轮吸附、二级活性炭吸附、减风增浓等浓缩技术，提高VOCs浓度后净化处理。</w:t>
                  </w:r>
                </w:p>
              </w:tc>
              <w:tc>
                <w:tcPr>
                  <w:tcW w:w="3371" w:type="dxa"/>
                  <w:noWrap w:val="0"/>
                  <w:vAlign w:val="center"/>
                </w:tcPr>
                <w:p w14:paraId="30E134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ascii="Times New Roman" w:hAnsi="Times New Roman" w:eastAsia="宋体" w:cs="Times New Roman"/>
                      <w:color w:val="auto"/>
                      <w:kern w:val="0"/>
                      <w:sz w:val="21"/>
                      <w:szCs w:val="21"/>
                      <w:highlight w:val="none"/>
                      <w:lang w:val="en-US" w:eastAsia="zh-CN" w:bidi="ar"/>
                    </w:rPr>
                    <w:t>有机废气</w:t>
                  </w:r>
                  <w:r>
                    <w:rPr>
                      <w:rFonts w:hint="default" w:ascii="Times New Roman" w:hAnsi="Times New Roman" w:eastAsia="宋体" w:cs="Times New Roman"/>
                      <w:color w:val="auto"/>
                      <w:kern w:val="0"/>
                      <w:sz w:val="21"/>
                      <w:szCs w:val="21"/>
                      <w:highlight w:val="none"/>
                      <w:lang w:val="en-US" w:eastAsia="zh-CN" w:bidi="ar"/>
                    </w:rPr>
                    <w:t xml:space="preserve">采用UV光解+三级活性炭吸附净化装置，为《排污许可证申请与核发技术规范 </w:t>
                  </w:r>
                  <w:r>
                    <w:rPr>
                      <w:rFonts w:hint="eastAsia" w:ascii="Times New Roman" w:hAnsi="Times New Roman" w:eastAsia="宋体" w:cs="Times New Roman"/>
                      <w:color w:val="auto"/>
                      <w:kern w:val="0"/>
                      <w:sz w:val="21"/>
                      <w:szCs w:val="21"/>
                      <w:highlight w:val="none"/>
                      <w:lang w:val="en-US" w:eastAsia="zh-CN" w:bidi="ar"/>
                    </w:rPr>
                    <w:t>总则</w:t>
                  </w:r>
                  <w:r>
                    <w:rPr>
                      <w:rFonts w:hint="default" w:ascii="Times New Roman" w:hAnsi="Times New Roman" w:eastAsia="宋体" w:cs="Times New Roman"/>
                      <w:color w:val="auto"/>
                      <w:kern w:val="0"/>
                      <w:sz w:val="21"/>
                      <w:szCs w:val="21"/>
                      <w:highlight w:val="none"/>
                      <w:lang w:val="en-US" w:eastAsia="zh-CN" w:bidi="ar"/>
                    </w:rPr>
                    <w:t xml:space="preserve">》（HJ </w:t>
                  </w:r>
                  <w:r>
                    <w:rPr>
                      <w:rFonts w:hint="eastAsia" w:ascii="Times New Roman" w:hAnsi="Times New Roman" w:eastAsia="宋体" w:cs="Times New Roman"/>
                      <w:color w:val="auto"/>
                      <w:kern w:val="0"/>
                      <w:sz w:val="21"/>
                      <w:szCs w:val="21"/>
                      <w:highlight w:val="none"/>
                      <w:lang w:val="en-US" w:eastAsia="zh-CN" w:bidi="ar"/>
                    </w:rPr>
                    <w:t>942</w:t>
                  </w:r>
                  <w:r>
                    <w:rPr>
                      <w:rFonts w:hint="default" w:ascii="Times New Roman" w:hAnsi="Times New Roman" w:eastAsia="宋体" w:cs="Times New Roman"/>
                      <w:color w:val="auto"/>
                      <w:kern w:val="0"/>
                      <w:sz w:val="21"/>
                      <w:szCs w:val="21"/>
                      <w:highlight w:val="none"/>
                      <w:lang w:val="en-US" w:eastAsia="zh-CN" w:bidi="ar"/>
                    </w:rPr>
                    <w:t>-201</w:t>
                  </w:r>
                  <w:r>
                    <w:rPr>
                      <w:rFonts w:hint="eastAsia" w:ascii="Times New Roman" w:hAnsi="Times New Roman" w:eastAsia="宋体" w:cs="Times New Roman"/>
                      <w:color w:val="auto"/>
                      <w:kern w:val="0"/>
                      <w:sz w:val="21"/>
                      <w:szCs w:val="21"/>
                      <w:highlight w:val="none"/>
                      <w:lang w:val="en-US" w:eastAsia="zh-CN" w:bidi="ar"/>
                    </w:rPr>
                    <w:t>8</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以及“挥发性有机物（VOCs）污染防治技术政策”（公告 2013年第31号 2013-05-24实施）中末端治理与综合利用要求中</w:t>
                  </w:r>
                  <w:r>
                    <w:rPr>
                      <w:rFonts w:hint="default" w:ascii="Times New Roman" w:hAnsi="Times New Roman" w:eastAsia="宋体" w:cs="Times New Roman"/>
                      <w:color w:val="auto"/>
                      <w:kern w:val="0"/>
                      <w:sz w:val="21"/>
                      <w:szCs w:val="21"/>
                      <w:highlight w:val="none"/>
                      <w:lang w:val="en-US" w:eastAsia="zh-CN" w:bidi="ar"/>
                    </w:rPr>
                    <w:t>的</w:t>
                  </w:r>
                  <w:r>
                    <w:rPr>
                      <w:rFonts w:hint="eastAsia" w:ascii="Times New Roman" w:hAnsi="Times New Roman" w:eastAsia="宋体" w:cs="Times New Roman"/>
                      <w:color w:val="auto"/>
                      <w:kern w:val="0"/>
                      <w:sz w:val="21"/>
                      <w:szCs w:val="21"/>
                      <w:highlight w:val="none"/>
                      <w:lang w:val="en-US" w:eastAsia="zh-CN" w:bidi="ar"/>
                    </w:rPr>
                    <w:t>可行</w:t>
                  </w:r>
                  <w:r>
                    <w:rPr>
                      <w:rFonts w:hint="default" w:ascii="Times New Roman" w:hAnsi="Times New Roman" w:eastAsia="宋体" w:cs="Times New Roman"/>
                      <w:color w:val="auto"/>
                      <w:kern w:val="0"/>
                      <w:sz w:val="21"/>
                      <w:szCs w:val="21"/>
                      <w:highlight w:val="none"/>
                      <w:lang w:val="en-US" w:eastAsia="zh-CN" w:bidi="ar"/>
                    </w:rPr>
                    <w:t>技术。</w:t>
                  </w:r>
                </w:p>
              </w:tc>
              <w:tc>
                <w:tcPr>
                  <w:tcW w:w="722" w:type="dxa"/>
                  <w:noWrap w:val="0"/>
                  <w:vAlign w:val="center"/>
                </w:tcPr>
                <w:p w14:paraId="48F359B4">
                  <w:pPr>
                    <w:pStyle w:val="28"/>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相符</w:t>
                  </w:r>
                </w:p>
              </w:tc>
            </w:tr>
          </w:tbl>
          <w:p w14:paraId="618677C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综上所述，项目与</w:t>
            </w:r>
            <w:r>
              <w:rPr>
                <w:rFonts w:hint="default"/>
                <w:color w:val="auto"/>
                <w:sz w:val="24"/>
                <w:highlight w:val="none"/>
                <w:lang w:val="en-US" w:eastAsia="zh-CN"/>
              </w:rPr>
              <w:t>《昆明市重点行业挥发性有机物综合治理实施方案》</w:t>
            </w:r>
            <w:r>
              <w:rPr>
                <w:rFonts w:hint="eastAsia"/>
                <w:color w:val="auto"/>
                <w:sz w:val="24"/>
                <w:highlight w:val="none"/>
                <w:lang w:val="en-US" w:eastAsia="zh-CN"/>
              </w:rPr>
              <w:t>（昆生环通[2019]185号）</w:t>
            </w:r>
            <w:r>
              <w:rPr>
                <w:rFonts w:hint="default"/>
                <w:color w:val="auto"/>
                <w:sz w:val="24"/>
                <w:highlight w:val="none"/>
              </w:rPr>
              <w:t>相符。</w:t>
            </w:r>
          </w:p>
          <w:p w14:paraId="6A09A41B">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w:t>
            </w:r>
            <w:r>
              <w:rPr>
                <w:rFonts w:hint="eastAsia" w:ascii="Times New Roman" w:hAnsi="Times New Roman"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与《昆明市大气污染防治条例》相符性分析</w:t>
            </w:r>
          </w:p>
          <w:p w14:paraId="319FC5D2">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项目与《昆明市大气污染防治条例》相符性分析见</w:t>
            </w:r>
            <w:r>
              <w:rPr>
                <w:rFonts w:hint="eastAsia" w:cs="Times New Roman"/>
                <w:color w:val="auto"/>
                <w:kern w:val="0"/>
                <w:sz w:val="24"/>
                <w:highlight w:val="none"/>
                <w:lang w:val="en-US" w:eastAsia="zh-CN"/>
              </w:rPr>
              <w:t>下表</w:t>
            </w:r>
            <w:r>
              <w:rPr>
                <w:rFonts w:hint="default" w:ascii="Times New Roman" w:hAnsi="Times New Roman" w:eastAsia="宋体" w:cs="Times New Roman"/>
                <w:color w:val="auto"/>
                <w:kern w:val="0"/>
                <w:sz w:val="24"/>
                <w:highlight w:val="none"/>
                <w:lang w:val="en-US" w:eastAsia="zh-CN"/>
              </w:rPr>
              <w:t>。</w:t>
            </w:r>
          </w:p>
          <w:p w14:paraId="06CA4E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76" w:lineRule="auto"/>
              <w:ind w:left="0" w:right="0"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eastAsia" w:ascii="Times New Roman" w:hAnsi="Times New Roman" w:eastAsia="宋体" w:cs="Times New Roman"/>
                <w:b/>
                <w:bCs/>
                <w:color w:val="auto"/>
                <w:spacing w:val="-2"/>
                <w:sz w:val="21"/>
                <w:szCs w:val="21"/>
                <w:highlight w:val="none"/>
              </w:rPr>
              <w:t>表1-</w:t>
            </w:r>
            <w:r>
              <w:rPr>
                <w:rFonts w:hint="eastAsia" w:cs="Times New Roman"/>
                <w:b/>
                <w:bCs/>
                <w:color w:val="auto"/>
                <w:spacing w:val="-2"/>
                <w:sz w:val="21"/>
                <w:szCs w:val="21"/>
                <w:highlight w:val="none"/>
                <w:lang w:val="en-US" w:eastAsia="zh-CN"/>
              </w:rPr>
              <w:t>15</w:t>
            </w:r>
            <w:r>
              <w:rPr>
                <w:rFonts w:hint="eastAsia" w:ascii="Times New Roman" w:hAnsi="Times New Roman" w:eastAsia="宋体" w:cs="Times New Roman"/>
                <w:b/>
                <w:bCs/>
                <w:color w:val="auto"/>
                <w:spacing w:val="-2"/>
                <w:sz w:val="21"/>
                <w:szCs w:val="21"/>
                <w:highlight w:val="none"/>
              </w:rPr>
              <w:t xml:space="preserve"> </w:t>
            </w:r>
            <w:r>
              <w:rPr>
                <w:rFonts w:hint="eastAsia" w:ascii="Times New Roman" w:hAnsi="Times New Roman" w:eastAsia="宋体" w:cs="Times New Roman"/>
                <w:b/>
                <w:bCs/>
                <w:color w:val="auto"/>
                <w:spacing w:val="-2"/>
                <w:sz w:val="21"/>
                <w:szCs w:val="21"/>
                <w:highlight w:val="none"/>
                <w:lang w:val="en-US" w:eastAsia="zh-CN"/>
              </w:rPr>
              <w:t xml:space="preserve"> </w:t>
            </w:r>
            <w:r>
              <w:rPr>
                <w:rFonts w:hint="eastAsia" w:ascii="Times New Roman" w:hAnsi="Times New Roman" w:eastAsia="宋体" w:cs="Times New Roman"/>
                <w:b/>
                <w:bCs/>
                <w:color w:val="auto"/>
                <w:spacing w:val="-2"/>
                <w:sz w:val="21"/>
                <w:szCs w:val="21"/>
                <w:highlight w:val="none"/>
                <w:lang w:eastAsia="zh-CN"/>
              </w:rPr>
              <w:t>与《昆明市大气污染防治条例》</w:t>
            </w:r>
            <w:r>
              <w:rPr>
                <w:rFonts w:hint="eastAsia" w:ascii="Times New Roman" w:hAnsi="Times New Roman" w:eastAsia="宋体" w:cs="Times New Roman"/>
                <w:b/>
                <w:bCs/>
                <w:color w:val="auto"/>
                <w:spacing w:val="-2"/>
                <w:sz w:val="21"/>
                <w:szCs w:val="21"/>
                <w:highlight w:val="none"/>
              </w:rPr>
              <w:t>的符合性分析</w:t>
            </w:r>
          </w:p>
          <w:tbl>
            <w:tblPr>
              <w:tblStyle w:val="30"/>
              <w:tblW w:w="7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0"/>
              <w:gridCol w:w="3244"/>
              <w:gridCol w:w="818"/>
            </w:tblGrid>
            <w:tr w14:paraId="280F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700" w:type="dxa"/>
                  <w:noWrap w:val="0"/>
                  <w:vAlign w:val="center"/>
                </w:tcPr>
                <w:p w14:paraId="1334717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val="en-US" w:eastAsia="zh-CN"/>
                    </w:rPr>
                    <w:t>昆明市大气污染防治条例</w:t>
                  </w:r>
                  <w:r>
                    <w:rPr>
                      <w:rFonts w:hint="default" w:ascii="Times New Roman" w:hAnsi="Times New Roman" w:cs="Times New Roman"/>
                      <w:b/>
                      <w:bCs/>
                      <w:color w:val="auto"/>
                      <w:kern w:val="0"/>
                      <w:sz w:val="21"/>
                      <w:szCs w:val="21"/>
                      <w:highlight w:val="none"/>
                    </w:rPr>
                    <w:t>要求</w:t>
                  </w:r>
                </w:p>
              </w:tc>
              <w:tc>
                <w:tcPr>
                  <w:tcW w:w="3244" w:type="dxa"/>
                  <w:noWrap w:val="0"/>
                  <w:vAlign w:val="center"/>
                </w:tcPr>
                <w:p w14:paraId="188F0E4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rPr>
                    <w:t>项目情况</w:t>
                  </w:r>
                </w:p>
              </w:tc>
              <w:tc>
                <w:tcPr>
                  <w:tcW w:w="818" w:type="dxa"/>
                  <w:noWrap w:val="0"/>
                  <w:vAlign w:val="center"/>
                </w:tcPr>
                <w:p w14:paraId="33CF34F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rPr>
                    <w:t>符合性</w:t>
                  </w:r>
                </w:p>
              </w:tc>
            </w:tr>
            <w:tr w14:paraId="566C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0" w:type="dxa"/>
                  <w:noWrap w:val="0"/>
                  <w:vAlign w:val="center"/>
                </w:tcPr>
                <w:p w14:paraId="41BC0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禁止通过偷排、篡改或者伪造监测数据、以逃避现场检查为目的的临时停产、非紧急情况下开启应急排放通道、擅自拆除或者不正常运行大气污染防治设施等逃避监管的方式排放大气污染物。</w:t>
                  </w:r>
                </w:p>
              </w:tc>
              <w:tc>
                <w:tcPr>
                  <w:tcW w:w="3244" w:type="dxa"/>
                  <w:noWrap w:val="0"/>
                  <w:vAlign w:val="center"/>
                </w:tcPr>
                <w:p w14:paraId="0770D3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bidi="ar"/>
                    </w:rPr>
                    <w:t>项目</w:t>
                  </w:r>
                  <w:r>
                    <w:rPr>
                      <w:rFonts w:hint="eastAsia" w:cs="Times New Roman"/>
                      <w:color w:val="auto"/>
                      <w:sz w:val="21"/>
                      <w:szCs w:val="21"/>
                      <w:highlight w:val="none"/>
                      <w:lang w:val="en-US" w:eastAsia="zh-CN" w:bidi="ar"/>
                    </w:rPr>
                    <w:t>生产</w:t>
                  </w:r>
                  <w:r>
                    <w:rPr>
                      <w:rFonts w:hint="default" w:ascii="Times New Roman" w:hAnsi="Times New Roman" w:eastAsia="宋体" w:cs="Times New Roman"/>
                      <w:color w:val="auto"/>
                      <w:sz w:val="21"/>
                      <w:szCs w:val="21"/>
                      <w:highlight w:val="none"/>
                      <w:lang w:val="en-US" w:eastAsia="zh-CN" w:bidi="ar"/>
                    </w:rPr>
                    <w:t>过程产生的甲醛、</w:t>
                  </w:r>
                  <w:r>
                    <w:rPr>
                      <w:rFonts w:hint="eastAsia" w:cs="Times New Roman"/>
                      <w:color w:val="auto"/>
                      <w:sz w:val="21"/>
                      <w:szCs w:val="21"/>
                      <w:highlight w:val="none"/>
                      <w:lang w:val="en-US" w:eastAsia="zh-CN" w:bidi="ar"/>
                    </w:rPr>
                    <w:t>VOCs</w:t>
                  </w:r>
                  <w:r>
                    <w:rPr>
                      <w:rFonts w:hint="default" w:ascii="Times New Roman" w:hAnsi="Times New Roman" w:eastAsia="宋体" w:cs="Times New Roman"/>
                      <w:color w:val="auto"/>
                      <w:sz w:val="21"/>
                      <w:szCs w:val="21"/>
                      <w:highlight w:val="none"/>
                      <w:lang w:val="en-US" w:eastAsia="zh-CN" w:bidi="ar"/>
                    </w:rPr>
                    <w:t>经集气罩收集、“UV光解+三级活性炭吸附净化装置”处理达标后，由1根</w:t>
                  </w:r>
                  <w:r>
                    <w:rPr>
                      <w:rFonts w:hint="eastAsia" w:ascii="Times New Roman" w:hAnsi="Times New Roman" w:eastAsia="宋体" w:cs="Times New Roman"/>
                      <w:color w:val="auto"/>
                      <w:sz w:val="21"/>
                      <w:szCs w:val="21"/>
                      <w:highlight w:val="none"/>
                      <w:lang w:val="en-US" w:eastAsia="zh-CN" w:bidi="ar"/>
                    </w:rPr>
                    <w:t>15</w:t>
                  </w:r>
                  <w:r>
                    <w:rPr>
                      <w:rFonts w:hint="default" w:ascii="Times New Roman" w:hAnsi="Times New Roman" w:eastAsia="宋体" w:cs="Times New Roman"/>
                      <w:color w:val="auto"/>
                      <w:sz w:val="21"/>
                      <w:szCs w:val="21"/>
                      <w:highlight w:val="none"/>
                      <w:lang w:val="en-US" w:eastAsia="zh-CN" w:bidi="ar"/>
                    </w:rPr>
                    <w:t>m高排气筒</w:t>
                  </w:r>
                  <w:r>
                    <w:rPr>
                      <w:rFonts w:hint="eastAsia" w:ascii="Times New Roman" w:hAnsi="Times New Roman" w:eastAsia="宋体" w:cs="Times New Roman"/>
                      <w:color w:val="auto"/>
                      <w:sz w:val="21"/>
                      <w:szCs w:val="21"/>
                      <w:highlight w:val="none"/>
                      <w:lang w:val="en-US" w:eastAsia="zh-CN" w:bidi="ar"/>
                    </w:rPr>
                    <w:t>（DA001）</w:t>
                  </w:r>
                  <w:r>
                    <w:rPr>
                      <w:rFonts w:hint="default" w:ascii="Times New Roman" w:hAnsi="Times New Roman" w:eastAsia="宋体" w:cs="Times New Roman"/>
                      <w:color w:val="auto"/>
                      <w:sz w:val="21"/>
                      <w:szCs w:val="21"/>
                      <w:highlight w:val="none"/>
                      <w:lang w:val="en-US" w:eastAsia="zh-CN" w:bidi="ar"/>
                    </w:rPr>
                    <w:t>排放</w:t>
                  </w:r>
                  <w:r>
                    <w:rPr>
                      <w:rFonts w:hint="eastAsia" w:eastAsia="宋体" w:cs="Times New Roman"/>
                      <w:b w:val="0"/>
                      <w:bCs w:val="0"/>
                      <w:color w:val="auto"/>
                      <w:sz w:val="21"/>
                      <w:szCs w:val="21"/>
                      <w:highlight w:val="none"/>
                      <w:lang w:val="en-US" w:eastAsia="zh-CN"/>
                    </w:rPr>
                    <w:t>；</w:t>
                  </w:r>
                  <w:r>
                    <w:rPr>
                      <w:rFonts w:hint="eastAsia"/>
                      <w:color w:val="auto"/>
                      <w:szCs w:val="21"/>
                      <w:highlight w:val="none"/>
                      <w:lang w:val="en-US" w:eastAsia="zh-CN"/>
                    </w:rPr>
                    <w:t>天然气燃烧废气由15m高排气筒（DA002）排放</w:t>
                  </w:r>
                  <w:r>
                    <w:rPr>
                      <w:rFonts w:hint="eastAsia" w:cs="Times New Roman"/>
                      <w:b w:val="0"/>
                      <w:bCs w:val="0"/>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本项目废气均设置合理的处置措施处理后达标排放，不存在偷排</w:t>
                  </w:r>
                  <w:r>
                    <w:rPr>
                      <w:rFonts w:hint="default" w:ascii="Times New Roman" w:hAnsi="Times New Roman" w:cs="Times New Roman"/>
                      <w:b w:val="0"/>
                      <w:bCs w:val="0"/>
                      <w:snapToGrid w:val="0"/>
                      <w:color w:val="auto"/>
                      <w:kern w:val="0"/>
                      <w:sz w:val="21"/>
                      <w:szCs w:val="21"/>
                      <w:highlight w:val="none"/>
                      <w:lang w:eastAsia="zh-CN"/>
                    </w:rPr>
                    <w:t>。</w:t>
                  </w:r>
                </w:p>
              </w:tc>
              <w:tc>
                <w:tcPr>
                  <w:tcW w:w="818" w:type="dxa"/>
                  <w:noWrap w:val="0"/>
                  <w:vAlign w:val="center"/>
                </w:tcPr>
                <w:p w14:paraId="7BAA9D3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符合</w:t>
                  </w:r>
                </w:p>
              </w:tc>
            </w:tr>
            <w:tr w14:paraId="2D6B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0" w:type="dxa"/>
                  <w:noWrap w:val="0"/>
                  <w:vAlign w:val="center"/>
                </w:tcPr>
                <w:p w14:paraId="3C56A1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3244" w:type="dxa"/>
                  <w:noWrap w:val="0"/>
                  <w:vAlign w:val="center"/>
                </w:tcPr>
                <w:p w14:paraId="1547235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项目为纸制品生产项目，不涉及</w:t>
                  </w:r>
                  <w:r>
                    <w:rPr>
                      <w:rFonts w:hint="default" w:ascii="Times New Roman" w:hAnsi="Times New Roman" w:eastAsia="宋体" w:cs="Times New Roman"/>
                      <w:color w:val="auto"/>
                      <w:sz w:val="21"/>
                      <w:szCs w:val="21"/>
                      <w:highlight w:val="none"/>
                    </w:rPr>
                    <w:t>石油炼制及有机化学品、合成树脂、合成纤维、合成橡胶</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制药、农药、涂料、油墨、胶粘剂、橡胶和塑料加工</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汽车、家具、集装箱、电子产品、工程机械</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塑料软包装印刷、印铁制罐等</w:t>
                  </w:r>
                  <w:r>
                    <w:rPr>
                      <w:rFonts w:hint="eastAsia" w:ascii="Times New Roman" w:hAnsi="Times New Roman" w:eastAsia="宋体" w:cs="Times New Roman"/>
                      <w:color w:val="auto"/>
                      <w:sz w:val="21"/>
                      <w:szCs w:val="21"/>
                      <w:highlight w:val="none"/>
                      <w:lang w:val="en-US" w:eastAsia="zh-CN"/>
                    </w:rPr>
                    <w:t>行业。</w:t>
                  </w:r>
                </w:p>
              </w:tc>
              <w:tc>
                <w:tcPr>
                  <w:tcW w:w="818" w:type="dxa"/>
                  <w:noWrap w:val="0"/>
                  <w:vAlign w:val="center"/>
                </w:tcPr>
                <w:p w14:paraId="3418325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符合</w:t>
                  </w:r>
                </w:p>
              </w:tc>
            </w:tr>
            <w:tr w14:paraId="1A7E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0" w:type="dxa"/>
                  <w:noWrap w:val="0"/>
                  <w:vAlign w:val="center"/>
                </w:tcPr>
                <w:p w14:paraId="3DBC9F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3244" w:type="dxa"/>
                  <w:noWrap w:val="0"/>
                  <w:vAlign w:val="center"/>
                </w:tcPr>
                <w:p w14:paraId="5E2386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本项目</w:t>
                  </w:r>
                  <w:r>
                    <w:rPr>
                      <w:rFonts w:hint="eastAsia" w:cs="Times New Roman"/>
                      <w:color w:val="auto"/>
                      <w:sz w:val="21"/>
                      <w:szCs w:val="21"/>
                      <w:highlight w:val="none"/>
                      <w:lang w:val="en-US" w:eastAsia="zh-CN" w:bidi="ar"/>
                    </w:rPr>
                    <w:t>纸制品生产项目，不涉及工业涂装；</w:t>
                  </w:r>
                  <w:r>
                    <w:rPr>
                      <w:rFonts w:hint="eastAsia" w:cs="Times New Roman"/>
                      <w:color w:val="auto"/>
                      <w:sz w:val="21"/>
                      <w:szCs w:val="21"/>
                      <w:highlight w:val="none"/>
                      <w:lang w:val="en-US" w:eastAsia="zh-CN"/>
                    </w:rPr>
                    <w:t>项目使用的三聚氰胺甲醛树脂中</w:t>
                  </w:r>
                  <w:r>
                    <w:rPr>
                      <w:rFonts w:hint="default" w:ascii="Times New Roman" w:hAnsi="Times New Roman" w:eastAsia="宋体" w:cs="Times New Roman"/>
                      <w:color w:val="auto"/>
                      <w:sz w:val="21"/>
                      <w:szCs w:val="21"/>
                      <w:highlight w:val="none"/>
                      <w:lang w:eastAsia="zh-CN"/>
                    </w:rPr>
                    <w:t>挥发性</w:t>
                  </w:r>
                  <w:r>
                    <w:rPr>
                      <w:rFonts w:hint="default" w:ascii="Times New Roman" w:hAnsi="Times New Roman" w:cs="Times New Roman"/>
                      <w:color w:val="auto"/>
                      <w:sz w:val="21"/>
                      <w:szCs w:val="21"/>
                      <w:highlight w:val="none"/>
                      <w:lang w:eastAsia="zh-CN"/>
                    </w:rPr>
                    <w:t>有机物含量符合质量标准。</w:t>
                  </w:r>
                </w:p>
              </w:tc>
              <w:tc>
                <w:tcPr>
                  <w:tcW w:w="818" w:type="dxa"/>
                  <w:noWrap w:val="0"/>
                  <w:vAlign w:val="center"/>
                </w:tcPr>
                <w:p w14:paraId="45AF9F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符合</w:t>
                  </w:r>
                </w:p>
              </w:tc>
            </w:tr>
          </w:tbl>
          <w:p w14:paraId="6E7C95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highlight w:val="none"/>
                <w:lang w:val="en-US" w:eastAsia="zh-CN"/>
              </w:rPr>
              <w:t>综上，项目符合</w:t>
            </w:r>
            <w:r>
              <w:rPr>
                <w:rFonts w:hint="eastAsia" w:ascii="Times New Roman" w:hAnsi="Times New Roman" w:eastAsia="宋体" w:cs="Times New Roman"/>
                <w:color w:val="auto"/>
                <w:sz w:val="24"/>
                <w:szCs w:val="24"/>
                <w:highlight w:val="none"/>
                <w:lang w:val="en-US" w:eastAsia="zh-CN"/>
              </w:rPr>
              <w:t>《昆明市大气污染防治条例》</w:t>
            </w:r>
            <w:r>
              <w:rPr>
                <w:rFonts w:hint="default" w:ascii="Times New Roman" w:hAnsi="Times New Roman" w:eastAsia="宋体" w:cs="Times New Roman"/>
                <w:color w:val="auto"/>
                <w:sz w:val="24"/>
                <w:szCs w:val="24"/>
                <w:highlight w:val="none"/>
                <w:lang w:val="en-US" w:eastAsia="zh-CN"/>
              </w:rPr>
              <w:t>要求。</w:t>
            </w:r>
          </w:p>
        </w:tc>
      </w:tr>
    </w:tbl>
    <w:p w14:paraId="6422C86C">
      <w:pPr>
        <w:spacing w:line="360" w:lineRule="auto"/>
        <w:outlineLvl w:val="9"/>
        <w:rPr>
          <w:rFonts w:eastAsia="黑体"/>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5527345">
      <w:pPr>
        <w:pStyle w:val="28"/>
        <w:jc w:val="center"/>
        <w:outlineLvl w:val="0"/>
        <w:rPr>
          <w:rFonts w:ascii="黑体" w:hAnsi="黑体" w:eastAsia="黑体"/>
          <w:snapToGrid w:val="0"/>
          <w:color w:val="auto"/>
          <w:sz w:val="30"/>
          <w:szCs w:val="30"/>
        </w:rPr>
      </w:pPr>
      <w:bookmarkStart w:id="2" w:name="_Toc26383"/>
      <w:r>
        <w:rPr>
          <w:rFonts w:hint="eastAsia" w:ascii="黑体" w:hAnsi="黑体" w:eastAsia="黑体"/>
          <w:snapToGrid w:val="0"/>
          <w:color w:val="auto"/>
          <w:sz w:val="30"/>
          <w:szCs w:val="30"/>
        </w:rPr>
        <w:t>二、建设项目工程分析</w:t>
      </w:r>
      <w:bookmarkEnd w:id="2"/>
    </w:p>
    <w:tbl>
      <w:tblPr>
        <w:tblStyle w:val="30"/>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619"/>
      </w:tblGrid>
      <w:tr w14:paraId="52C3A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0" w:hRule="atLeast"/>
          <w:jc w:val="center"/>
        </w:trPr>
        <w:tc>
          <w:tcPr>
            <w:tcW w:w="441" w:type="dxa"/>
            <w:noWrap w:val="0"/>
            <w:vAlign w:val="center"/>
          </w:tcPr>
          <w:p w14:paraId="7C2C454A">
            <w:pPr>
              <w:pStyle w:val="2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宋体"/>
                <w:color w:val="auto"/>
                <w:sz w:val="21"/>
                <w:szCs w:val="21"/>
              </w:rPr>
            </w:pPr>
            <w:r>
              <w:rPr>
                <w:rFonts w:hint="eastAsia" w:ascii="Times New Roman" w:hAnsi="Times New Roman" w:eastAsia="宋体" w:cs="宋体"/>
                <w:color w:val="auto"/>
                <w:sz w:val="21"/>
                <w:szCs w:val="21"/>
              </w:rPr>
              <w:t>建设内容</w:t>
            </w:r>
          </w:p>
        </w:tc>
        <w:tc>
          <w:tcPr>
            <w:tcW w:w="8619" w:type="dxa"/>
            <w:noWrap w:val="0"/>
            <w:vAlign w:val="top"/>
          </w:tcPr>
          <w:p w14:paraId="72F67E23">
            <w:pPr>
              <w:pStyle w:val="73"/>
              <w:keepNext w:val="0"/>
              <w:keepLines w:val="0"/>
              <w:suppressLineNumbers w:val="0"/>
              <w:adjustRightInd/>
              <w:spacing w:before="0" w:beforeAutospacing="0" w:after="0" w:afterAutospacing="0"/>
              <w:ind w:left="0" w:leftChars="0" w:right="0" w:firstLine="0" w:firstLineChars="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1、项目背景</w:t>
            </w:r>
          </w:p>
          <w:p w14:paraId="7EF53D9D">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昆明益明天下装饰材料有限责任公司</w:t>
            </w:r>
            <w:r>
              <w:rPr>
                <w:rFonts w:hint="default" w:ascii="Times New Roman" w:hAnsi="Times New Roman" w:eastAsia="宋体" w:cs="Times New Roman"/>
                <w:color w:val="auto"/>
                <w:sz w:val="24"/>
                <w:szCs w:val="24"/>
                <w:highlight w:val="none"/>
                <w:lang w:val="en-US" w:eastAsia="zh-CN"/>
              </w:rPr>
              <w:t>成立于</w:t>
            </w:r>
            <w:r>
              <w:rPr>
                <w:rFonts w:hint="eastAsia" w:ascii="Times New Roman" w:hAnsi="Times New Roman" w:cs="Times New Roman"/>
                <w:color w:val="auto"/>
                <w:sz w:val="24"/>
                <w:szCs w:val="24"/>
                <w:highlight w:val="none"/>
                <w:lang w:val="en-US" w:eastAsia="zh-CN"/>
              </w:rPr>
              <w:t>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拟租用</w:t>
            </w:r>
            <w:r>
              <w:rPr>
                <w:rFonts w:hint="eastAsia" w:cs="Times New Roman"/>
                <w:color w:val="auto"/>
                <w:sz w:val="24"/>
                <w:szCs w:val="24"/>
                <w:highlight w:val="none"/>
                <w:lang w:val="en-US" w:eastAsia="zh-CN"/>
              </w:rPr>
              <w:t>寻甸荣禾工贸有限公司</w:t>
            </w:r>
            <w:r>
              <w:rPr>
                <w:rFonts w:hint="eastAsia" w:ascii="Times New Roman" w:hAnsi="Times New Roman" w:cs="Times New Roman"/>
                <w:color w:val="auto"/>
                <w:sz w:val="24"/>
                <w:szCs w:val="24"/>
                <w:highlight w:val="none"/>
                <w:lang w:val="en-US" w:eastAsia="zh-CN"/>
              </w:rPr>
              <w:t>位</w:t>
            </w:r>
            <w:r>
              <w:rPr>
                <w:rFonts w:hint="eastAsia" w:ascii="Times New Roman" w:hAnsi="Times New Roman" w:eastAsia="宋体" w:cs="宋体"/>
                <w:color w:val="auto"/>
                <w:sz w:val="24"/>
                <w:szCs w:val="24"/>
                <w:lang w:val="en-US" w:eastAsia="zh-CN"/>
              </w:rPr>
              <w:t>于寻甸县羊街镇</w:t>
            </w:r>
            <w:r>
              <w:rPr>
                <w:rFonts w:hint="eastAsia" w:cs="宋体"/>
                <w:color w:val="auto"/>
                <w:sz w:val="24"/>
                <w:szCs w:val="24"/>
                <w:lang w:val="en-US" w:eastAsia="zh-CN"/>
              </w:rPr>
              <w:t>中国昆明国际林业产业园3-12号</w:t>
            </w:r>
            <w:r>
              <w:rPr>
                <w:rFonts w:hint="eastAsia" w:ascii="Times New Roman" w:hAnsi="Times New Roman" w:eastAsia="宋体" w:cs="宋体"/>
                <w:color w:val="auto"/>
                <w:sz w:val="24"/>
                <w:szCs w:val="24"/>
                <w:lang w:val="en-US" w:eastAsia="zh-CN"/>
              </w:rPr>
              <w:t>的</w:t>
            </w:r>
            <w:r>
              <w:rPr>
                <w:rFonts w:hint="eastAsia" w:cs="宋体"/>
                <w:color w:val="auto"/>
                <w:sz w:val="24"/>
                <w:szCs w:val="24"/>
                <w:lang w:val="en-US" w:eastAsia="zh-CN"/>
              </w:rPr>
              <w:t>1栋生产</w:t>
            </w:r>
            <w:r>
              <w:rPr>
                <w:rFonts w:hint="eastAsia" w:ascii="Times New Roman" w:hAnsi="Times New Roman" w:eastAsia="宋体" w:cs="宋体"/>
                <w:color w:val="auto"/>
                <w:sz w:val="24"/>
                <w:szCs w:val="24"/>
                <w:lang w:val="en-US" w:eastAsia="zh-CN"/>
              </w:rPr>
              <w:t>厂房</w:t>
            </w:r>
            <w:r>
              <w:rPr>
                <w:rFonts w:hint="eastAsia" w:cs="宋体"/>
                <w:color w:val="auto"/>
                <w:sz w:val="24"/>
                <w:szCs w:val="24"/>
                <w:lang w:val="en-US" w:eastAsia="zh-CN"/>
              </w:rPr>
              <w:t>和1栋综</w:t>
            </w:r>
            <w:r>
              <w:rPr>
                <w:rFonts w:hint="eastAsia" w:cs="宋体"/>
                <w:color w:val="auto"/>
                <w:sz w:val="24"/>
                <w:szCs w:val="24"/>
                <w:highlight w:val="none"/>
                <w:lang w:val="en-US" w:eastAsia="zh-CN"/>
              </w:rPr>
              <w:t>合楼</w:t>
            </w:r>
            <w:r>
              <w:rPr>
                <w:rFonts w:hint="eastAsia" w:ascii="Times New Roman" w:hAnsi="Times New Roman" w:eastAsia="宋体" w:cs="宋体"/>
                <w:color w:val="auto"/>
                <w:sz w:val="24"/>
                <w:szCs w:val="24"/>
                <w:highlight w:val="none"/>
                <w:lang w:val="en-US" w:eastAsia="zh-CN"/>
              </w:rPr>
              <w:t>建设</w:t>
            </w:r>
            <w:r>
              <w:rPr>
                <w:rFonts w:hint="eastAsia" w:cs="宋体"/>
                <w:color w:val="auto"/>
                <w:sz w:val="24"/>
                <w:szCs w:val="24"/>
                <w:highlight w:val="none"/>
                <w:lang w:val="en-US" w:eastAsia="zh-CN"/>
              </w:rPr>
              <w:t>昆明益明天下装饰材料有限责任公司</w:t>
            </w:r>
            <w:r>
              <w:rPr>
                <w:rFonts w:hint="eastAsia" w:ascii="Times New Roman" w:hAnsi="Times New Roman" w:eastAsia="宋体" w:cs="宋体"/>
                <w:color w:val="auto"/>
                <w:sz w:val="24"/>
                <w:szCs w:val="24"/>
                <w:highlight w:val="none"/>
                <w:lang w:val="en-US" w:eastAsia="zh-CN"/>
              </w:rPr>
              <w:t>年产</w:t>
            </w:r>
            <w:r>
              <w:rPr>
                <w:rFonts w:hint="eastAsia" w:cs="宋体"/>
                <w:color w:val="auto"/>
                <w:sz w:val="24"/>
                <w:szCs w:val="24"/>
                <w:highlight w:val="none"/>
                <w:lang w:val="en-US" w:eastAsia="zh-CN"/>
              </w:rPr>
              <w:t>450</w:t>
            </w:r>
            <w:r>
              <w:rPr>
                <w:rFonts w:hint="eastAsia" w:ascii="Times New Roman" w:hAnsi="Times New Roman" w:eastAsia="宋体" w:cs="宋体"/>
                <w:color w:val="auto"/>
                <w:sz w:val="24"/>
                <w:szCs w:val="24"/>
                <w:highlight w:val="none"/>
                <w:lang w:val="en-US" w:eastAsia="zh-CN"/>
              </w:rPr>
              <w:t>万张三聚氰</w:t>
            </w:r>
            <w:r>
              <w:rPr>
                <w:rFonts w:hint="eastAsia" w:cs="宋体"/>
                <w:color w:val="auto"/>
                <w:sz w:val="24"/>
                <w:szCs w:val="24"/>
                <w:highlight w:val="none"/>
                <w:lang w:val="en-US" w:eastAsia="zh-CN"/>
              </w:rPr>
              <w:t>浸渍纸</w:t>
            </w:r>
            <w:r>
              <w:rPr>
                <w:rFonts w:hint="eastAsia" w:ascii="Times New Roman" w:hAnsi="Times New Roman" w:eastAsia="宋体" w:cs="宋体"/>
                <w:color w:val="auto"/>
                <w:sz w:val="24"/>
                <w:szCs w:val="24"/>
                <w:highlight w:val="none"/>
                <w:lang w:val="en-US" w:eastAsia="zh-CN"/>
              </w:rPr>
              <w:t>建设项目</w:t>
            </w:r>
            <w:r>
              <w:rPr>
                <w:rFonts w:hint="eastAsia" w:cs="宋体"/>
                <w:color w:val="auto"/>
                <w:sz w:val="24"/>
                <w:szCs w:val="24"/>
                <w:highlight w:val="none"/>
                <w:lang w:val="en-US" w:eastAsia="zh-CN"/>
              </w:rPr>
              <w:t>。项目已于2023年11月8日取得寻甸回族彝族自治县发展和改革局</w:t>
            </w:r>
            <w:r>
              <w:rPr>
                <w:rFonts w:hint="eastAsia" w:ascii="Times New Roman" w:hAnsi="Times New Roman"/>
                <w:color w:val="auto"/>
                <w:sz w:val="24"/>
                <w:szCs w:val="24"/>
                <w:highlight w:val="none"/>
              </w:rPr>
              <w:t>核发的投资项目备案证</w:t>
            </w:r>
            <w:r>
              <w:rPr>
                <w:rFonts w:hint="eastAsia"/>
                <w:color w:val="auto"/>
                <w:sz w:val="24"/>
                <w:szCs w:val="24"/>
                <w:highlight w:val="none"/>
                <w:lang w:eastAsia="zh-CN"/>
              </w:rPr>
              <w:t>（</w:t>
            </w:r>
            <w:r>
              <w:rPr>
                <w:rFonts w:hint="eastAsia" w:ascii="Times New Roman" w:hAnsi="Times New Roman"/>
                <w:color w:val="auto"/>
                <w:sz w:val="24"/>
                <w:szCs w:val="24"/>
                <w:highlight w:val="none"/>
              </w:rPr>
              <w:t>项目代码为：</w:t>
            </w:r>
            <w:r>
              <w:rPr>
                <w:rFonts w:hint="eastAsia" w:ascii="Times New Roman" w:hAnsi="Times New Roman"/>
                <w:color w:val="auto"/>
                <w:sz w:val="24"/>
                <w:szCs w:val="24"/>
                <w:highlight w:val="none"/>
                <w:lang w:val="en-US" w:eastAsia="zh-CN"/>
              </w:rPr>
              <w:t>23</w:t>
            </w:r>
            <w:r>
              <w:rPr>
                <w:rFonts w:hint="eastAsia"/>
                <w:color w:val="auto"/>
                <w:sz w:val="24"/>
                <w:szCs w:val="24"/>
                <w:highlight w:val="none"/>
                <w:lang w:val="en-US" w:eastAsia="zh-CN"/>
              </w:rPr>
              <w:t>11</w:t>
            </w:r>
            <w:r>
              <w:rPr>
                <w:rFonts w:hint="eastAsia" w:ascii="Times New Roman" w:hAnsi="Times New Roman"/>
                <w:color w:val="auto"/>
                <w:sz w:val="24"/>
                <w:szCs w:val="24"/>
                <w:highlight w:val="none"/>
                <w:lang w:val="en-US" w:eastAsia="zh-CN"/>
              </w:rPr>
              <w:t>-530129-04-01-</w:t>
            </w:r>
            <w:r>
              <w:rPr>
                <w:rFonts w:hint="eastAsia"/>
                <w:color w:val="auto"/>
                <w:sz w:val="24"/>
                <w:szCs w:val="24"/>
                <w:highlight w:val="none"/>
                <w:lang w:val="en-US" w:eastAsia="zh-CN"/>
              </w:rPr>
              <w:t>244590</w:t>
            </w:r>
            <w:r>
              <w:rPr>
                <w:rFonts w:hint="eastAsia"/>
                <w:color w:val="auto"/>
                <w:sz w:val="24"/>
                <w:szCs w:val="24"/>
                <w:highlight w:val="none"/>
                <w:lang w:eastAsia="zh-CN"/>
              </w:rPr>
              <w:t>）</w:t>
            </w:r>
            <w:r>
              <w:rPr>
                <w:rFonts w:hint="eastAsia" w:cs="宋体"/>
                <w:color w:val="auto"/>
                <w:sz w:val="24"/>
                <w:szCs w:val="24"/>
                <w:highlight w:val="none"/>
                <w:lang w:val="en-US" w:eastAsia="zh-CN"/>
              </w:rPr>
              <w:t>。项目建</w:t>
            </w:r>
            <w:r>
              <w:rPr>
                <w:rFonts w:hint="eastAsia" w:cs="宋体"/>
                <w:color w:val="auto"/>
                <w:sz w:val="24"/>
                <w:szCs w:val="24"/>
                <w:lang w:val="en-US" w:eastAsia="zh-CN"/>
              </w:rPr>
              <w:t>筑面积4000m</w:t>
            </w:r>
            <w:r>
              <w:rPr>
                <w:rFonts w:hint="eastAsia" w:cs="宋体"/>
                <w:color w:val="auto"/>
                <w:sz w:val="24"/>
                <w:szCs w:val="24"/>
                <w:vertAlign w:val="superscript"/>
                <w:lang w:val="en-US" w:eastAsia="zh-CN"/>
              </w:rPr>
              <w:t>2</w:t>
            </w:r>
            <w:r>
              <w:rPr>
                <w:rFonts w:hint="eastAsia" w:cs="宋体"/>
                <w:color w:val="auto"/>
                <w:sz w:val="24"/>
                <w:szCs w:val="24"/>
                <w:lang w:val="en-US" w:eastAsia="zh-CN"/>
              </w:rPr>
              <w:t>，建设3条三聚氰胺浸渍纸生产线，建成后年产450万张</w:t>
            </w:r>
            <w:r>
              <w:rPr>
                <w:rFonts w:hint="eastAsia" w:ascii="Times New Roman" w:hAnsi="Times New Roman" w:eastAsia="宋体" w:cs="宋体"/>
                <w:color w:val="auto"/>
                <w:sz w:val="24"/>
                <w:szCs w:val="24"/>
                <w:lang w:val="en-US" w:eastAsia="zh-CN"/>
              </w:rPr>
              <w:t>三聚氰胺</w:t>
            </w:r>
            <w:r>
              <w:rPr>
                <w:rFonts w:hint="eastAsia" w:cs="宋体"/>
                <w:color w:val="auto"/>
                <w:sz w:val="24"/>
                <w:szCs w:val="24"/>
                <w:lang w:val="en-US" w:eastAsia="zh-CN"/>
              </w:rPr>
              <w:t>浸渍纸。</w:t>
            </w:r>
          </w:p>
          <w:p w14:paraId="732F86E2">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szCs w:val="24"/>
              </w:rPr>
            </w:pPr>
            <w:r>
              <w:rPr>
                <w:rFonts w:hint="default" w:ascii="Times New Roman" w:hAnsi="Times New Roman"/>
                <w:color w:val="auto"/>
                <w:sz w:val="24"/>
                <w:szCs w:val="24"/>
              </w:rPr>
              <w:t>根据《中华人民共和国环境保护法》、《中华人民共和国环境影响评价法》和《建设项目环境保护管理条例》的规定，本项目应开展环境影响评价工作。根据《建设项目环境影响评价分类管理名录》（20</w:t>
            </w:r>
            <w:r>
              <w:rPr>
                <w:rFonts w:hint="eastAsia" w:ascii="Times New Roman" w:hAnsi="Times New Roman"/>
                <w:color w:val="auto"/>
                <w:sz w:val="24"/>
                <w:szCs w:val="24"/>
                <w:lang w:val="en-US" w:eastAsia="zh-CN"/>
              </w:rPr>
              <w:t>21</w:t>
            </w:r>
            <w:r>
              <w:rPr>
                <w:rFonts w:hint="eastAsia" w:ascii="Times New Roman" w:hAnsi="Times New Roman"/>
                <w:color w:val="auto"/>
                <w:sz w:val="24"/>
                <w:szCs w:val="24"/>
              </w:rPr>
              <w:t>年</w:t>
            </w:r>
            <w:r>
              <w:rPr>
                <w:rFonts w:hint="eastAsia" w:ascii="Times New Roman" w:hAnsi="Times New Roman"/>
                <w:color w:val="auto"/>
                <w:sz w:val="24"/>
                <w:szCs w:val="24"/>
                <w:lang w:val="en-US" w:eastAsia="zh-CN"/>
              </w:rPr>
              <w:t>1</w:t>
            </w:r>
            <w:r>
              <w:rPr>
                <w:rFonts w:hint="eastAsia" w:ascii="Times New Roman" w:hAnsi="Times New Roman"/>
                <w:color w:val="auto"/>
                <w:sz w:val="24"/>
                <w:szCs w:val="24"/>
              </w:rPr>
              <w:t>月</w:t>
            </w:r>
            <w:r>
              <w:rPr>
                <w:rFonts w:hint="eastAsia" w:ascii="Times New Roman" w:hAnsi="Times New Roman"/>
                <w:color w:val="auto"/>
                <w:sz w:val="24"/>
                <w:szCs w:val="24"/>
                <w:lang w:val="en-US" w:eastAsia="zh-CN"/>
              </w:rPr>
              <w:t>1</w:t>
            </w:r>
            <w:r>
              <w:rPr>
                <w:rFonts w:hint="eastAsia" w:ascii="Times New Roman" w:hAnsi="Times New Roman"/>
                <w:color w:val="auto"/>
                <w:sz w:val="24"/>
                <w:szCs w:val="24"/>
              </w:rPr>
              <w:t>日</w:t>
            </w:r>
            <w:r>
              <w:rPr>
                <w:rFonts w:hint="eastAsia" w:ascii="Times New Roman" w:hAnsi="Times New Roman"/>
                <w:color w:val="auto"/>
                <w:sz w:val="24"/>
                <w:szCs w:val="24"/>
                <w:lang w:eastAsia="zh-CN"/>
              </w:rPr>
              <w:t>实施</w:t>
            </w:r>
            <w:r>
              <w:rPr>
                <w:rFonts w:hint="default" w:ascii="Times New Roman" w:hAnsi="Times New Roman"/>
                <w:color w:val="auto"/>
                <w:sz w:val="24"/>
                <w:szCs w:val="24"/>
              </w:rPr>
              <w:t>）</w:t>
            </w:r>
            <w:r>
              <w:rPr>
                <w:rFonts w:hint="eastAsia" w:ascii="Times New Roman" w:hAnsi="Times New Roman"/>
                <w:color w:val="auto"/>
                <w:sz w:val="24"/>
                <w:szCs w:val="24"/>
              </w:rPr>
              <w:t>规定，拟建项目属于“</w:t>
            </w:r>
            <w:r>
              <w:rPr>
                <w:rFonts w:hint="eastAsia" w:ascii="Times New Roman" w:hAnsi="Times New Roman"/>
                <w:color w:val="auto"/>
                <w:sz w:val="24"/>
                <w:szCs w:val="24"/>
                <w:lang w:val="en-US" w:eastAsia="zh-CN"/>
              </w:rPr>
              <w:t>十九</w:t>
            </w:r>
            <w:r>
              <w:rPr>
                <w:rFonts w:hint="eastAsia"/>
                <w:color w:val="auto"/>
                <w:sz w:val="24"/>
                <w:szCs w:val="24"/>
                <w:lang w:val="en-US" w:eastAsia="zh-CN"/>
              </w:rPr>
              <w:t>、造纸和纸制品业、38纸制品制造223、有涂布、浸渍、印刷、粘胶工艺的</w:t>
            </w:r>
            <w:r>
              <w:rPr>
                <w:rFonts w:hint="eastAsia" w:ascii="Times New Roman" w:hAnsi="Times New Roman"/>
                <w:color w:val="auto"/>
                <w:sz w:val="24"/>
                <w:szCs w:val="24"/>
              </w:rPr>
              <w:t>”，</w:t>
            </w:r>
            <w:r>
              <w:rPr>
                <w:rFonts w:hint="default"/>
                <w:color w:val="auto"/>
                <w:sz w:val="24"/>
                <w:szCs w:val="22"/>
                <w:lang w:bidi="ar"/>
              </w:rPr>
              <w:t>应当编制环境影响报告表。为此，</w:t>
            </w:r>
            <w:r>
              <w:rPr>
                <w:rFonts w:hint="eastAsia"/>
                <w:color w:val="auto"/>
                <w:sz w:val="24"/>
                <w:szCs w:val="22"/>
                <w:lang w:val="en-US" w:eastAsia="zh-CN" w:bidi="ar"/>
              </w:rPr>
              <w:t>昆明益明天下装饰材料有限责任公司</w:t>
            </w:r>
            <w:r>
              <w:rPr>
                <w:rFonts w:hint="default"/>
                <w:color w:val="auto"/>
                <w:sz w:val="24"/>
                <w:highlight w:val="none"/>
              </w:rPr>
              <w:t>委托</w:t>
            </w:r>
            <w:r>
              <w:rPr>
                <w:rFonts w:hint="eastAsia"/>
                <w:color w:val="auto"/>
                <w:sz w:val="24"/>
                <w:highlight w:val="none"/>
                <w:lang w:val="en-US" w:eastAsia="zh-CN"/>
              </w:rPr>
              <w:t>云南清蓝源环保科技有限公司</w:t>
            </w:r>
            <w:r>
              <w:rPr>
                <w:rFonts w:hint="default"/>
                <w:color w:val="auto"/>
                <w:sz w:val="24"/>
                <w:highlight w:val="none"/>
              </w:rPr>
              <w:t>承担该项目的环境影响评价工作</w:t>
            </w:r>
            <w:r>
              <w:rPr>
                <w:rFonts w:hint="eastAsia"/>
                <w:color w:val="auto"/>
                <w:sz w:val="24"/>
                <w:highlight w:val="none"/>
              </w:rPr>
              <w:t>（委托书见</w:t>
            </w:r>
            <w:r>
              <w:rPr>
                <w:rFonts w:hint="eastAsia"/>
                <w:color w:val="auto"/>
                <w:sz w:val="24"/>
              </w:rPr>
              <w:t>附件</w:t>
            </w:r>
            <w:r>
              <w:rPr>
                <w:rFonts w:hint="eastAsia"/>
                <w:color w:val="auto"/>
                <w:sz w:val="24"/>
                <w:lang w:val="en-US" w:eastAsia="zh-CN"/>
              </w:rPr>
              <w:t>1</w:t>
            </w:r>
            <w:r>
              <w:rPr>
                <w:rFonts w:hint="eastAsia"/>
                <w:color w:val="auto"/>
                <w:sz w:val="24"/>
              </w:rPr>
              <w:t>）</w:t>
            </w:r>
            <w:r>
              <w:rPr>
                <w:rFonts w:hint="default"/>
                <w:color w:val="auto"/>
                <w:sz w:val="24"/>
              </w:rPr>
              <w:t>。我单位接受委托后进行了实地踏勘，收集有关资料，按照环境影响评价有关技术规范，编制了</w:t>
            </w:r>
            <w:r>
              <w:rPr>
                <w:rFonts w:hint="eastAsia"/>
                <w:color w:val="auto"/>
                <w:sz w:val="24"/>
                <w:lang w:val="en-US" w:eastAsia="zh-CN"/>
              </w:rPr>
              <w:t>昆明益明天下装饰材料有限责任公司</w:t>
            </w:r>
            <w:r>
              <w:rPr>
                <w:rFonts w:hint="default"/>
                <w:color w:val="auto"/>
                <w:sz w:val="24"/>
              </w:rPr>
              <w:t>《</w:t>
            </w:r>
            <w:r>
              <w:rPr>
                <w:rFonts w:hint="default"/>
                <w:color w:val="auto"/>
                <w:sz w:val="24"/>
                <w:lang w:val="en-US" w:eastAsia="zh-CN"/>
              </w:rPr>
              <w:t>年产</w:t>
            </w:r>
            <w:r>
              <w:rPr>
                <w:rFonts w:hint="eastAsia"/>
                <w:color w:val="auto"/>
                <w:sz w:val="24"/>
                <w:lang w:val="en-US" w:eastAsia="zh-CN"/>
              </w:rPr>
              <w:t>450</w:t>
            </w:r>
            <w:r>
              <w:rPr>
                <w:rFonts w:hint="default"/>
                <w:color w:val="auto"/>
                <w:sz w:val="24"/>
                <w:lang w:val="en-US" w:eastAsia="zh-CN"/>
              </w:rPr>
              <w:t>万张三聚氰胺</w:t>
            </w:r>
            <w:r>
              <w:rPr>
                <w:rFonts w:hint="eastAsia"/>
                <w:color w:val="auto"/>
                <w:sz w:val="24"/>
                <w:lang w:val="en-US" w:eastAsia="zh-CN"/>
              </w:rPr>
              <w:t>浸渍纸</w:t>
            </w:r>
            <w:r>
              <w:rPr>
                <w:rFonts w:hint="default"/>
                <w:color w:val="auto"/>
                <w:sz w:val="24"/>
                <w:lang w:val="en-US" w:eastAsia="zh-CN"/>
              </w:rPr>
              <w:t>建设项目</w:t>
            </w:r>
            <w:r>
              <w:rPr>
                <w:rFonts w:hint="default"/>
                <w:color w:val="auto"/>
                <w:sz w:val="24"/>
              </w:rPr>
              <w:t>环境影响报告表》，供建设单位上报审批</w:t>
            </w:r>
            <w:r>
              <w:rPr>
                <w:rFonts w:hint="eastAsia"/>
                <w:color w:val="auto"/>
                <w:sz w:val="24"/>
              </w:rPr>
              <w:t>。</w:t>
            </w:r>
          </w:p>
          <w:p w14:paraId="00F9E166">
            <w:pPr>
              <w:pStyle w:val="73"/>
              <w:keepNext w:val="0"/>
              <w:keepLines w:val="0"/>
              <w:suppressLineNumbers w:val="0"/>
              <w:adjustRightInd/>
              <w:spacing w:before="0" w:beforeAutospacing="0" w:after="0" w:afterAutospacing="0"/>
              <w:ind w:left="0" w:leftChars="0" w:right="0" w:firstLine="0" w:firstLineChars="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项目概况</w:t>
            </w:r>
          </w:p>
          <w:p w14:paraId="31D2CF27">
            <w:pPr>
              <w:pStyle w:val="73"/>
              <w:keepNext w:val="0"/>
              <w:keepLines w:val="0"/>
              <w:suppressLineNumbers w:val="0"/>
              <w:adjustRightInd/>
              <w:spacing w:before="0" w:beforeAutospacing="0" w:after="0" w:afterAutospacing="0"/>
              <w:ind w:left="0" w:leftChars="0" w:right="0" w:firstLine="0" w:firstLineChars="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2.1 项目基本情况</w:t>
            </w:r>
          </w:p>
          <w:p w14:paraId="44A68078">
            <w:pPr>
              <w:pStyle w:val="73"/>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项目名称：年产450万张</w:t>
            </w:r>
            <w:r>
              <w:rPr>
                <w:rFonts w:hint="default" w:ascii="Times New Roman" w:hAnsi="Times New Roman" w:eastAsia="宋体" w:cs="Times New Roman"/>
                <w:color w:val="auto"/>
                <w:sz w:val="24"/>
                <w:lang w:val="en-US" w:eastAsia="zh-CN"/>
              </w:rPr>
              <w:t>三聚氰胺</w:t>
            </w:r>
            <w:r>
              <w:rPr>
                <w:rFonts w:hint="eastAsia" w:ascii="Times New Roman" w:hAnsi="Times New Roman" w:eastAsia="宋体" w:cs="Times New Roman"/>
                <w:color w:val="auto"/>
                <w:sz w:val="24"/>
                <w:lang w:val="en-US" w:eastAsia="zh-CN"/>
              </w:rPr>
              <w:t>浸渍纸</w:t>
            </w:r>
            <w:r>
              <w:rPr>
                <w:rFonts w:hint="default" w:ascii="Times New Roman" w:hAnsi="Times New Roman" w:eastAsia="宋体" w:cs="Times New Roman"/>
                <w:color w:val="auto"/>
                <w:sz w:val="24"/>
                <w:lang w:val="en-US" w:eastAsia="zh-CN"/>
              </w:rPr>
              <w:t>建设项目</w:t>
            </w:r>
          </w:p>
          <w:p w14:paraId="764998EB">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建设单位：昆明益明天下装饰材料有限责任公司</w:t>
            </w:r>
          </w:p>
          <w:p w14:paraId="157EC979">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项目建设地址：寻甸县羊街镇中国昆明国际林业产业园3-12号</w:t>
            </w:r>
          </w:p>
          <w:p w14:paraId="6A94D5F2">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建设性质：新建</w:t>
            </w:r>
          </w:p>
          <w:p w14:paraId="67B9442F">
            <w:pPr>
              <w:pStyle w:val="73"/>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项目总投资：1500万元</w:t>
            </w:r>
          </w:p>
          <w:p w14:paraId="1B543248">
            <w:pPr>
              <w:pStyle w:val="73"/>
              <w:keepNext w:val="0"/>
              <w:keepLines w:val="0"/>
              <w:suppressLineNumbers w:val="0"/>
              <w:adjustRightInd/>
              <w:spacing w:before="0" w:beforeAutospacing="0" w:after="0" w:afterAutospacing="0"/>
              <w:ind w:left="0" w:right="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主要建设内容及规模：项目拟租用寻甸荣禾工贸有限公司位于寻甸县羊街镇中国昆明国际林业产业园3-12号的厂房，项目建设用地面积4000m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，生产厂房</w:t>
            </w:r>
            <w:r>
              <w:rPr>
                <w:rFonts w:hint="eastAsia" w:ascii="Times New Roman" w:hAnsi="Times New Roman" w:eastAsia="宋体" w:cs="Times New Roman"/>
                <w:color w:val="auto"/>
                <w:sz w:val="24"/>
                <w:lang w:val="en-US" w:eastAsia="zh-CN"/>
              </w:rPr>
              <w:t>占地</w:t>
            </w:r>
            <w:r>
              <w:rPr>
                <w:rFonts w:hint="default" w:ascii="Times New Roman" w:hAnsi="Times New Roman" w:eastAsia="宋体" w:cs="Times New Roman"/>
                <w:color w:val="auto"/>
                <w:sz w:val="24"/>
                <w:lang w:val="en-US" w:eastAsia="zh-CN"/>
              </w:rPr>
              <w:t>面积3672m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，建设3条三聚氰胺浸渍纸生产线，</w:t>
            </w:r>
            <w:r>
              <w:rPr>
                <w:rFonts w:hint="eastAsia" w:ascii="Times New Roman" w:hAnsi="Times New Roman" w:eastAsia="宋体" w:cs="Times New Roman"/>
                <w:color w:val="auto"/>
                <w:sz w:val="24"/>
                <w:lang w:val="en-US" w:eastAsia="zh-CN"/>
              </w:rPr>
              <w:t>建成后年产450万张三聚氰胺浸渍纸。项目辅助工程、公用工程、环保工程均依托原有厂房已建设施，本次无需新增。</w:t>
            </w:r>
          </w:p>
          <w:p w14:paraId="4892E4B3">
            <w:pPr>
              <w:pStyle w:val="73"/>
              <w:keepNext w:val="0"/>
              <w:keepLines w:val="0"/>
              <w:suppressLineNumbers w:val="0"/>
              <w:adjustRightInd/>
              <w:spacing w:before="0" w:beforeAutospacing="0" w:after="0" w:afterAutospacing="0"/>
              <w:ind w:left="0" w:leftChars="0" w:right="0" w:firstLine="0" w:firstLineChars="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2.2 项目</w:t>
            </w:r>
            <w:r>
              <w:rPr>
                <w:rFonts w:hint="default" w:ascii="Times New Roman" w:hAnsi="Times New Roman" w:eastAsia="宋体" w:cs="Times New Roman"/>
                <w:b/>
                <w:bCs/>
                <w:color w:val="auto"/>
                <w:highlight w:val="none"/>
                <w:lang w:val="en-US" w:eastAsia="zh-CN"/>
              </w:rPr>
              <w:t>建设内容</w:t>
            </w:r>
            <w:r>
              <w:rPr>
                <w:rFonts w:hint="eastAsia" w:ascii="Times New Roman" w:hAnsi="Times New Roman" w:eastAsia="宋体" w:cs="Times New Roman"/>
                <w:b/>
                <w:bCs/>
                <w:color w:val="auto"/>
                <w:highlight w:val="none"/>
                <w:lang w:val="en-US" w:eastAsia="zh-CN"/>
              </w:rPr>
              <w:t>及工程规模</w:t>
            </w:r>
          </w:p>
          <w:p w14:paraId="097DCF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default"/>
                <w:color w:val="auto"/>
                <w:sz w:val="24"/>
                <w:szCs w:val="24"/>
                <w:highlight w:val="none"/>
                <w:lang w:val="en-US" w:eastAsia="zh-CN"/>
              </w:rPr>
              <w:t>项目工程内容包括主体工程、辅助工程、公用工程、环保工程。项目主要建设内容见表</w:t>
            </w:r>
            <w:r>
              <w:rPr>
                <w:rFonts w:hint="eastAsia"/>
                <w:color w:val="auto"/>
                <w:sz w:val="24"/>
                <w:szCs w:val="24"/>
                <w:highlight w:val="none"/>
                <w:lang w:val="en-US" w:eastAsia="zh-CN"/>
              </w:rPr>
              <w:t>2</w:t>
            </w:r>
            <w:r>
              <w:rPr>
                <w:rFonts w:hint="default"/>
                <w:color w:val="auto"/>
                <w:sz w:val="24"/>
                <w:szCs w:val="24"/>
                <w:highlight w:val="none"/>
                <w:lang w:val="en-US" w:eastAsia="zh-CN"/>
              </w:rPr>
              <w:t>-</w:t>
            </w:r>
            <w:r>
              <w:rPr>
                <w:rFonts w:hint="eastAsia"/>
                <w:color w:val="auto"/>
                <w:sz w:val="24"/>
                <w:szCs w:val="24"/>
                <w:highlight w:val="none"/>
                <w:lang w:val="en-US" w:eastAsia="zh-CN"/>
              </w:rPr>
              <w:t>1</w:t>
            </w:r>
            <w:r>
              <w:rPr>
                <w:rFonts w:hint="default"/>
                <w:color w:val="auto"/>
                <w:sz w:val="24"/>
                <w:szCs w:val="24"/>
                <w:highlight w:val="none"/>
                <w:lang w:val="en-US" w:eastAsia="zh-CN"/>
              </w:rPr>
              <w:t>。</w:t>
            </w:r>
          </w:p>
          <w:p w14:paraId="19A1ED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表</w:t>
            </w:r>
            <w:r>
              <w:rPr>
                <w:rFonts w:hint="eastAsia"/>
                <w:b/>
                <w:bCs/>
                <w:color w:val="auto"/>
                <w:sz w:val="21"/>
                <w:szCs w:val="21"/>
                <w:highlight w:val="none"/>
                <w:lang w:val="en-US" w:eastAsia="zh-CN"/>
              </w:rPr>
              <w:t>2</w:t>
            </w:r>
            <w:r>
              <w:rPr>
                <w:rFonts w:hint="default" w:ascii="Times New Roman" w:hAnsi="Times New Roman" w:eastAsia="宋体"/>
                <w:b/>
                <w:bCs/>
                <w:color w:val="auto"/>
                <w:sz w:val="21"/>
                <w:szCs w:val="21"/>
                <w:highlight w:val="none"/>
              </w:rPr>
              <w:t>-</w:t>
            </w:r>
            <w:r>
              <w:rPr>
                <w:rFonts w:hint="eastAsia" w:ascii="Times New Roman" w:hAnsi="Times New Roman" w:eastAsia="宋体"/>
                <w:b/>
                <w:bCs/>
                <w:color w:val="auto"/>
                <w:sz w:val="21"/>
                <w:szCs w:val="21"/>
                <w:highlight w:val="none"/>
                <w:lang w:val="en-US" w:eastAsia="zh-CN"/>
              </w:rPr>
              <w:t>1</w:t>
            </w:r>
            <w:r>
              <w:rPr>
                <w:rFonts w:hint="default" w:ascii="Times New Roman" w:hAnsi="Times New Roman" w:eastAsia="宋体"/>
                <w:b/>
                <w:bCs/>
                <w:color w:val="auto"/>
                <w:sz w:val="21"/>
                <w:szCs w:val="21"/>
                <w:highlight w:val="none"/>
              </w:rPr>
              <w:t xml:space="preserve">  项目</w:t>
            </w:r>
            <w:r>
              <w:rPr>
                <w:rFonts w:hint="default" w:ascii="Times New Roman" w:hAnsi="Times New Roman" w:eastAsia="宋体"/>
                <w:b/>
                <w:bCs/>
                <w:color w:val="auto"/>
                <w:sz w:val="21"/>
                <w:szCs w:val="21"/>
                <w:highlight w:val="none"/>
                <w:lang w:eastAsia="zh-CN"/>
              </w:rPr>
              <w:t>主要建设内容一览表</w:t>
            </w:r>
          </w:p>
          <w:tbl>
            <w:tblPr>
              <w:tblStyle w:val="3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426"/>
              <w:gridCol w:w="1298"/>
              <w:gridCol w:w="4960"/>
              <w:gridCol w:w="1027"/>
            </w:tblGrid>
            <w:tr w14:paraId="2287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03" w:type="dxa"/>
                  <w:gridSpan w:val="3"/>
                  <w:vAlign w:val="center"/>
                </w:tcPr>
                <w:p w14:paraId="559348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工程名称</w:t>
                  </w:r>
                </w:p>
              </w:tc>
              <w:tc>
                <w:tcPr>
                  <w:tcW w:w="4960" w:type="dxa"/>
                  <w:vAlign w:val="center"/>
                </w:tcPr>
                <w:p w14:paraId="0C872CE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建设内容</w:t>
                  </w:r>
                </w:p>
              </w:tc>
              <w:tc>
                <w:tcPr>
                  <w:tcW w:w="1027" w:type="dxa"/>
                  <w:vAlign w:val="center"/>
                </w:tcPr>
                <w:p w14:paraId="166078EF">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olor w:val="auto"/>
                      <w:kern w:val="0"/>
                      <w:szCs w:val="21"/>
                      <w:highlight w:val="none"/>
                      <w:lang w:eastAsia="zh-CN"/>
                    </w:rPr>
                  </w:pPr>
                  <w:r>
                    <w:rPr>
                      <w:rFonts w:hint="eastAsia"/>
                      <w:color w:val="auto"/>
                      <w:kern w:val="0"/>
                      <w:szCs w:val="21"/>
                      <w:highlight w:val="none"/>
                      <w:lang w:eastAsia="zh-CN"/>
                    </w:rPr>
                    <w:t>备注</w:t>
                  </w:r>
                </w:p>
              </w:tc>
            </w:tr>
            <w:tr w14:paraId="43E4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79" w:type="dxa"/>
                  <w:vMerge w:val="restart"/>
                  <w:vAlign w:val="center"/>
                </w:tcPr>
                <w:p w14:paraId="1749DA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主体工程</w:t>
                  </w:r>
                </w:p>
              </w:tc>
              <w:tc>
                <w:tcPr>
                  <w:tcW w:w="426" w:type="dxa"/>
                  <w:vMerge w:val="restart"/>
                  <w:vAlign w:val="center"/>
                </w:tcPr>
                <w:p w14:paraId="5B0467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Cs w:val="21"/>
                      <w:highlight w:val="none"/>
                      <w:lang w:val="en-US" w:eastAsia="zh-CN"/>
                    </w:rPr>
                  </w:pPr>
                  <w:r>
                    <w:rPr>
                      <w:rFonts w:hint="eastAsia"/>
                      <w:color w:val="auto"/>
                      <w:kern w:val="0"/>
                      <w:szCs w:val="21"/>
                      <w:highlight w:val="none"/>
                      <w:lang w:val="en-US" w:eastAsia="zh-CN"/>
                    </w:rPr>
                    <w:t>生产厂房</w:t>
                  </w:r>
                </w:p>
              </w:tc>
              <w:tc>
                <w:tcPr>
                  <w:tcW w:w="6258" w:type="dxa"/>
                  <w:gridSpan w:val="2"/>
                  <w:vAlign w:val="center"/>
                </w:tcPr>
                <w:p w14:paraId="6DA97C4A">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Cs w:val="21"/>
                      <w:highlight w:val="none"/>
                      <w:lang w:val="en-US" w:eastAsia="zh-CN"/>
                    </w:rPr>
                  </w:pPr>
                  <w:r>
                    <w:rPr>
                      <w:rFonts w:hint="default" w:ascii="Times New Roman" w:hAnsi="Times New Roman"/>
                      <w:color w:val="auto"/>
                      <w:kern w:val="0"/>
                      <w:szCs w:val="21"/>
                      <w:highlight w:val="none"/>
                    </w:rPr>
                    <w:t>项目</w:t>
                  </w:r>
                  <w:r>
                    <w:rPr>
                      <w:rFonts w:hint="eastAsia"/>
                      <w:color w:val="auto"/>
                      <w:kern w:val="0"/>
                      <w:szCs w:val="21"/>
                      <w:highlight w:val="none"/>
                      <w:lang w:eastAsia="zh-CN"/>
                    </w:rPr>
                    <w:t>租用</w:t>
                  </w:r>
                  <w:r>
                    <w:rPr>
                      <w:rFonts w:hint="eastAsia"/>
                      <w:color w:val="auto"/>
                      <w:kern w:val="0"/>
                      <w:szCs w:val="21"/>
                      <w:highlight w:val="none"/>
                      <w:lang w:val="en-US" w:eastAsia="zh-CN"/>
                    </w:rPr>
                    <w:t>寻甸荣禾工贸有限公司</w:t>
                  </w:r>
                  <w:r>
                    <w:rPr>
                      <w:rFonts w:hint="eastAsia"/>
                      <w:color w:val="auto"/>
                      <w:kern w:val="0"/>
                      <w:szCs w:val="21"/>
                      <w:highlight w:val="none"/>
                      <w:lang w:eastAsia="zh-CN"/>
                    </w:rPr>
                    <w:t>的</w:t>
                  </w:r>
                  <w:r>
                    <w:rPr>
                      <w:rFonts w:hint="eastAsia"/>
                      <w:color w:val="auto"/>
                      <w:kern w:val="0"/>
                      <w:szCs w:val="21"/>
                      <w:highlight w:val="none"/>
                      <w:lang w:val="en-US" w:eastAsia="zh-CN"/>
                    </w:rPr>
                    <w:t>1栋生产厂房</w:t>
                  </w:r>
                  <w:r>
                    <w:rPr>
                      <w:rFonts w:hint="eastAsia"/>
                      <w:color w:val="auto"/>
                      <w:kern w:val="0"/>
                      <w:szCs w:val="21"/>
                      <w:highlight w:val="none"/>
                      <w:lang w:eastAsia="zh-CN"/>
                    </w:rPr>
                    <w:t>，</w:t>
                  </w:r>
                  <w:r>
                    <w:rPr>
                      <w:rFonts w:hint="eastAsia"/>
                      <w:color w:val="auto"/>
                      <w:kern w:val="0"/>
                      <w:szCs w:val="21"/>
                      <w:highlight w:val="none"/>
                      <w:lang w:val="en-US" w:eastAsia="zh-CN"/>
                    </w:rPr>
                    <w:t>占地面积</w:t>
                  </w:r>
                  <w:r>
                    <w:rPr>
                      <w:rFonts w:hint="eastAsia"/>
                      <w:color w:val="auto"/>
                      <w:kern w:val="0"/>
                      <w:szCs w:val="21"/>
                      <w:highlight w:val="none"/>
                      <w:vertAlign w:val="baseline"/>
                      <w:lang w:val="en-US" w:eastAsia="zh-CN"/>
                    </w:rPr>
                    <w:t>3672</w:t>
                  </w:r>
                  <w:r>
                    <w:rPr>
                      <w:rFonts w:hint="eastAsia"/>
                      <w:color w:val="auto"/>
                      <w:kern w:val="0"/>
                      <w:szCs w:val="21"/>
                      <w:highlight w:val="none"/>
                      <w:lang w:val="en-US" w:eastAsia="zh-CN"/>
                    </w:rPr>
                    <w:t>m</w:t>
                  </w:r>
                  <w:r>
                    <w:rPr>
                      <w:rFonts w:hint="eastAsia"/>
                      <w:color w:val="auto"/>
                      <w:kern w:val="0"/>
                      <w:szCs w:val="21"/>
                      <w:highlight w:val="none"/>
                      <w:vertAlign w:val="superscript"/>
                      <w:lang w:val="en-US" w:eastAsia="zh-CN"/>
                    </w:rPr>
                    <w:t>2</w:t>
                  </w:r>
                  <w:r>
                    <w:rPr>
                      <w:rFonts w:hint="eastAsia"/>
                      <w:color w:val="auto"/>
                      <w:kern w:val="0"/>
                      <w:szCs w:val="21"/>
                      <w:highlight w:val="none"/>
                      <w:vertAlign w:val="baseline"/>
                      <w:lang w:val="en-US" w:eastAsia="zh-CN"/>
                    </w:rPr>
                    <w:t>，生产厂房</w:t>
                  </w:r>
                  <w:r>
                    <w:rPr>
                      <w:rFonts w:hint="eastAsia" w:ascii="Times New Roman" w:hAnsi="Times New Roman"/>
                      <w:color w:val="auto"/>
                      <w:kern w:val="0"/>
                      <w:szCs w:val="21"/>
                      <w:highlight w:val="none"/>
                    </w:rPr>
                    <w:t>为</w:t>
                  </w:r>
                  <w:r>
                    <w:rPr>
                      <w:rFonts w:hint="eastAsia"/>
                      <w:color w:val="auto"/>
                      <w:kern w:val="0"/>
                      <w:szCs w:val="21"/>
                      <w:highlight w:val="none"/>
                      <w:lang w:val="en-US" w:eastAsia="zh-CN"/>
                    </w:rPr>
                    <w:t>2</w:t>
                  </w:r>
                  <w:r>
                    <w:rPr>
                      <w:rFonts w:hint="default" w:ascii="Times New Roman" w:hAnsi="Times New Roman"/>
                      <w:color w:val="auto"/>
                      <w:kern w:val="0"/>
                      <w:szCs w:val="21"/>
                      <w:highlight w:val="none"/>
                    </w:rPr>
                    <w:t>层</w:t>
                  </w:r>
                  <w:r>
                    <w:rPr>
                      <w:rFonts w:hint="eastAsia" w:ascii="Times New Roman" w:hAnsi="Times New Roman"/>
                      <w:color w:val="auto"/>
                      <w:kern w:val="0"/>
                      <w:szCs w:val="21"/>
                      <w:highlight w:val="none"/>
                    </w:rPr>
                    <w:t>钢</w:t>
                  </w:r>
                  <w:r>
                    <w:rPr>
                      <w:rFonts w:hint="default" w:ascii="Times New Roman" w:hAnsi="Times New Roman"/>
                      <w:color w:val="auto"/>
                      <w:kern w:val="0"/>
                      <w:szCs w:val="21"/>
                      <w:highlight w:val="none"/>
                    </w:rPr>
                    <w:t>结构，厂房高度为</w:t>
                  </w:r>
                  <w:r>
                    <w:rPr>
                      <w:rFonts w:hint="eastAsia"/>
                      <w:color w:val="auto"/>
                      <w:kern w:val="0"/>
                      <w:szCs w:val="21"/>
                      <w:highlight w:val="none"/>
                      <w:lang w:val="en-US" w:eastAsia="zh-CN"/>
                    </w:rPr>
                    <w:t>15</w:t>
                  </w:r>
                  <w:r>
                    <w:rPr>
                      <w:rFonts w:hint="default" w:ascii="Times New Roman" w:hAnsi="Times New Roman"/>
                      <w:color w:val="auto"/>
                      <w:kern w:val="0"/>
                      <w:szCs w:val="21"/>
                      <w:highlight w:val="none"/>
                    </w:rPr>
                    <w:t>m</w:t>
                  </w:r>
                  <w:r>
                    <w:rPr>
                      <w:rFonts w:hint="eastAsia"/>
                      <w:color w:val="auto"/>
                      <w:kern w:val="0"/>
                      <w:szCs w:val="21"/>
                      <w:highlight w:val="none"/>
                      <w:lang w:eastAsia="zh-CN"/>
                    </w:rPr>
                    <w:t>，</w:t>
                  </w:r>
                  <w:r>
                    <w:rPr>
                      <w:rFonts w:hint="eastAsia"/>
                      <w:color w:val="auto"/>
                      <w:kern w:val="0"/>
                      <w:szCs w:val="21"/>
                      <w:highlight w:val="none"/>
                      <w:lang w:val="en-US" w:eastAsia="zh-CN"/>
                    </w:rPr>
                    <w:t>本次新建项目仅用1楼进行建设，2楼闲置。</w:t>
                  </w:r>
                </w:p>
              </w:tc>
              <w:tc>
                <w:tcPr>
                  <w:tcW w:w="1027" w:type="dxa"/>
                  <w:vMerge w:val="restart"/>
                  <w:vAlign w:val="center"/>
                </w:tcPr>
                <w:p w14:paraId="595628C7">
                  <w:pPr>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Times New Roman" w:hAnsi="Times New Roman"/>
                      <w:color w:val="auto"/>
                      <w:kern w:val="0"/>
                      <w:szCs w:val="21"/>
                      <w:highlight w:val="none"/>
                      <w:lang w:val="en-US" w:eastAsia="zh-CN"/>
                    </w:rPr>
                  </w:pPr>
                  <w:r>
                    <w:rPr>
                      <w:rFonts w:hint="eastAsia" w:ascii="Times New Roman" w:hAnsi="Times New Roman" w:eastAsia="宋体"/>
                      <w:color w:val="auto"/>
                      <w:kern w:val="0"/>
                      <w:szCs w:val="21"/>
                      <w:highlight w:val="none"/>
                      <w:lang w:eastAsia="zh-CN"/>
                    </w:rPr>
                    <w:t>租用</w:t>
                  </w:r>
                  <w:r>
                    <w:rPr>
                      <w:rFonts w:hint="eastAsia"/>
                      <w:color w:val="auto"/>
                      <w:highlight w:val="none"/>
                      <w:lang w:eastAsia="zh-CN"/>
                    </w:rPr>
                    <w:t>已建成的</w:t>
                  </w:r>
                  <w:r>
                    <w:rPr>
                      <w:rFonts w:hint="eastAsia"/>
                      <w:color w:val="auto"/>
                      <w:highlight w:val="none"/>
                      <w:lang w:val="en-US" w:eastAsia="zh-CN"/>
                    </w:rPr>
                    <w:t>生产</w:t>
                  </w:r>
                  <w:r>
                    <w:rPr>
                      <w:rFonts w:hint="eastAsia"/>
                      <w:color w:val="auto"/>
                      <w:highlight w:val="none"/>
                      <w:lang w:eastAsia="zh-CN"/>
                    </w:rPr>
                    <w:t>厂房</w:t>
                  </w:r>
                  <w:r>
                    <w:rPr>
                      <w:rFonts w:hint="eastAsia" w:ascii="Times New Roman" w:hAnsi="Times New Roman" w:eastAsia="宋体"/>
                      <w:color w:val="auto"/>
                      <w:kern w:val="0"/>
                      <w:szCs w:val="21"/>
                      <w:highlight w:val="none"/>
                      <w:lang w:eastAsia="zh-CN"/>
                    </w:rPr>
                    <w:t>，</w:t>
                  </w:r>
                  <w:r>
                    <w:rPr>
                      <w:rFonts w:hint="eastAsia"/>
                      <w:color w:val="auto"/>
                      <w:kern w:val="0"/>
                      <w:szCs w:val="21"/>
                      <w:highlight w:val="none"/>
                      <w:lang w:val="en-US" w:eastAsia="zh-CN"/>
                    </w:rPr>
                    <w:t>进行隔断、</w:t>
                  </w:r>
                  <w:r>
                    <w:rPr>
                      <w:rFonts w:hint="eastAsia" w:ascii="Times New Roman" w:hAnsi="Times New Roman" w:eastAsia="宋体"/>
                      <w:color w:val="auto"/>
                      <w:kern w:val="0"/>
                      <w:szCs w:val="21"/>
                      <w:highlight w:val="none"/>
                      <w:lang w:eastAsia="zh-CN"/>
                    </w:rPr>
                    <w:t>安装设备后进行使用</w:t>
                  </w:r>
                </w:p>
              </w:tc>
            </w:tr>
            <w:tr w14:paraId="6D80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79" w:type="dxa"/>
                  <w:vMerge w:val="continue"/>
                  <w:vAlign w:val="center"/>
                </w:tcPr>
                <w:p w14:paraId="5830CA9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continue"/>
                  <w:vAlign w:val="center"/>
                </w:tcPr>
                <w:p w14:paraId="247209CA">
                  <w:pPr>
                    <w:keepNext w:val="0"/>
                    <w:keepLines w:val="0"/>
                    <w:widowControl/>
                    <w:suppressLineNumbers w:val="0"/>
                    <w:adjustRightInd w:val="0"/>
                    <w:snapToGrid w:val="0"/>
                    <w:spacing w:before="0" w:beforeAutospacing="0" w:after="0" w:afterAutospacing="0"/>
                    <w:ind w:left="0" w:right="0"/>
                    <w:jc w:val="center"/>
                    <w:rPr>
                      <w:rFonts w:hint="eastAsia"/>
                      <w:color w:val="auto"/>
                      <w:kern w:val="0"/>
                      <w:szCs w:val="21"/>
                      <w:highlight w:val="none"/>
                      <w:lang w:val="en-US" w:eastAsia="zh-CN"/>
                    </w:rPr>
                  </w:pPr>
                </w:p>
              </w:tc>
              <w:tc>
                <w:tcPr>
                  <w:tcW w:w="1298" w:type="dxa"/>
                  <w:vAlign w:val="center"/>
                </w:tcPr>
                <w:p w14:paraId="22E870B3">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生产区</w:t>
                  </w:r>
                </w:p>
              </w:tc>
              <w:tc>
                <w:tcPr>
                  <w:tcW w:w="4960" w:type="dxa"/>
                  <w:vAlign w:val="center"/>
                </w:tcPr>
                <w:p w14:paraId="5302823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olor w:val="auto"/>
                      <w:kern w:val="0"/>
                      <w:szCs w:val="21"/>
                      <w:highlight w:val="none"/>
                      <w:lang w:val="en-US" w:eastAsia="zh-CN"/>
                    </w:rPr>
                    <w:t>位于厂房1层，</w:t>
                  </w:r>
                  <w:r>
                    <w:rPr>
                      <w:rFonts w:hint="eastAsia"/>
                      <w:color w:val="auto"/>
                      <w:kern w:val="0"/>
                      <w:szCs w:val="21"/>
                      <w:highlight w:val="none"/>
                      <w:vertAlign w:val="baseline"/>
                      <w:lang w:val="en-US" w:eastAsia="zh-CN"/>
                    </w:rPr>
                    <w:t>其中包括调胶间，1间，</w:t>
                  </w:r>
                  <w:r>
                    <w:rPr>
                      <w:rFonts w:hint="eastAsia" w:ascii="Times New Roman" w:hAnsi="Times New Roman"/>
                      <w:color w:val="auto"/>
                      <w:kern w:val="0"/>
                      <w:szCs w:val="21"/>
                      <w:highlight w:val="none"/>
                      <w:lang w:val="en-US" w:eastAsia="zh-CN"/>
                    </w:rPr>
                    <w:t>位于厂房</w:t>
                  </w:r>
                  <w:r>
                    <w:rPr>
                      <w:rFonts w:hint="eastAsia"/>
                      <w:color w:val="auto"/>
                      <w:kern w:val="0"/>
                      <w:szCs w:val="21"/>
                      <w:highlight w:val="none"/>
                      <w:lang w:val="en-US" w:eastAsia="zh-CN"/>
                    </w:rPr>
                    <w:t>西南侧，建筑面积290m</w:t>
                  </w:r>
                  <w:r>
                    <w:rPr>
                      <w:rFonts w:hint="eastAsia"/>
                      <w:color w:val="auto"/>
                      <w:kern w:val="0"/>
                      <w:szCs w:val="21"/>
                      <w:highlight w:val="none"/>
                      <w:vertAlign w:val="superscript"/>
                      <w:lang w:val="en-US" w:eastAsia="zh-CN"/>
                    </w:rPr>
                    <w:t>2</w:t>
                  </w:r>
                  <w:r>
                    <w:rPr>
                      <w:rFonts w:hint="eastAsia"/>
                      <w:color w:val="auto"/>
                      <w:kern w:val="0"/>
                      <w:szCs w:val="21"/>
                      <w:highlight w:val="none"/>
                      <w:vertAlign w:val="baseline"/>
                      <w:lang w:val="en-US" w:eastAsia="zh-CN"/>
                    </w:rPr>
                    <w:t>；</w:t>
                  </w:r>
                  <w:r>
                    <w:rPr>
                      <w:rFonts w:hint="eastAsia"/>
                      <w:color w:val="auto"/>
                      <w:kern w:val="0"/>
                      <w:szCs w:val="21"/>
                      <w:highlight w:val="none"/>
                      <w:lang w:val="en-US" w:eastAsia="zh-CN"/>
                    </w:rPr>
                    <w:t>一体化三聚氰胺浸渍纸自动生产线，3条，产能450万张/年，</w:t>
                  </w:r>
                  <w:r>
                    <w:rPr>
                      <w:rFonts w:hint="eastAsia" w:ascii="Times New Roman" w:hAnsi="Times New Roman"/>
                      <w:color w:val="auto"/>
                      <w:kern w:val="0"/>
                      <w:szCs w:val="21"/>
                      <w:highlight w:val="none"/>
                      <w:lang w:val="en-US" w:eastAsia="zh-CN"/>
                    </w:rPr>
                    <w:t>位于厂房</w:t>
                  </w:r>
                  <w:r>
                    <w:rPr>
                      <w:rFonts w:hint="eastAsia"/>
                      <w:color w:val="auto"/>
                      <w:kern w:val="0"/>
                      <w:szCs w:val="21"/>
                      <w:highlight w:val="none"/>
                      <w:lang w:val="en-US" w:eastAsia="zh-CN"/>
                    </w:rPr>
                    <w:t>东南侧，建筑面积1241m</w:t>
                  </w:r>
                  <w:r>
                    <w:rPr>
                      <w:rFonts w:hint="eastAsia"/>
                      <w:color w:val="auto"/>
                      <w:kern w:val="0"/>
                      <w:szCs w:val="21"/>
                      <w:highlight w:val="none"/>
                      <w:vertAlign w:val="superscript"/>
                      <w:lang w:val="en-US" w:eastAsia="zh-CN"/>
                    </w:rPr>
                    <w:t>2</w:t>
                  </w:r>
                  <w:r>
                    <w:rPr>
                      <w:rFonts w:hint="eastAsia"/>
                      <w:color w:val="auto"/>
                      <w:kern w:val="0"/>
                      <w:szCs w:val="21"/>
                      <w:highlight w:val="none"/>
                      <w:vertAlign w:val="baseline"/>
                      <w:lang w:val="en-US" w:eastAsia="zh-CN"/>
                    </w:rPr>
                    <w:t>，</w:t>
                  </w:r>
                  <w:r>
                    <w:rPr>
                      <w:rFonts w:hint="eastAsia"/>
                      <w:color w:val="auto"/>
                      <w:kern w:val="0"/>
                      <w:szCs w:val="21"/>
                      <w:highlight w:val="none"/>
                      <w:lang w:val="en-US" w:eastAsia="zh-CN"/>
                    </w:rPr>
                    <w:t>包括浸胶、烘干、裁剪、包装工段。</w:t>
                  </w:r>
                </w:p>
              </w:tc>
              <w:tc>
                <w:tcPr>
                  <w:tcW w:w="1027" w:type="dxa"/>
                  <w:vMerge w:val="continue"/>
                  <w:vAlign w:val="center"/>
                </w:tcPr>
                <w:p w14:paraId="4946A5C4">
                  <w:pPr>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Times New Roman" w:hAnsi="Times New Roman" w:eastAsia="宋体"/>
                      <w:color w:val="auto"/>
                      <w:kern w:val="0"/>
                      <w:szCs w:val="21"/>
                      <w:highlight w:val="none"/>
                      <w:lang w:eastAsia="zh-CN"/>
                    </w:rPr>
                  </w:pPr>
                </w:p>
              </w:tc>
            </w:tr>
            <w:tr w14:paraId="49BA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Merge w:val="continue"/>
                  <w:vAlign w:val="center"/>
                </w:tcPr>
                <w:p w14:paraId="2C8AD0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continue"/>
                  <w:vAlign w:val="center"/>
                </w:tcPr>
                <w:p w14:paraId="21BCA3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Cs w:val="21"/>
                      <w:highlight w:val="none"/>
                      <w:lang w:val="en-US" w:eastAsia="zh-CN"/>
                    </w:rPr>
                  </w:pPr>
                </w:p>
              </w:tc>
              <w:tc>
                <w:tcPr>
                  <w:tcW w:w="1298" w:type="dxa"/>
                  <w:vAlign w:val="center"/>
                </w:tcPr>
                <w:p w14:paraId="1FB2C8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Cs w:val="21"/>
                      <w:highlight w:val="none"/>
                      <w:lang w:val="en-US" w:eastAsia="zh-CN"/>
                    </w:rPr>
                  </w:pPr>
                  <w:r>
                    <w:rPr>
                      <w:rFonts w:hint="eastAsia"/>
                      <w:color w:val="auto"/>
                      <w:kern w:val="0"/>
                      <w:szCs w:val="21"/>
                      <w:highlight w:val="none"/>
                      <w:lang w:val="en-US" w:eastAsia="zh-CN"/>
                    </w:rPr>
                    <w:t>原料堆放区</w:t>
                  </w:r>
                </w:p>
              </w:tc>
              <w:tc>
                <w:tcPr>
                  <w:tcW w:w="4960" w:type="dxa"/>
                  <w:vAlign w:val="center"/>
                </w:tcPr>
                <w:p w14:paraId="41F5A47F">
                  <w:pPr>
                    <w:keepNext w:val="0"/>
                    <w:keepLines w:val="0"/>
                    <w:suppressLineNumbers w:val="0"/>
                    <w:spacing w:before="0" w:beforeAutospacing="0" w:after="0" w:afterAutospacing="0"/>
                    <w:ind w:left="0" w:right="0"/>
                    <w:jc w:val="center"/>
                    <w:rPr>
                      <w:rFonts w:hint="default" w:ascii="Times New Roman" w:hAnsi="Times New Roman" w:eastAsia="宋体"/>
                      <w:color w:val="auto"/>
                      <w:kern w:val="0"/>
                      <w:szCs w:val="21"/>
                      <w:highlight w:val="none"/>
                      <w:vertAlign w:val="baseline"/>
                      <w:lang w:val="en-US" w:eastAsia="zh-CN"/>
                    </w:rPr>
                  </w:pPr>
                  <w:r>
                    <w:rPr>
                      <w:rFonts w:hint="eastAsia" w:ascii="Times New Roman" w:hAnsi="Times New Roman"/>
                      <w:color w:val="auto"/>
                      <w:kern w:val="0"/>
                      <w:szCs w:val="21"/>
                      <w:highlight w:val="none"/>
                      <w:lang w:val="en-US" w:eastAsia="zh-CN"/>
                    </w:rPr>
                    <w:t>位于厂房</w:t>
                  </w:r>
                  <w:r>
                    <w:rPr>
                      <w:rFonts w:hint="eastAsia"/>
                      <w:color w:val="auto"/>
                      <w:kern w:val="0"/>
                      <w:szCs w:val="21"/>
                      <w:highlight w:val="none"/>
                      <w:lang w:val="en-US" w:eastAsia="zh-CN"/>
                    </w:rPr>
                    <w:t>1层西北侧，建筑面积256m</w:t>
                  </w:r>
                  <w:r>
                    <w:rPr>
                      <w:rFonts w:hint="eastAsia"/>
                      <w:color w:val="auto"/>
                      <w:kern w:val="0"/>
                      <w:szCs w:val="21"/>
                      <w:highlight w:val="none"/>
                      <w:vertAlign w:val="superscript"/>
                      <w:lang w:val="en-US" w:eastAsia="zh-CN"/>
                    </w:rPr>
                    <w:t>2</w:t>
                  </w:r>
                  <w:r>
                    <w:rPr>
                      <w:rFonts w:hint="eastAsia"/>
                      <w:color w:val="auto"/>
                      <w:kern w:val="0"/>
                      <w:szCs w:val="21"/>
                      <w:highlight w:val="none"/>
                      <w:vertAlign w:val="baseline"/>
                      <w:lang w:val="en-US" w:eastAsia="zh-CN"/>
                    </w:rPr>
                    <w:t>，</w:t>
                  </w:r>
                  <w:r>
                    <w:rPr>
                      <w:rFonts w:hint="eastAsia" w:ascii="Times New Roman" w:hAnsi="Times New Roman"/>
                      <w:color w:val="auto"/>
                      <w:kern w:val="0"/>
                      <w:szCs w:val="21"/>
                      <w:highlight w:val="none"/>
                      <w:vertAlign w:val="baseline"/>
                      <w:lang w:val="en-US" w:eastAsia="zh-CN"/>
                    </w:rPr>
                    <w:t>用于</w:t>
                  </w:r>
                  <w:r>
                    <w:rPr>
                      <w:rFonts w:hint="eastAsia"/>
                      <w:color w:val="auto"/>
                      <w:kern w:val="0"/>
                      <w:szCs w:val="21"/>
                      <w:highlight w:val="none"/>
                      <w:vertAlign w:val="baseline"/>
                      <w:lang w:val="en-US" w:eastAsia="zh-CN"/>
                    </w:rPr>
                    <w:t>原辅料</w:t>
                  </w:r>
                  <w:r>
                    <w:rPr>
                      <w:rFonts w:hint="eastAsia" w:ascii="Times New Roman" w:hAnsi="Times New Roman"/>
                      <w:color w:val="auto"/>
                      <w:kern w:val="0"/>
                      <w:szCs w:val="21"/>
                      <w:highlight w:val="none"/>
                      <w:vertAlign w:val="baseline"/>
                      <w:lang w:val="en-US" w:eastAsia="zh-CN"/>
                    </w:rPr>
                    <w:t>的存放。</w:t>
                  </w:r>
                </w:p>
              </w:tc>
              <w:tc>
                <w:tcPr>
                  <w:tcW w:w="1027" w:type="dxa"/>
                  <w:vMerge w:val="continue"/>
                  <w:vAlign w:val="center"/>
                </w:tcPr>
                <w:p w14:paraId="3B9A159F">
                  <w:pPr>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Times New Roman" w:hAnsi="Times New Roman"/>
                      <w:color w:val="auto"/>
                      <w:kern w:val="0"/>
                      <w:szCs w:val="21"/>
                      <w:highlight w:val="none"/>
                      <w:lang w:val="en-US" w:eastAsia="zh-CN"/>
                    </w:rPr>
                  </w:pPr>
                </w:p>
              </w:tc>
            </w:tr>
            <w:tr w14:paraId="197B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79" w:type="dxa"/>
                  <w:vMerge w:val="continue"/>
                  <w:vAlign w:val="center"/>
                </w:tcPr>
                <w:p w14:paraId="3D35AF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continue"/>
                  <w:vAlign w:val="center"/>
                </w:tcPr>
                <w:p w14:paraId="1A8FB1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Cs w:val="21"/>
                      <w:highlight w:val="none"/>
                      <w:lang w:val="en-US" w:eastAsia="zh-CN"/>
                    </w:rPr>
                  </w:pPr>
                </w:p>
              </w:tc>
              <w:tc>
                <w:tcPr>
                  <w:tcW w:w="1298" w:type="dxa"/>
                  <w:vAlign w:val="center"/>
                </w:tcPr>
                <w:p w14:paraId="345E1553">
                  <w:pPr>
                    <w:keepNext w:val="0"/>
                    <w:keepLines w:val="0"/>
                    <w:widowControl/>
                    <w:suppressLineNumbers w:val="0"/>
                    <w:adjustRightInd w:val="0"/>
                    <w:snapToGrid w:val="0"/>
                    <w:spacing w:before="0" w:beforeAutospacing="0" w:after="0" w:afterAutospacing="0"/>
                    <w:ind w:left="0" w:right="0"/>
                    <w:jc w:val="center"/>
                    <w:rPr>
                      <w:rFonts w:hint="default"/>
                      <w:color w:val="auto"/>
                      <w:kern w:val="0"/>
                      <w:szCs w:val="21"/>
                      <w:highlight w:val="none"/>
                      <w:lang w:val="en-US" w:eastAsia="zh-CN"/>
                    </w:rPr>
                  </w:pPr>
                  <w:r>
                    <w:rPr>
                      <w:rFonts w:hint="eastAsia"/>
                      <w:color w:val="auto"/>
                      <w:kern w:val="0"/>
                      <w:szCs w:val="21"/>
                      <w:highlight w:val="none"/>
                      <w:lang w:val="en-US" w:eastAsia="zh-CN"/>
                    </w:rPr>
                    <w:t>成品堆放区</w:t>
                  </w:r>
                </w:p>
              </w:tc>
              <w:tc>
                <w:tcPr>
                  <w:tcW w:w="4960" w:type="dxa"/>
                  <w:vAlign w:val="center"/>
                </w:tcPr>
                <w:p w14:paraId="7A9CBB69">
                  <w:pPr>
                    <w:keepNext w:val="0"/>
                    <w:keepLines w:val="0"/>
                    <w:suppressLineNumbers w:val="0"/>
                    <w:spacing w:before="0" w:beforeAutospacing="0" w:after="0" w:afterAutospacing="0"/>
                    <w:ind w:left="0" w:right="0"/>
                    <w:jc w:val="center"/>
                    <w:rPr>
                      <w:rFonts w:hint="default" w:ascii="Times New Roman" w:hAnsi="Times New Roman"/>
                      <w:color w:val="auto"/>
                      <w:kern w:val="0"/>
                      <w:szCs w:val="21"/>
                      <w:highlight w:val="none"/>
                      <w:lang w:val="en-US" w:eastAsia="zh-CN"/>
                    </w:rPr>
                  </w:pPr>
                  <w:r>
                    <w:rPr>
                      <w:rFonts w:hint="eastAsia"/>
                      <w:color w:val="auto"/>
                      <w:kern w:val="0"/>
                      <w:szCs w:val="21"/>
                      <w:highlight w:val="none"/>
                      <w:lang w:val="en-US" w:eastAsia="zh-CN"/>
                    </w:rPr>
                    <w:t>位于</w:t>
                  </w:r>
                  <w:r>
                    <w:rPr>
                      <w:rFonts w:hint="eastAsia" w:ascii="Times New Roman" w:hAnsi="Times New Roman"/>
                      <w:color w:val="auto"/>
                      <w:kern w:val="0"/>
                      <w:szCs w:val="21"/>
                      <w:highlight w:val="none"/>
                      <w:lang w:val="en-US" w:eastAsia="zh-CN"/>
                    </w:rPr>
                    <w:t>厂房</w:t>
                  </w:r>
                  <w:r>
                    <w:rPr>
                      <w:rFonts w:hint="eastAsia"/>
                      <w:color w:val="auto"/>
                      <w:kern w:val="0"/>
                      <w:szCs w:val="21"/>
                      <w:highlight w:val="none"/>
                      <w:lang w:val="en-US" w:eastAsia="zh-CN"/>
                    </w:rPr>
                    <w:t>1层西南侧，建筑面积272m</w:t>
                  </w:r>
                  <w:r>
                    <w:rPr>
                      <w:rFonts w:hint="eastAsia"/>
                      <w:color w:val="auto"/>
                      <w:kern w:val="0"/>
                      <w:szCs w:val="21"/>
                      <w:highlight w:val="none"/>
                      <w:vertAlign w:val="superscript"/>
                      <w:lang w:val="en-US" w:eastAsia="zh-CN"/>
                    </w:rPr>
                    <w:t>2</w:t>
                  </w:r>
                  <w:r>
                    <w:rPr>
                      <w:rFonts w:hint="eastAsia"/>
                      <w:color w:val="auto"/>
                      <w:kern w:val="0"/>
                      <w:szCs w:val="21"/>
                      <w:highlight w:val="none"/>
                      <w:vertAlign w:val="baseline"/>
                      <w:lang w:val="en-US" w:eastAsia="zh-CN"/>
                    </w:rPr>
                    <w:t>，</w:t>
                  </w:r>
                  <w:r>
                    <w:rPr>
                      <w:rFonts w:hint="eastAsia" w:ascii="Times New Roman" w:hAnsi="Times New Roman"/>
                      <w:color w:val="auto"/>
                      <w:kern w:val="0"/>
                      <w:szCs w:val="21"/>
                      <w:highlight w:val="none"/>
                      <w:vertAlign w:val="baseline"/>
                      <w:lang w:val="en-US" w:eastAsia="zh-CN"/>
                    </w:rPr>
                    <w:t>用于</w:t>
                  </w:r>
                  <w:r>
                    <w:rPr>
                      <w:rFonts w:hint="eastAsia"/>
                      <w:color w:val="auto"/>
                      <w:kern w:val="0"/>
                      <w:szCs w:val="21"/>
                      <w:highlight w:val="none"/>
                      <w:vertAlign w:val="baseline"/>
                      <w:lang w:val="en-US" w:eastAsia="zh-CN"/>
                    </w:rPr>
                    <w:t>产品</w:t>
                  </w:r>
                  <w:r>
                    <w:rPr>
                      <w:rFonts w:hint="eastAsia" w:ascii="Times New Roman" w:hAnsi="Times New Roman"/>
                      <w:color w:val="auto"/>
                      <w:kern w:val="0"/>
                      <w:szCs w:val="21"/>
                      <w:highlight w:val="none"/>
                      <w:vertAlign w:val="baseline"/>
                      <w:lang w:val="en-US" w:eastAsia="zh-CN"/>
                    </w:rPr>
                    <w:t>的存放。</w:t>
                  </w:r>
                </w:p>
              </w:tc>
              <w:tc>
                <w:tcPr>
                  <w:tcW w:w="1027" w:type="dxa"/>
                  <w:vMerge w:val="continue"/>
                  <w:vAlign w:val="center"/>
                </w:tcPr>
                <w:p w14:paraId="49F506DF">
                  <w:pPr>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Times New Roman" w:hAnsi="Times New Roman"/>
                      <w:color w:val="auto"/>
                      <w:kern w:val="0"/>
                      <w:szCs w:val="21"/>
                      <w:highlight w:val="none"/>
                      <w:lang w:val="en-US" w:eastAsia="zh-CN"/>
                    </w:rPr>
                  </w:pPr>
                </w:p>
              </w:tc>
            </w:tr>
            <w:tr w14:paraId="4F52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79" w:type="dxa"/>
                  <w:vAlign w:val="center"/>
                </w:tcPr>
                <w:p w14:paraId="60362E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辅助工程</w:t>
                  </w:r>
                </w:p>
              </w:tc>
              <w:tc>
                <w:tcPr>
                  <w:tcW w:w="1724" w:type="dxa"/>
                  <w:gridSpan w:val="2"/>
                  <w:vAlign w:val="center"/>
                </w:tcPr>
                <w:p w14:paraId="0994A94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kern w:val="0"/>
                      <w:szCs w:val="21"/>
                      <w:highlight w:val="none"/>
                      <w:lang w:val="en-US" w:eastAsia="zh-CN"/>
                    </w:rPr>
                  </w:pPr>
                  <w:r>
                    <w:rPr>
                      <w:rFonts w:hint="eastAsia" w:cs="Times New Roman"/>
                      <w:color w:val="auto"/>
                      <w:sz w:val="21"/>
                      <w:szCs w:val="21"/>
                      <w:highlight w:val="none"/>
                      <w:lang w:val="en-US" w:eastAsia="zh-CN"/>
                    </w:rPr>
                    <w:t>办公生活区</w:t>
                  </w:r>
                </w:p>
              </w:tc>
              <w:tc>
                <w:tcPr>
                  <w:tcW w:w="4960" w:type="dxa"/>
                  <w:vAlign w:val="center"/>
                </w:tcPr>
                <w:p w14:paraId="7E0FAAB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olor w:val="auto"/>
                      <w:kern w:val="0"/>
                      <w:szCs w:val="21"/>
                      <w:highlight w:val="none"/>
                      <w:lang w:val="en-US" w:eastAsia="zh-CN"/>
                    </w:rPr>
                  </w:pPr>
                  <w:r>
                    <w:rPr>
                      <w:rFonts w:hint="eastAsia"/>
                      <w:color w:val="auto"/>
                      <w:kern w:val="0"/>
                      <w:szCs w:val="21"/>
                      <w:highlight w:val="none"/>
                      <w:lang w:val="en-US" w:eastAsia="zh-CN"/>
                    </w:rPr>
                    <w:t>租用荣禾工贸有限公司</w:t>
                  </w:r>
                  <w:r>
                    <w:rPr>
                      <w:rFonts w:hint="eastAsia"/>
                      <w:color w:val="auto"/>
                      <w:kern w:val="0"/>
                      <w:szCs w:val="21"/>
                      <w:highlight w:val="none"/>
                      <w:lang w:eastAsia="zh-CN"/>
                    </w:rPr>
                    <w:t>的</w:t>
                  </w:r>
                  <w:r>
                    <w:rPr>
                      <w:rFonts w:hint="eastAsia"/>
                      <w:color w:val="auto"/>
                      <w:kern w:val="0"/>
                      <w:szCs w:val="21"/>
                      <w:highlight w:val="none"/>
                      <w:lang w:val="en-US" w:eastAsia="zh-CN"/>
                    </w:rPr>
                    <w:t>综合楼进行利用，砖混结构</w:t>
                  </w:r>
                  <w:r>
                    <w:rPr>
                      <w:rFonts w:hint="eastAsia"/>
                      <w:color w:val="auto"/>
                      <w:kern w:val="0"/>
                      <w:szCs w:val="21"/>
                      <w:highlight w:val="none"/>
                      <w:lang w:eastAsia="zh-CN"/>
                    </w:rPr>
                    <w:t>，</w:t>
                  </w:r>
                  <w:r>
                    <w:rPr>
                      <w:rFonts w:hint="eastAsia"/>
                      <w:color w:val="auto"/>
                      <w:kern w:val="0"/>
                      <w:szCs w:val="21"/>
                      <w:highlight w:val="none"/>
                      <w:lang w:val="en-US" w:eastAsia="zh-CN"/>
                    </w:rPr>
                    <w:t>4层建筑，</w:t>
                  </w:r>
                  <w:r>
                    <w:rPr>
                      <w:rFonts w:hint="eastAsia"/>
                      <w:color w:val="auto"/>
                      <w:kern w:val="0"/>
                      <w:szCs w:val="21"/>
                      <w:highlight w:val="none"/>
                      <w:vertAlign w:val="baseline"/>
                      <w:lang w:val="en-US" w:eastAsia="zh-CN"/>
                    </w:rPr>
                    <w:t>建筑面积为328</w:t>
                  </w:r>
                  <w:r>
                    <w:rPr>
                      <w:rFonts w:hint="eastAsia"/>
                      <w:color w:val="auto"/>
                      <w:kern w:val="0"/>
                      <w:szCs w:val="21"/>
                      <w:highlight w:val="none"/>
                      <w:lang w:val="en-US" w:eastAsia="zh-CN"/>
                    </w:rPr>
                    <w:t>m</w:t>
                  </w:r>
                  <w:r>
                    <w:rPr>
                      <w:rFonts w:hint="eastAsia"/>
                      <w:color w:val="auto"/>
                      <w:kern w:val="0"/>
                      <w:szCs w:val="21"/>
                      <w:highlight w:val="none"/>
                      <w:vertAlign w:val="superscript"/>
                      <w:lang w:val="en-US" w:eastAsia="zh-CN"/>
                    </w:rPr>
                    <w:t>2</w:t>
                  </w:r>
                  <w:r>
                    <w:rPr>
                      <w:rFonts w:hint="eastAsia"/>
                      <w:color w:val="auto"/>
                      <w:kern w:val="0"/>
                      <w:szCs w:val="21"/>
                      <w:highlight w:val="none"/>
                      <w:vertAlign w:val="baseline"/>
                      <w:lang w:val="en-US" w:eastAsia="zh-CN"/>
                    </w:rPr>
                    <w:t>；</w:t>
                  </w:r>
                  <w:r>
                    <w:rPr>
                      <w:rFonts w:hint="eastAsia"/>
                      <w:color w:val="auto"/>
                      <w:kern w:val="0"/>
                      <w:szCs w:val="21"/>
                      <w:highlight w:val="none"/>
                      <w:lang w:val="en-US" w:eastAsia="zh-CN"/>
                    </w:rPr>
                    <w:t>内设办公室、卫生间和宿舍不设食堂。</w:t>
                  </w:r>
                </w:p>
              </w:tc>
              <w:tc>
                <w:tcPr>
                  <w:tcW w:w="1027" w:type="dxa"/>
                  <w:vMerge w:val="continue"/>
                  <w:vAlign w:val="center"/>
                </w:tcPr>
                <w:p w14:paraId="21364B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olor w:val="auto"/>
                      <w:kern w:val="0"/>
                      <w:highlight w:val="none"/>
                    </w:rPr>
                  </w:pPr>
                </w:p>
              </w:tc>
            </w:tr>
            <w:tr w14:paraId="559D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79" w:type="dxa"/>
                  <w:vMerge w:val="restart"/>
                  <w:vAlign w:val="center"/>
                </w:tcPr>
                <w:p w14:paraId="198124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公用工程</w:t>
                  </w:r>
                </w:p>
              </w:tc>
              <w:tc>
                <w:tcPr>
                  <w:tcW w:w="1724" w:type="dxa"/>
                  <w:gridSpan w:val="2"/>
                  <w:vAlign w:val="center"/>
                </w:tcPr>
                <w:p w14:paraId="76A67194">
                  <w:pPr>
                    <w:keepNext w:val="0"/>
                    <w:keepLines w:val="0"/>
                    <w:suppressLineNumbers w:val="0"/>
                    <w:adjustRightInd w:val="0"/>
                    <w:snapToGrid w:val="0"/>
                    <w:spacing w:before="0" w:beforeAutospacing="0" w:after="0" w:afterAutospacing="0"/>
                    <w:ind w:left="0" w:right="0"/>
                    <w:jc w:val="center"/>
                    <w:rPr>
                      <w:rFonts w:hint="default" w:ascii="Times New Roman" w:hAnsi="Times New Roman"/>
                      <w:bCs/>
                      <w:color w:val="auto"/>
                      <w:kern w:val="0"/>
                      <w:highlight w:val="none"/>
                    </w:rPr>
                  </w:pPr>
                  <w:r>
                    <w:rPr>
                      <w:rFonts w:hint="default" w:ascii="Times New Roman" w:hAnsi="Times New Roman"/>
                      <w:color w:val="auto"/>
                      <w:kern w:val="0"/>
                      <w:highlight w:val="none"/>
                    </w:rPr>
                    <w:t>供水</w:t>
                  </w:r>
                </w:p>
              </w:tc>
              <w:tc>
                <w:tcPr>
                  <w:tcW w:w="4960" w:type="dxa"/>
                  <w:vAlign w:val="center"/>
                </w:tcPr>
                <w:p w14:paraId="38918E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0"/>
                      <w:highlight w:val="none"/>
                    </w:rPr>
                  </w:pPr>
                  <w:r>
                    <w:rPr>
                      <w:rFonts w:hint="default" w:ascii="Times New Roman" w:hAnsi="Times New Roman"/>
                      <w:color w:val="auto"/>
                      <w:kern w:val="0"/>
                      <w:highlight w:val="none"/>
                    </w:rPr>
                    <w:t>由园区供水管网供给。</w:t>
                  </w:r>
                </w:p>
              </w:tc>
              <w:tc>
                <w:tcPr>
                  <w:tcW w:w="1027" w:type="dxa"/>
                  <w:vMerge w:val="restart"/>
                  <w:vAlign w:val="center"/>
                </w:tcPr>
                <w:p w14:paraId="60F0FB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olor w:val="auto"/>
                      <w:kern w:val="0"/>
                      <w:highlight w:val="none"/>
                      <w:lang w:val="en-US"/>
                    </w:rPr>
                  </w:pPr>
                  <w:r>
                    <w:rPr>
                      <w:rFonts w:hint="eastAsia"/>
                      <w:color w:val="auto"/>
                      <w:kern w:val="0"/>
                      <w:highlight w:val="none"/>
                      <w:lang w:val="en-US" w:eastAsia="zh-CN"/>
                    </w:rPr>
                    <w:t>新建</w:t>
                  </w:r>
                </w:p>
              </w:tc>
            </w:tr>
            <w:tr w14:paraId="590E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79" w:type="dxa"/>
                  <w:vMerge w:val="continue"/>
                  <w:vAlign w:val="center"/>
                </w:tcPr>
                <w:p w14:paraId="7ADE96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1724" w:type="dxa"/>
                  <w:gridSpan w:val="2"/>
                  <w:vAlign w:val="center"/>
                </w:tcPr>
                <w:p w14:paraId="7D7304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0"/>
                      <w:highlight w:val="none"/>
                    </w:rPr>
                  </w:pPr>
                  <w:r>
                    <w:rPr>
                      <w:rFonts w:hint="default" w:ascii="Times New Roman" w:hAnsi="Times New Roman"/>
                      <w:color w:val="auto"/>
                      <w:kern w:val="0"/>
                      <w:highlight w:val="none"/>
                    </w:rPr>
                    <w:t>供电</w:t>
                  </w:r>
                </w:p>
              </w:tc>
              <w:tc>
                <w:tcPr>
                  <w:tcW w:w="4960" w:type="dxa"/>
                  <w:vAlign w:val="center"/>
                </w:tcPr>
                <w:p w14:paraId="48183E7D">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0"/>
                      <w:highlight w:val="none"/>
                    </w:rPr>
                  </w:pPr>
                  <w:r>
                    <w:rPr>
                      <w:rFonts w:hint="default" w:ascii="Times New Roman" w:hAnsi="Times New Roman"/>
                      <w:color w:val="auto"/>
                      <w:kern w:val="0"/>
                      <w:highlight w:val="none"/>
                    </w:rPr>
                    <w:t>从园区已有供电系统接入至本项目</w:t>
                  </w:r>
                  <w:r>
                    <w:rPr>
                      <w:rFonts w:hint="eastAsia" w:ascii="Times New Roman" w:hAnsi="Times New Roman"/>
                      <w:color w:val="auto"/>
                      <w:kern w:val="0"/>
                      <w:highlight w:val="none"/>
                    </w:rPr>
                    <w:t>配电房</w:t>
                  </w:r>
                  <w:r>
                    <w:rPr>
                      <w:rFonts w:hint="default" w:ascii="Times New Roman" w:hAnsi="Times New Roman"/>
                      <w:color w:val="auto"/>
                      <w:kern w:val="0"/>
                      <w:highlight w:val="none"/>
                    </w:rPr>
                    <w:t>，由配电房输送至各用电设备。</w:t>
                  </w:r>
                </w:p>
              </w:tc>
              <w:tc>
                <w:tcPr>
                  <w:tcW w:w="1027" w:type="dxa"/>
                  <w:vMerge w:val="continue"/>
                  <w:vAlign w:val="center"/>
                </w:tcPr>
                <w:p w14:paraId="25A0C6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olor w:val="auto"/>
                      <w:kern w:val="0"/>
                      <w:highlight w:val="none"/>
                    </w:rPr>
                  </w:pPr>
                </w:p>
              </w:tc>
            </w:tr>
            <w:tr w14:paraId="22C0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679" w:type="dxa"/>
                  <w:vMerge w:val="continue"/>
                  <w:vAlign w:val="center"/>
                </w:tcPr>
                <w:p w14:paraId="213689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1724" w:type="dxa"/>
                  <w:gridSpan w:val="2"/>
                  <w:vAlign w:val="center"/>
                </w:tcPr>
                <w:p w14:paraId="3145F693">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kern w:val="0"/>
                      <w:highlight w:val="none"/>
                    </w:rPr>
                  </w:pPr>
                  <w:r>
                    <w:rPr>
                      <w:rFonts w:hint="default" w:ascii="Times New Roman" w:hAnsi="Times New Roman"/>
                      <w:color w:val="auto"/>
                      <w:kern w:val="0"/>
                      <w:highlight w:val="none"/>
                    </w:rPr>
                    <w:t>排水</w:t>
                  </w:r>
                </w:p>
              </w:tc>
              <w:tc>
                <w:tcPr>
                  <w:tcW w:w="4960" w:type="dxa"/>
                  <w:vAlign w:val="center"/>
                </w:tcPr>
                <w:p w14:paraId="4BEC4A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highlight w:val="none"/>
                      <w:lang w:val="en-US" w:eastAsia="zh-CN"/>
                    </w:rPr>
                  </w:pPr>
                  <w:r>
                    <w:rPr>
                      <w:rFonts w:hint="default" w:ascii="Times New Roman" w:hAnsi="Times New Roman"/>
                      <w:color w:val="auto"/>
                      <w:kern w:val="0"/>
                      <w:highlight w:val="none"/>
                    </w:rPr>
                    <w:t>项目实行雨污分流制，</w:t>
                  </w:r>
                  <w:r>
                    <w:rPr>
                      <w:rFonts w:hint="eastAsia" w:ascii="Times New Roman" w:hAnsi="Times New Roman"/>
                      <w:color w:val="auto"/>
                      <w:kern w:val="0"/>
                      <w:highlight w:val="none"/>
                    </w:rPr>
                    <w:t>项目雨水经</w:t>
                  </w:r>
                  <w:r>
                    <w:rPr>
                      <w:rFonts w:hint="eastAsia" w:ascii="Times New Roman" w:hAnsi="Times New Roman"/>
                      <w:color w:val="auto"/>
                      <w:kern w:val="0"/>
                      <w:highlight w:val="none"/>
                      <w:lang w:eastAsia="zh-CN"/>
                    </w:rPr>
                    <w:t>雨水</w:t>
                  </w:r>
                  <w:r>
                    <w:rPr>
                      <w:rFonts w:hint="eastAsia" w:ascii="Times New Roman" w:hAnsi="Times New Roman"/>
                      <w:color w:val="auto"/>
                      <w:kern w:val="0"/>
                      <w:highlight w:val="none"/>
                    </w:rPr>
                    <w:t>收集</w:t>
                  </w:r>
                  <w:r>
                    <w:rPr>
                      <w:rFonts w:hint="eastAsia" w:ascii="Times New Roman" w:hAnsi="Times New Roman"/>
                      <w:color w:val="auto"/>
                      <w:kern w:val="0"/>
                      <w:highlight w:val="none"/>
                      <w:lang w:eastAsia="zh-CN"/>
                    </w:rPr>
                    <w:t>设施收集</w:t>
                  </w:r>
                  <w:r>
                    <w:rPr>
                      <w:rFonts w:hint="eastAsia" w:ascii="Times New Roman" w:hAnsi="Times New Roman"/>
                      <w:color w:val="auto"/>
                      <w:kern w:val="0"/>
                      <w:highlight w:val="none"/>
                    </w:rPr>
                    <w:t>后进入园区雨水管网</w:t>
                  </w:r>
                  <w:r>
                    <w:rPr>
                      <w:rFonts w:hint="default" w:ascii="Times New Roman" w:hAnsi="Times New Roman"/>
                      <w:color w:val="auto"/>
                      <w:kern w:val="0"/>
                      <w:highlight w:val="none"/>
                    </w:rPr>
                    <w:t>。项目运营期产生的生活污水进入</w:t>
                  </w:r>
                  <w:r>
                    <w:rPr>
                      <w:rFonts w:hint="eastAsia"/>
                      <w:color w:val="auto"/>
                      <w:kern w:val="0"/>
                      <w:highlight w:val="none"/>
                      <w:lang w:val="en-US" w:eastAsia="zh-CN"/>
                    </w:rPr>
                    <w:t>化粪池、污水处理站处理</w:t>
                  </w:r>
                  <w:r>
                    <w:rPr>
                      <w:rFonts w:hint="default" w:ascii="Times New Roman" w:hAnsi="Times New Roman"/>
                      <w:color w:val="auto"/>
                      <w:kern w:val="0"/>
                      <w:highlight w:val="none"/>
                    </w:rPr>
                    <w:t>达到《城市污水再生利用城市杂用水水质》</w:t>
                  </w:r>
                  <w:r>
                    <w:rPr>
                      <w:rFonts w:hint="eastAsia" w:ascii="Times New Roman" w:hAnsi="Times New Roman"/>
                      <w:color w:val="auto"/>
                      <w:kern w:val="0"/>
                      <w:highlight w:val="none"/>
                    </w:rPr>
                    <w:t>（</w:t>
                  </w:r>
                  <w:r>
                    <w:rPr>
                      <w:rFonts w:hint="default" w:ascii="Times New Roman" w:hAnsi="Times New Roman"/>
                      <w:color w:val="auto"/>
                      <w:kern w:val="0"/>
                      <w:highlight w:val="none"/>
                    </w:rPr>
                    <w:t>GB/T18920-20</w:t>
                  </w:r>
                  <w:r>
                    <w:rPr>
                      <w:rFonts w:hint="eastAsia" w:ascii="Times New Roman" w:hAnsi="Times New Roman"/>
                      <w:color w:val="auto"/>
                      <w:kern w:val="0"/>
                      <w:highlight w:val="none"/>
                      <w:lang w:val="en-US" w:eastAsia="zh-CN"/>
                    </w:rPr>
                    <w:t>20</w:t>
                  </w:r>
                  <w:r>
                    <w:rPr>
                      <w:rFonts w:hint="eastAsia" w:ascii="Times New Roman" w:hAnsi="Times New Roman"/>
                      <w:color w:val="auto"/>
                      <w:kern w:val="0"/>
                      <w:highlight w:val="none"/>
                    </w:rPr>
                    <w:t>）</w:t>
                  </w:r>
                  <w:r>
                    <w:rPr>
                      <w:rFonts w:hint="eastAsia" w:ascii="Times New Roman" w:hAnsi="Times New Roman"/>
                      <w:color w:val="auto"/>
                      <w:kern w:val="0"/>
                      <w:highlight w:val="none"/>
                      <w:lang w:eastAsia="zh-CN"/>
                    </w:rPr>
                    <w:t>中</w:t>
                  </w:r>
                  <w:r>
                    <w:rPr>
                      <w:rFonts w:hint="eastAsia" w:ascii="Times New Roman" w:hAnsi="Times New Roman"/>
                      <w:color w:val="auto"/>
                      <w:kern w:val="0"/>
                      <w:highlight w:val="none"/>
                      <w:lang w:val="en-US" w:eastAsia="zh-CN"/>
                    </w:rPr>
                    <w:t>城市绿化、道路清扫、消防、建筑施工</w:t>
                  </w:r>
                  <w:r>
                    <w:rPr>
                      <w:rFonts w:hint="eastAsia" w:ascii="Times New Roman" w:hAnsi="Times New Roman"/>
                      <w:color w:val="auto"/>
                      <w:kern w:val="0"/>
                      <w:highlight w:val="none"/>
                      <w:lang w:eastAsia="zh-CN"/>
                    </w:rPr>
                    <w:t>标准</w:t>
                  </w:r>
                  <w:r>
                    <w:rPr>
                      <w:rFonts w:hint="default" w:ascii="Times New Roman" w:hAnsi="Times New Roman"/>
                      <w:color w:val="auto"/>
                      <w:kern w:val="0"/>
                      <w:highlight w:val="none"/>
                    </w:rPr>
                    <w:t>后，回用于厂区非雨天绿化</w:t>
                  </w:r>
                  <w:r>
                    <w:rPr>
                      <w:rFonts w:hint="eastAsia" w:ascii="Times New Roman" w:hAnsi="Times New Roman"/>
                      <w:color w:val="auto"/>
                      <w:kern w:val="0"/>
                      <w:highlight w:val="none"/>
                      <w:lang w:eastAsia="zh-CN"/>
                    </w:rPr>
                    <w:t>及道路洒水降尘</w:t>
                  </w:r>
                  <w:r>
                    <w:rPr>
                      <w:rFonts w:hint="eastAsia" w:ascii="Times New Roman" w:hAnsi="Times New Roman"/>
                      <w:color w:val="auto"/>
                      <w:kern w:val="0"/>
                      <w:highlight w:val="none"/>
                    </w:rPr>
                    <w:t>，</w:t>
                  </w:r>
                  <w:r>
                    <w:rPr>
                      <w:rFonts w:hint="default" w:ascii="Times New Roman" w:hAnsi="Times New Roman"/>
                      <w:color w:val="auto"/>
                      <w:kern w:val="0"/>
                      <w:highlight w:val="none"/>
                    </w:rPr>
                    <w:t>不外排</w:t>
                  </w:r>
                  <w:r>
                    <w:rPr>
                      <w:rFonts w:hint="eastAsia"/>
                      <w:color w:val="auto"/>
                      <w:kern w:val="0"/>
                      <w:highlight w:val="none"/>
                      <w:lang w:val="en-US" w:eastAsia="zh-CN"/>
                    </w:rPr>
                    <w:t>。</w:t>
                  </w:r>
                </w:p>
              </w:tc>
              <w:tc>
                <w:tcPr>
                  <w:tcW w:w="1027" w:type="dxa"/>
                  <w:vMerge w:val="continue"/>
                  <w:vAlign w:val="center"/>
                </w:tcPr>
                <w:p w14:paraId="4621D4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olor w:val="auto"/>
                      <w:kern w:val="0"/>
                      <w:highlight w:val="none"/>
                    </w:rPr>
                  </w:pPr>
                </w:p>
              </w:tc>
            </w:tr>
            <w:tr w14:paraId="0D86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9" w:type="dxa"/>
                  <w:vMerge w:val="continue"/>
                  <w:vAlign w:val="center"/>
                </w:tcPr>
                <w:p w14:paraId="6A8596D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1724" w:type="dxa"/>
                  <w:gridSpan w:val="2"/>
                  <w:vAlign w:val="center"/>
                </w:tcPr>
                <w:p w14:paraId="2AC7C2E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kern w:val="0"/>
                      <w:highlight w:val="none"/>
                      <w:lang w:eastAsia="zh-CN"/>
                    </w:rPr>
                  </w:pPr>
                  <w:r>
                    <w:rPr>
                      <w:rFonts w:hint="eastAsia"/>
                      <w:color w:val="auto"/>
                      <w:kern w:val="0"/>
                      <w:highlight w:val="none"/>
                      <w:lang w:val="en-US" w:eastAsia="zh-CN"/>
                    </w:rPr>
                    <w:t>供热</w:t>
                  </w:r>
                </w:p>
              </w:tc>
              <w:tc>
                <w:tcPr>
                  <w:tcW w:w="4960" w:type="dxa"/>
                  <w:vAlign w:val="center"/>
                </w:tcPr>
                <w:p w14:paraId="7919B4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highlight w:val="none"/>
                      <w:lang w:val="en-US" w:eastAsia="zh-CN"/>
                    </w:rPr>
                  </w:pPr>
                  <w:r>
                    <w:rPr>
                      <w:rFonts w:hint="default" w:ascii="Times New Roman" w:hAnsi="Times New Roman" w:cs="Times New Roman"/>
                      <w:color w:val="auto"/>
                      <w:kern w:val="0"/>
                      <w:sz w:val="21"/>
                      <w:szCs w:val="21"/>
                      <w:highlight w:val="none"/>
                      <w:lang w:val="en-US" w:eastAsia="zh-CN"/>
                    </w:rPr>
                    <w:t>每套卧式浸渍烘干一体设备加装1台</w:t>
                  </w:r>
                  <w:r>
                    <w:rPr>
                      <w:rFonts w:hint="eastAsia" w:cs="Times New Roman"/>
                      <w:color w:val="auto"/>
                      <w:kern w:val="0"/>
                      <w:sz w:val="21"/>
                      <w:szCs w:val="21"/>
                      <w:highlight w:val="none"/>
                      <w:lang w:val="en-US" w:eastAsia="zh-CN"/>
                    </w:rPr>
                    <w:t>天然气</w:t>
                  </w:r>
                  <w:r>
                    <w:rPr>
                      <w:rFonts w:hint="default" w:ascii="Times New Roman" w:hAnsi="Times New Roman" w:cs="Times New Roman"/>
                      <w:color w:val="auto"/>
                      <w:kern w:val="0"/>
                      <w:sz w:val="21"/>
                      <w:szCs w:val="21"/>
                      <w:highlight w:val="none"/>
                      <w:lang w:val="en-US" w:eastAsia="zh-CN"/>
                    </w:rPr>
                    <w:t>模温机，共3台，每台装机容量为10kw，外观尺寸为400mm×300mm×200mm</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通过燃烧天然气加热导热油对生产设备进行供热。</w:t>
                  </w:r>
                </w:p>
              </w:tc>
              <w:tc>
                <w:tcPr>
                  <w:tcW w:w="1027" w:type="dxa"/>
                  <w:vAlign w:val="center"/>
                </w:tcPr>
                <w:p w14:paraId="16B61B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olor w:val="auto"/>
                      <w:kern w:val="0"/>
                      <w:highlight w:val="none"/>
                    </w:rPr>
                  </w:pPr>
                  <w:r>
                    <w:rPr>
                      <w:rFonts w:hint="eastAsia"/>
                      <w:color w:val="auto"/>
                      <w:kern w:val="0"/>
                      <w:highlight w:val="none"/>
                      <w:lang w:val="en-US" w:eastAsia="zh-CN"/>
                    </w:rPr>
                    <w:t>新建</w:t>
                  </w:r>
                </w:p>
              </w:tc>
            </w:tr>
            <w:tr w14:paraId="69FE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79" w:type="dxa"/>
                  <w:vMerge w:val="restart"/>
                  <w:vAlign w:val="center"/>
                </w:tcPr>
                <w:p w14:paraId="34AE969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olor w:val="auto"/>
                      <w:kern w:val="0"/>
                      <w:szCs w:val="21"/>
                      <w:highlight w:val="none"/>
                      <w:lang w:eastAsia="zh-CN"/>
                    </w:rPr>
                  </w:pPr>
                  <w:r>
                    <w:rPr>
                      <w:rFonts w:hint="eastAsia"/>
                      <w:color w:val="auto"/>
                      <w:kern w:val="0"/>
                      <w:szCs w:val="21"/>
                      <w:highlight w:val="none"/>
                      <w:lang w:eastAsia="zh-CN"/>
                    </w:rPr>
                    <w:t>环保工程</w:t>
                  </w:r>
                </w:p>
              </w:tc>
              <w:tc>
                <w:tcPr>
                  <w:tcW w:w="426" w:type="dxa"/>
                  <w:vMerge w:val="restart"/>
                  <w:vAlign w:val="center"/>
                </w:tcPr>
                <w:p w14:paraId="2A64B6C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olor w:val="auto"/>
                      <w:kern w:val="0"/>
                      <w:szCs w:val="21"/>
                      <w:highlight w:val="none"/>
                      <w:lang w:eastAsia="zh-CN"/>
                    </w:rPr>
                  </w:pPr>
                  <w:r>
                    <w:rPr>
                      <w:rFonts w:hint="eastAsia"/>
                      <w:color w:val="auto"/>
                      <w:kern w:val="0"/>
                      <w:szCs w:val="21"/>
                      <w:highlight w:val="none"/>
                      <w:lang w:eastAsia="zh-CN"/>
                    </w:rPr>
                    <w:t>废气</w:t>
                  </w:r>
                </w:p>
              </w:tc>
              <w:tc>
                <w:tcPr>
                  <w:tcW w:w="1298" w:type="dxa"/>
                  <w:vAlign w:val="center"/>
                </w:tcPr>
                <w:p w14:paraId="39ADA5C2">
                  <w:pPr>
                    <w:keepNext w:val="0"/>
                    <w:keepLines w:val="0"/>
                    <w:widowControl/>
                    <w:suppressLineNumbers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b w:val="0"/>
                      <w:bCs w:val="0"/>
                      <w:color w:val="auto"/>
                      <w:sz w:val="21"/>
                      <w:szCs w:val="21"/>
                      <w:highlight w:val="none"/>
                      <w:lang w:val="en-US" w:eastAsia="zh-CN"/>
                    </w:rPr>
                    <w:t>天然气燃烧</w:t>
                  </w:r>
                  <w:r>
                    <w:rPr>
                      <w:rFonts w:hint="eastAsia" w:ascii="Times New Roman" w:hAnsi="Times New Roman"/>
                      <w:b w:val="0"/>
                      <w:bCs w:val="0"/>
                      <w:color w:val="auto"/>
                      <w:sz w:val="21"/>
                      <w:szCs w:val="21"/>
                      <w:highlight w:val="none"/>
                      <w:lang w:val="en-US" w:eastAsia="zh-CN"/>
                    </w:rPr>
                    <w:t>废气</w:t>
                  </w:r>
                </w:p>
              </w:tc>
              <w:tc>
                <w:tcPr>
                  <w:tcW w:w="4960" w:type="dxa"/>
                  <w:vAlign w:val="center"/>
                </w:tcPr>
                <w:p w14:paraId="444000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highlight w:val="none"/>
                      <w:lang w:val="en-US" w:eastAsia="zh-CN"/>
                    </w:rPr>
                  </w:pPr>
                  <w:r>
                    <w:rPr>
                      <w:rFonts w:hint="default" w:ascii="Times New Roman" w:hAnsi="Times New Roman" w:eastAsia="宋体" w:cs="Times New Roman"/>
                      <w:color w:val="auto"/>
                      <w:szCs w:val="21"/>
                      <w:highlight w:val="none"/>
                      <w:shd w:val="clear" w:color="auto" w:fill="auto"/>
                      <w:lang w:val="en-US" w:eastAsia="zh-CN"/>
                    </w:rPr>
                    <w:t>通过</w:t>
                  </w:r>
                  <w:r>
                    <w:rPr>
                      <w:rFonts w:hint="eastAsia" w:cs="Times New Roman"/>
                      <w:color w:val="auto"/>
                      <w:szCs w:val="21"/>
                      <w:highlight w:val="none"/>
                      <w:shd w:val="clear" w:color="auto" w:fill="auto"/>
                      <w:lang w:val="en-US" w:eastAsia="zh-CN"/>
                    </w:rPr>
                    <w:t>15</w:t>
                  </w:r>
                  <w:r>
                    <w:rPr>
                      <w:rFonts w:hint="eastAsia" w:ascii="Times New Roman" w:hAnsi="Times New Roman" w:eastAsia="宋体" w:cs="Times New Roman"/>
                      <w:color w:val="auto"/>
                      <w:szCs w:val="21"/>
                      <w:highlight w:val="none"/>
                      <w:shd w:val="clear" w:color="auto" w:fill="auto"/>
                      <w:lang w:val="en-US" w:eastAsia="zh-CN"/>
                    </w:rPr>
                    <w:t>m高排气筒（</w:t>
                  </w:r>
                  <w:r>
                    <w:rPr>
                      <w:rFonts w:hint="eastAsia" w:eastAsia="宋体" w:cs="Times New Roman"/>
                      <w:color w:val="auto"/>
                      <w:szCs w:val="21"/>
                      <w:highlight w:val="none"/>
                      <w:shd w:val="clear" w:color="auto" w:fill="auto"/>
                      <w:lang w:val="en-US" w:eastAsia="zh-CN"/>
                    </w:rPr>
                    <w:t>DA00</w:t>
                  </w:r>
                  <w:r>
                    <w:rPr>
                      <w:rFonts w:hint="eastAsia" w:cs="Times New Roman"/>
                      <w:color w:val="auto"/>
                      <w:szCs w:val="21"/>
                      <w:highlight w:val="none"/>
                      <w:shd w:val="clear" w:color="auto" w:fill="auto"/>
                      <w:lang w:val="en-US" w:eastAsia="zh-CN"/>
                    </w:rPr>
                    <w:t>2</w:t>
                  </w:r>
                  <w:r>
                    <w:rPr>
                      <w:rFonts w:hint="eastAsia" w:ascii="Times New Roman" w:hAnsi="Times New Roman" w:eastAsia="宋体" w:cs="Times New Roman"/>
                      <w:color w:val="auto"/>
                      <w:szCs w:val="21"/>
                      <w:highlight w:val="none"/>
                      <w:shd w:val="clear" w:color="auto" w:fill="auto"/>
                      <w:lang w:val="en-US" w:eastAsia="zh-CN"/>
                    </w:rPr>
                    <w:t>）</w:t>
                  </w:r>
                  <w:r>
                    <w:rPr>
                      <w:rFonts w:hint="default" w:ascii="Times New Roman" w:hAnsi="Times New Roman" w:eastAsia="宋体" w:cs="Times New Roman"/>
                      <w:color w:val="auto"/>
                      <w:szCs w:val="21"/>
                      <w:highlight w:val="none"/>
                      <w:shd w:val="clear" w:color="auto" w:fill="auto"/>
                      <w:lang w:val="en-US" w:eastAsia="zh-CN"/>
                    </w:rPr>
                    <w:t>排放</w:t>
                  </w:r>
                  <w:r>
                    <w:rPr>
                      <w:rFonts w:hint="eastAsia" w:cs="Times New Roman"/>
                      <w:color w:val="auto"/>
                      <w:szCs w:val="21"/>
                      <w:highlight w:val="none"/>
                      <w:shd w:val="clear" w:color="auto" w:fill="auto"/>
                      <w:lang w:val="en-US" w:eastAsia="zh-CN"/>
                    </w:rPr>
                    <w:t>。</w:t>
                  </w:r>
                </w:p>
              </w:tc>
              <w:tc>
                <w:tcPr>
                  <w:tcW w:w="1027" w:type="dxa"/>
                  <w:vAlign w:val="center"/>
                </w:tcPr>
                <w:p w14:paraId="3BE431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olor w:val="auto"/>
                      <w:kern w:val="0"/>
                      <w:highlight w:val="none"/>
                    </w:rPr>
                  </w:pPr>
                  <w:r>
                    <w:rPr>
                      <w:rFonts w:hint="eastAsia"/>
                      <w:color w:val="auto"/>
                      <w:kern w:val="0"/>
                      <w:szCs w:val="21"/>
                      <w:highlight w:val="none"/>
                      <w:lang w:eastAsia="zh-CN"/>
                    </w:rPr>
                    <w:t>新建</w:t>
                  </w:r>
                </w:p>
              </w:tc>
            </w:tr>
            <w:tr w14:paraId="1FB0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79" w:type="dxa"/>
                  <w:vMerge w:val="continue"/>
                  <w:vAlign w:val="center"/>
                </w:tcPr>
                <w:p w14:paraId="38A803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continue"/>
                  <w:vAlign w:val="center"/>
                </w:tcPr>
                <w:p w14:paraId="66EFE0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1298" w:type="dxa"/>
                  <w:vMerge w:val="restart"/>
                  <w:vAlign w:val="center"/>
                </w:tcPr>
                <w:p w14:paraId="194493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b w:val="0"/>
                      <w:bCs w:val="0"/>
                      <w:color w:val="auto"/>
                      <w:sz w:val="21"/>
                      <w:szCs w:val="21"/>
                      <w:highlight w:val="none"/>
                      <w:lang w:val="en-US" w:eastAsia="zh-CN"/>
                    </w:rPr>
                    <w:t>有机废气</w:t>
                  </w:r>
                </w:p>
              </w:tc>
              <w:tc>
                <w:tcPr>
                  <w:tcW w:w="4960" w:type="dxa"/>
                  <w:vAlign w:val="center"/>
                </w:tcPr>
                <w:p w14:paraId="153ECE38">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 w:val="21"/>
                      <w:szCs w:val="22"/>
                      <w:highlight w:val="none"/>
                      <w:lang w:val="en-US" w:eastAsia="zh-CN" w:bidi="ar-SA"/>
                    </w:rPr>
                  </w:pPr>
                  <w:r>
                    <w:rPr>
                      <w:rFonts w:hint="eastAsia"/>
                      <w:color w:val="auto"/>
                      <w:kern w:val="0"/>
                      <w:szCs w:val="21"/>
                      <w:highlight w:val="none"/>
                      <w:lang w:val="en-US" w:eastAsia="zh-CN"/>
                    </w:rPr>
                    <w:t>调胶、浸渍、烘干产生的有机废气经集气罩和排气管道收集至“</w:t>
                  </w:r>
                  <w:r>
                    <w:rPr>
                      <w:rFonts w:hint="default" w:ascii="Times New Roman" w:hAnsi="Times New Roman" w:eastAsia="宋体" w:cs="Times New Roman"/>
                      <w:color w:val="auto"/>
                      <w:sz w:val="21"/>
                      <w:szCs w:val="21"/>
                      <w:highlight w:val="none"/>
                    </w:rPr>
                    <w:t>UV光解</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Cs w:val="21"/>
                      <w:highlight w:val="none"/>
                      <w:shd w:val="clear" w:color="auto" w:fill="auto"/>
                      <w:lang w:val="en-US" w:eastAsia="zh-CN"/>
                    </w:rPr>
                    <w:t>三级活性炭吸附净化装置</w:t>
                  </w:r>
                  <w:r>
                    <w:rPr>
                      <w:rFonts w:hint="eastAsia"/>
                      <w:color w:val="auto"/>
                      <w:kern w:val="0"/>
                      <w:szCs w:val="21"/>
                      <w:highlight w:val="none"/>
                      <w:lang w:val="en-US" w:eastAsia="zh-CN"/>
                    </w:rPr>
                    <w:t>”</w:t>
                  </w:r>
                  <w:r>
                    <w:rPr>
                      <w:rFonts w:hint="default" w:ascii="Times New Roman" w:hAnsi="Times New Roman" w:eastAsia="宋体" w:cs="Times New Roman"/>
                      <w:color w:val="auto"/>
                      <w:szCs w:val="21"/>
                      <w:highlight w:val="none"/>
                      <w:shd w:val="clear" w:color="auto" w:fill="auto"/>
                      <w:lang w:val="zh-CN"/>
                    </w:rPr>
                    <w:t>处理后</w:t>
                  </w:r>
                  <w:r>
                    <w:rPr>
                      <w:rFonts w:hint="eastAsia" w:cs="Times New Roman"/>
                      <w:color w:val="auto"/>
                      <w:szCs w:val="21"/>
                      <w:highlight w:val="none"/>
                      <w:shd w:val="clear" w:color="auto" w:fill="auto"/>
                      <w:lang w:val="zh-CN"/>
                    </w:rPr>
                    <w:t>，</w:t>
                  </w:r>
                  <w:r>
                    <w:rPr>
                      <w:rFonts w:hint="eastAsia" w:ascii="Times New Roman" w:hAnsi="Times New Roman" w:cs="Times New Roman"/>
                      <w:color w:val="auto"/>
                      <w:szCs w:val="21"/>
                      <w:highlight w:val="none"/>
                      <w:lang w:val="en-US" w:eastAsia="zh-CN"/>
                    </w:rPr>
                    <w:t>由</w:t>
                  </w:r>
                  <w:r>
                    <w:rPr>
                      <w:rFonts w:hint="eastAsia" w:cs="Times New Roman"/>
                      <w:color w:val="auto"/>
                      <w:szCs w:val="21"/>
                      <w:highlight w:val="none"/>
                      <w:lang w:val="en-US" w:eastAsia="zh-CN"/>
                    </w:rPr>
                    <w:t>15</w:t>
                  </w:r>
                  <w:r>
                    <w:rPr>
                      <w:rFonts w:hint="default" w:ascii="Times New Roman" w:hAnsi="Times New Roman" w:cs="Times New Roman"/>
                      <w:color w:val="auto"/>
                      <w:szCs w:val="21"/>
                      <w:highlight w:val="none"/>
                    </w:rPr>
                    <w:t>m高排气筒（DA00</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）排放</w:t>
                  </w:r>
                  <w:r>
                    <w:rPr>
                      <w:rFonts w:hint="eastAsia" w:cs="Times New Roman"/>
                      <w:color w:val="auto"/>
                      <w:szCs w:val="21"/>
                      <w:highlight w:val="none"/>
                      <w:lang w:eastAsia="zh-CN"/>
                    </w:rPr>
                    <w:t>。</w:t>
                  </w:r>
                  <w:r>
                    <w:rPr>
                      <w:rFonts w:hint="default" w:ascii="Times New Roman" w:hAnsi="Times New Roman"/>
                      <w:color w:val="auto"/>
                      <w:kern w:val="0"/>
                      <w:highlight w:val="none"/>
                    </w:rPr>
                    <w:t>风量为</w:t>
                  </w:r>
                  <w:r>
                    <w:rPr>
                      <w:rFonts w:hint="eastAsia"/>
                      <w:color w:val="auto"/>
                      <w:kern w:val="0"/>
                      <w:highlight w:val="none"/>
                      <w:lang w:val="en-US" w:eastAsia="zh-CN"/>
                    </w:rPr>
                    <w:t>20320</w:t>
                  </w:r>
                  <w:r>
                    <w:rPr>
                      <w:rFonts w:hint="default" w:ascii="Times New Roman" w:hAnsi="Times New Roman"/>
                      <w:color w:val="auto"/>
                      <w:kern w:val="0"/>
                      <w:highlight w:val="none"/>
                    </w:rPr>
                    <w:t>m</w:t>
                  </w:r>
                  <w:r>
                    <w:rPr>
                      <w:rFonts w:hint="default" w:ascii="Times New Roman" w:hAnsi="Times New Roman"/>
                      <w:color w:val="auto"/>
                      <w:kern w:val="0"/>
                      <w:highlight w:val="none"/>
                      <w:vertAlign w:val="superscript"/>
                    </w:rPr>
                    <w:t>3</w:t>
                  </w:r>
                  <w:r>
                    <w:rPr>
                      <w:rFonts w:hint="default" w:ascii="Times New Roman" w:hAnsi="Times New Roman"/>
                      <w:color w:val="auto"/>
                      <w:kern w:val="0"/>
                      <w:highlight w:val="none"/>
                    </w:rPr>
                    <w:t>/h，</w:t>
                  </w:r>
                  <w:r>
                    <w:rPr>
                      <w:rFonts w:hint="eastAsia"/>
                      <w:color w:val="auto"/>
                      <w:kern w:val="0"/>
                      <w:highlight w:val="none"/>
                      <w:lang w:eastAsia="zh-CN"/>
                    </w:rPr>
                    <w:t>收集效率为</w:t>
                  </w:r>
                  <w:r>
                    <w:rPr>
                      <w:rFonts w:hint="eastAsia"/>
                      <w:color w:val="auto"/>
                      <w:kern w:val="0"/>
                      <w:highlight w:val="none"/>
                      <w:lang w:val="en-US" w:eastAsia="zh-CN"/>
                    </w:rPr>
                    <w:t>90%，吸附</w:t>
                  </w:r>
                  <w:r>
                    <w:rPr>
                      <w:rFonts w:hint="default" w:ascii="Times New Roman" w:hAnsi="Times New Roman"/>
                      <w:color w:val="auto"/>
                      <w:kern w:val="0"/>
                      <w:highlight w:val="none"/>
                    </w:rPr>
                    <w:t>效率为</w:t>
                  </w:r>
                  <w:r>
                    <w:rPr>
                      <w:rFonts w:hint="eastAsia"/>
                      <w:color w:val="auto"/>
                      <w:kern w:val="0"/>
                      <w:highlight w:val="none"/>
                      <w:lang w:val="en-US" w:eastAsia="zh-CN"/>
                    </w:rPr>
                    <w:t>80</w:t>
                  </w:r>
                  <w:r>
                    <w:rPr>
                      <w:rFonts w:hint="default" w:ascii="Times New Roman" w:hAnsi="Times New Roman"/>
                      <w:color w:val="auto"/>
                      <w:kern w:val="0"/>
                      <w:highlight w:val="none"/>
                    </w:rPr>
                    <w:t>%。</w:t>
                  </w:r>
                </w:p>
              </w:tc>
              <w:tc>
                <w:tcPr>
                  <w:tcW w:w="1027" w:type="dxa"/>
                  <w:vAlign w:val="center"/>
                </w:tcPr>
                <w:p w14:paraId="1CD4CA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color w:val="auto"/>
                      <w:kern w:val="0"/>
                      <w:highlight w:val="none"/>
                      <w:lang w:val="en-US" w:eastAsia="zh-CN"/>
                    </w:rPr>
                  </w:pPr>
                  <w:r>
                    <w:rPr>
                      <w:rFonts w:hint="eastAsia"/>
                      <w:color w:val="auto"/>
                      <w:kern w:val="0"/>
                      <w:szCs w:val="21"/>
                      <w:highlight w:val="none"/>
                      <w:lang w:eastAsia="zh-CN"/>
                    </w:rPr>
                    <w:t>新建</w:t>
                  </w:r>
                </w:p>
              </w:tc>
            </w:tr>
            <w:tr w14:paraId="0C0D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Merge w:val="continue"/>
                  <w:vAlign w:val="center"/>
                </w:tcPr>
                <w:p w14:paraId="219178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continue"/>
                  <w:vAlign w:val="center"/>
                </w:tcPr>
                <w:p w14:paraId="25214C0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1298" w:type="dxa"/>
                  <w:vMerge w:val="continue"/>
                  <w:vAlign w:val="center"/>
                </w:tcPr>
                <w:p w14:paraId="79544DD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olor w:val="auto"/>
                      <w:kern w:val="0"/>
                      <w:szCs w:val="21"/>
                      <w:highlight w:val="none"/>
                      <w:lang w:eastAsia="zh-CN"/>
                    </w:rPr>
                  </w:pPr>
                </w:p>
              </w:tc>
              <w:tc>
                <w:tcPr>
                  <w:tcW w:w="4960" w:type="dxa"/>
                  <w:vAlign w:val="center"/>
                </w:tcPr>
                <w:p w14:paraId="1135FCA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kern w:val="0"/>
                      <w:highlight w:val="none"/>
                      <w:lang w:val="en-US" w:eastAsia="zh-CN"/>
                    </w:rPr>
                  </w:pPr>
                  <w:r>
                    <w:rPr>
                      <w:rFonts w:hint="eastAsia"/>
                      <w:color w:val="auto"/>
                      <w:kern w:val="0"/>
                      <w:highlight w:val="none"/>
                      <w:lang w:val="en-US" w:eastAsia="zh-CN"/>
                    </w:rPr>
                    <w:t>无组织废气经车间内排气扇抽排至室外。</w:t>
                  </w:r>
                </w:p>
              </w:tc>
              <w:tc>
                <w:tcPr>
                  <w:tcW w:w="1027" w:type="dxa"/>
                  <w:vAlign w:val="center"/>
                </w:tcPr>
                <w:p w14:paraId="4DF4AB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olor w:val="auto"/>
                      <w:kern w:val="0"/>
                      <w:highlight w:val="none"/>
                      <w:lang w:val="en-US" w:eastAsia="zh-CN"/>
                    </w:rPr>
                  </w:pPr>
                  <w:r>
                    <w:rPr>
                      <w:rFonts w:hint="eastAsia"/>
                      <w:color w:val="auto"/>
                      <w:kern w:val="0"/>
                      <w:highlight w:val="none"/>
                      <w:lang w:val="en-US" w:eastAsia="zh-CN"/>
                    </w:rPr>
                    <w:t>新建</w:t>
                  </w:r>
                </w:p>
              </w:tc>
            </w:tr>
            <w:tr w14:paraId="2163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9" w:type="dxa"/>
                  <w:vMerge w:val="continue"/>
                  <w:vAlign w:val="center"/>
                </w:tcPr>
                <w:p w14:paraId="09FF58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restart"/>
                  <w:vAlign w:val="center"/>
                </w:tcPr>
                <w:p w14:paraId="35DE58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废水</w:t>
                  </w:r>
                </w:p>
              </w:tc>
              <w:tc>
                <w:tcPr>
                  <w:tcW w:w="1298" w:type="dxa"/>
                  <w:vMerge w:val="restart"/>
                  <w:vAlign w:val="center"/>
                </w:tcPr>
                <w:p w14:paraId="650DB8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Cs w:val="21"/>
                      <w:highlight w:val="none"/>
                      <w:lang w:val="en-US" w:eastAsia="zh-CN"/>
                    </w:rPr>
                  </w:pPr>
                  <w:r>
                    <w:rPr>
                      <w:rFonts w:hint="eastAsia"/>
                      <w:color w:val="auto"/>
                      <w:kern w:val="0"/>
                      <w:szCs w:val="21"/>
                      <w:highlight w:val="none"/>
                      <w:lang w:val="en-US" w:eastAsia="zh-CN"/>
                    </w:rPr>
                    <w:t>生活污水</w:t>
                  </w:r>
                </w:p>
              </w:tc>
              <w:tc>
                <w:tcPr>
                  <w:tcW w:w="4960" w:type="dxa"/>
                  <w:vAlign w:val="center"/>
                </w:tcPr>
                <w:p w14:paraId="52E78C5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kern w:val="0"/>
                      <w:highlight w:val="none"/>
                      <w:lang w:val="en-US" w:eastAsia="zh-CN"/>
                    </w:rPr>
                  </w:pPr>
                  <w:r>
                    <w:rPr>
                      <w:rFonts w:hint="eastAsia"/>
                      <w:color w:val="auto"/>
                      <w:kern w:val="0"/>
                      <w:highlight w:val="none"/>
                      <w:lang w:val="en-US" w:eastAsia="zh-CN"/>
                    </w:rPr>
                    <w:t>依托综合楼南侧已配套建设的1个容积为5m</w:t>
                  </w:r>
                  <w:r>
                    <w:rPr>
                      <w:rFonts w:hint="eastAsia"/>
                      <w:color w:val="auto"/>
                      <w:kern w:val="0"/>
                      <w:highlight w:val="none"/>
                      <w:vertAlign w:val="superscript"/>
                      <w:lang w:val="en-US" w:eastAsia="zh-CN"/>
                    </w:rPr>
                    <w:t>3</w:t>
                  </w:r>
                  <w:r>
                    <w:rPr>
                      <w:rFonts w:hint="eastAsia"/>
                      <w:color w:val="auto"/>
                      <w:kern w:val="0"/>
                      <w:highlight w:val="none"/>
                      <w:lang w:val="en-US" w:eastAsia="zh-CN"/>
                    </w:rPr>
                    <w:t>的化粪池，用于员工生活污水预处理。</w:t>
                  </w:r>
                </w:p>
              </w:tc>
              <w:tc>
                <w:tcPr>
                  <w:tcW w:w="1027" w:type="dxa"/>
                  <w:vAlign w:val="center"/>
                </w:tcPr>
                <w:p w14:paraId="77938F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依托寻甸荣禾工贸有限公司已建</w:t>
                  </w:r>
                </w:p>
              </w:tc>
            </w:tr>
            <w:tr w14:paraId="765F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9" w:type="dxa"/>
                  <w:vMerge w:val="continue"/>
                  <w:vAlign w:val="center"/>
                </w:tcPr>
                <w:p w14:paraId="4BD4E8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continue"/>
                  <w:vAlign w:val="center"/>
                </w:tcPr>
                <w:p w14:paraId="0BA063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1298" w:type="dxa"/>
                  <w:vMerge w:val="continue"/>
                  <w:vAlign w:val="center"/>
                </w:tcPr>
                <w:p w14:paraId="21C2E5EF">
                  <w:pPr>
                    <w:keepNext w:val="0"/>
                    <w:keepLines w:val="0"/>
                    <w:widowControl/>
                    <w:suppressLineNumbers w:val="0"/>
                    <w:adjustRightInd w:val="0"/>
                    <w:snapToGrid w:val="0"/>
                    <w:spacing w:before="0" w:beforeAutospacing="0" w:after="0" w:afterAutospacing="0"/>
                    <w:ind w:left="0" w:right="0"/>
                    <w:jc w:val="center"/>
                    <w:rPr>
                      <w:rFonts w:hint="eastAsia"/>
                      <w:color w:val="auto"/>
                      <w:kern w:val="0"/>
                      <w:szCs w:val="21"/>
                      <w:highlight w:val="none"/>
                      <w:lang w:val="en-US" w:eastAsia="zh-CN"/>
                    </w:rPr>
                  </w:pPr>
                </w:p>
              </w:tc>
              <w:tc>
                <w:tcPr>
                  <w:tcW w:w="4960" w:type="dxa"/>
                  <w:vAlign w:val="center"/>
                </w:tcPr>
                <w:p w14:paraId="25C0F243">
                  <w:pPr>
                    <w:keepNext w:val="0"/>
                    <w:keepLines w:val="0"/>
                    <w:widowControl/>
                    <w:suppressLineNumbers w:val="0"/>
                    <w:adjustRightInd w:val="0"/>
                    <w:snapToGrid w:val="0"/>
                    <w:spacing w:before="0" w:beforeAutospacing="0" w:after="0" w:afterAutospacing="0"/>
                    <w:ind w:left="0" w:leftChars="0" w:right="0" w:rightChars="0"/>
                    <w:jc w:val="center"/>
                    <w:rPr>
                      <w:rFonts w:hint="default"/>
                      <w:color w:val="auto"/>
                      <w:kern w:val="0"/>
                      <w:highlight w:val="none"/>
                      <w:lang w:val="en-US" w:eastAsia="zh-CN"/>
                    </w:rPr>
                  </w:pPr>
                  <w:r>
                    <w:rPr>
                      <w:rFonts w:hint="eastAsia"/>
                      <w:color w:val="auto"/>
                      <w:kern w:val="0"/>
                      <w:highlight w:val="none"/>
                      <w:lang w:val="en-US" w:eastAsia="zh-CN"/>
                    </w:rPr>
                    <w:t>依托综合楼外已建的1座处理规</w:t>
                  </w:r>
                  <w:r>
                    <w:rPr>
                      <w:rFonts w:hint="eastAsia"/>
                      <w:color w:val="auto"/>
                      <w:kern w:val="0"/>
                      <w:sz w:val="21"/>
                      <w:szCs w:val="21"/>
                      <w:highlight w:val="none"/>
                      <w:lang w:val="en-US" w:eastAsia="zh-CN"/>
                    </w:rPr>
                    <w:t>模为</w:t>
                  </w:r>
                  <w:r>
                    <w:rPr>
                      <w:rFonts w:hint="eastAsia" w:cs="Times New Roman"/>
                      <w:color w:val="auto"/>
                      <w:sz w:val="21"/>
                      <w:szCs w:val="21"/>
                      <w:highlight w:val="none"/>
                      <w:u w:val="none"/>
                      <w:lang w:val="en-US" w:eastAsia="zh-CN"/>
                    </w:rPr>
                    <w:t>5</w:t>
                  </w:r>
                  <w:r>
                    <w:rPr>
                      <w:rFonts w:hint="default" w:ascii="Times New Roman" w:hAnsi="Times New Roman" w:eastAsia="宋体" w:cs="Times New Roman"/>
                      <w:color w:val="auto"/>
                      <w:sz w:val="21"/>
                      <w:szCs w:val="21"/>
                      <w:highlight w:val="none"/>
                      <w:u w:val="none"/>
                      <w:lang w:val="en-US" w:eastAsia="zh-CN"/>
                    </w:rPr>
                    <w:t>m</w:t>
                  </w:r>
                  <w:r>
                    <w:rPr>
                      <w:rFonts w:hint="default" w:ascii="Times New Roman" w:hAnsi="Times New Roman" w:eastAsia="宋体" w:cs="Times New Roman"/>
                      <w:color w:val="auto"/>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u w:val="none"/>
                      <w:lang w:val="en-US" w:eastAsia="zh-CN"/>
                    </w:rPr>
                    <w:t>/d</w:t>
                  </w:r>
                  <w:r>
                    <w:rPr>
                      <w:rFonts w:hint="eastAsia"/>
                      <w:color w:val="auto"/>
                      <w:kern w:val="0"/>
                      <w:sz w:val="21"/>
                      <w:szCs w:val="21"/>
                      <w:highlight w:val="none"/>
                      <w:lang w:val="en-US" w:eastAsia="zh-CN"/>
                    </w:rPr>
                    <w:t>的污水处理站</w:t>
                  </w:r>
                  <w:r>
                    <w:rPr>
                      <w:rFonts w:hint="eastAsia"/>
                      <w:color w:val="auto"/>
                      <w:kern w:val="0"/>
                      <w:highlight w:val="none"/>
                      <w:lang w:val="en-US" w:eastAsia="zh-CN"/>
                    </w:rPr>
                    <w:t>，用于员工生活污水处理。</w:t>
                  </w:r>
                  <w:r>
                    <w:rPr>
                      <w:rFonts w:hint="eastAsia"/>
                      <w:color w:val="auto"/>
                      <w:kern w:val="0"/>
                      <w:szCs w:val="21"/>
                      <w:highlight w:val="none"/>
                      <w:lang w:val="en-US" w:eastAsia="zh-CN"/>
                    </w:rPr>
                    <w:t>项目生活污水</w:t>
                  </w:r>
                  <w:r>
                    <w:rPr>
                      <w:rFonts w:hint="eastAsia"/>
                      <w:color w:val="auto"/>
                      <w:kern w:val="0"/>
                      <w:highlight w:val="none"/>
                      <w:lang w:val="en-US" w:eastAsia="zh-CN"/>
                    </w:rPr>
                    <w:t>经</w:t>
                  </w:r>
                  <w:r>
                    <w:rPr>
                      <w:rFonts w:hint="default" w:ascii="Times New Roman" w:hAnsi="Times New Roman"/>
                      <w:color w:val="auto"/>
                      <w:kern w:val="0"/>
                      <w:highlight w:val="none"/>
                    </w:rPr>
                    <w:t>处理</w:t>
                  </w:r>
                  <w:r>
                    <w:rPr>
                      <w:rFonts w:hint="eastAsia"/>
                      <w:color w:val="auto"/>
                      <w:kern w:val="0"/>
                      <w:highlight w:val="none"/>
                      <w:lang w:eastAsia="zh-CN"/>
                    </w:rPr>
                    <w:t>达到</w:t>
                  </w:r>
                  <w:r>
                    <w:rPr>
                      <w:rFonts w:hint="default" w:ascii="Times New Roman" w:hAnsi="Times New Roman"/>
                      <w:color w:val="auto"/>
                      <w:kern w:val="0"/>
                      <w:highlight w:val="none"/>
                      <w:lang w:val="en-US" w:eastAsia="zh-CN"/>
                    </w:rPr>
                    <w:t>《城市污水再生利用 城市杂用水水质》（GB/T18920-2020）中的城市绿化、道路清扫、消防、建筑施工标准</w:t>
                  </w:r>
                  <w:r>
                    <w:rPr>
                      <w:rFonts w:hint="default" w:ascii="Times New Roman" w:hAnsi="Times New Roman"/>
                      <w:color w:val="auto"/>
                      <w:kern w:val="0"/>
                      <w:highlight w:val="none"/>
                    </w:rPr>
                    <w:t>后回用于绿化</w:t>
                  </w:r>
                  <w:r>
                    <w:rPr>
                      <w:rFonts w:hint="eastAsia"/>
                      <w:color w:val="auto"/>
                      <w:kern w:val="0"/>
                      <w:highlight w:val="none"/>
                      <w:lang w:eastAsia="zh-CN"/>
                    </w:rPr>
                    <w:t>及道路降尘。</w:t>
                  </w:r>
                </w:p>
              </w:tc>
              <w:tc>
                <w:tcPr>
                  <w:tcW w:w="1027" w:type="dxa"/>
                  <w:vAlign w:val="center"/>
                </w:tcPr>
                <w:p w14:paraId="465AD3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依托寻甸荣禾工贸有限公司已建</w:t>
                  </w:r>
                </w:p>
              </w:tc>
            </w:tr>
            <w:tr w14:paraId="1CE1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Merge w:val="continue"/>
                  <w:vAlign w:val="center"/>
                </w:tcPr>
                <w:p w14:paraId="5196B8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continue"/>
                  <w:vAlign w:val="center"/>
                </w:tcPr>
                <w:p w14:paraId="290D74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1298" w:type="dxa"/>
                  <w:vMerge w:val="continue"/>
                  <w:vAlign w:val="center"/>
                </w:tcPr>
                <w:p w14:paraId="46E81EC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olor w:val="auto"/>
                      <w:kern w:val="0"/>
                      <w:szCs w:val="21"/>
                      <w:highlight w:val="none"/>
                      <w:lang w:eastAsia="zh-CN"/>
                    </w:rPr>
                  </w:pPr>
                </w:p>
              </w:tc>
              <w:tc>
                <w:tcPr>
                  <w:tcW w:w="4960" w:type="dxa"/>
                  <w:vAlign w:val="center"/>
                </w:tcPr>
                <w:p w14:paraId="142EEE34">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color w:val="auto"/>
                      <w:kern w:val="0"/>
                      <w:highlight w:val="none"/>
                    </w:rPr>
                  </w:pPr>
                  <w:r>
                    <w:rPr>
                      <w:rFonts w:hint="eastAsia"/>
                      <w:color w:val="auto"/>
                      <w:kern w:val="0"/>
                      <w:highlight w:val="none"/>
                      <w:lang w:val="en-US" w:eastAsia="zh-CN"/>
                    </w:rPr>
                    <w:t>依托综合楼北侧新建的1个容积为10m</w:t>
                  </w:r>
                  <w:r>
                    <w:rPr>
                      <w:rFonts w:hint="eastAsia"/>
                      <w:color w:val="auto"/>
                      <w:kern w:val="0"/>
                      <w:highlight w:val="none"/>
                      <w:vertAlign w:val="superscript"/>
                      <w:lang w:val="en-US" w:eastAsia="zh-CN"/>
                    </w:rPr>
                    <w:t>3</w:t>
                  </w:r>
                  <w:r>
                    <w:rPr>
                      <w:rFonts w:hint="eastAsia"/>
                      <w:color w:val="auto"/>
                      <w:kern w:val="0"/>
                      <w:highlight w:val="none"/>
                      <w:lang w:val="en-US" w:eastAsia="zh-CN"/>
                    </w:rPr>
                    <w:t>的暂存池，用于收集暂存项目区雨天生活污水。</w:t>
                  </w:r>
                </w:p>
              </w:tc>
              <w:tc>
                <w:tcPr>
                  <w:tcW w:w="1027" w:type="dxa"/>
                  <w:vAlign w:val="center"/>
                </w:tcPr>
                <w:p w14:paraId="1AFDF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color w:val="auto"/>
                      <w:kern w:val="0"/>
                      <w:highlight w:val="none"/>
                    </w:rPr>
                  </w:pPr>
                  <w:r>
                    <w:rPr>
                      <w:rFonts w:hint="eastAsia"/>
                      <w:color w:val="auto"/>
                      <w:kern w:val="0"/>
                      <w:szCs w:val="21"/>
                      <w:highlight w:val="none"/>
                      <w:lang w:val="en-US" w:eastAsia="zh-CN"/>
                    </w:rPr>
                    <w:t>依托寻甸荣禾工贸有限公司已建</w:t>
                  </w:r>
                </w:p>
              </w:tc>
            </w:tr>
            <w:tr w14:paraId="4282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Merge w:val="continue"/>
                  <w:vAlign w:val="center"/>
                </w:tcPr>
                <w:p w14:paraId="19B2C1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restart"/>
                  <w:vAlign w:val="center"/>
                </w:tcPr>
                <w:p w14:paraId="4B30EB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固废</w:t>
                  </w:r>
                </w:p>
              </w:tc>
              <w:tc>
                <w:tcPr>
                  <w:tcW w:w="1298" w:type="dxa"/>
                  <w:vAlign w:val="center"/>
                </w:tcPr>
                <w:p w14:paraId="40DA84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Cs w:val="21"/>
                      <w:highlight w:val="none"/>
                      <w:lang w:val="en-US" w:eastAsia="zh-CN"/>
                    </w:rPr>
                  </w:pPr>
                  <w:r>
                    <w:rPr>
                      <w:rFonts w:hint="eastAsia"/>
                      <w:color w:val="auto"/>
                      <w:kern w:val="0"/>
                      <w:szCs w:val="21"/>
                      <w:highlight w:val="none"/>
                      <w:lang w:val="en-US" w:eastAsia="zh-CN"/>
                    </w:rPr>
                    <w:t>一般固废</w:t>
                  </w:r>
                </w:p>
              </w:tc>
              <w:tc>
                <w:tcPr>
                  <w:tcW w:w="4960" w:type="dxa"/>
                  <w:vAlign w:val="center"/>
                </w:tcPr>
                <w:p w14:paraId="70E968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highlight w:val="none"/>
                    </w:rPr>
                  </w:pPr>
                  <w:r>
                    <w:rPr>
                      <w:rFonts w:hint="default" w:ascii="Times New Roman" w:hAnsi="Times New Roman"/>
                      <w:color w:val="auto"/>
                      <w:kern w:val="0"/>
                      <w:highlight w:val="none"/>
                    </w:rPr>
                    <w:t>项目内设</w:t>
                  </w:r>
                  <w:r>
                    <w:rPr>
                      <w:rFonts w:hint="eastAsia"/>
                      <w:color w:val="auto"/>
                      <w:kern w:val="0"/>
                      <w:highlight w:val="none"/>
                      <w:lang w:val="en-US" w:eastAsia="zh-CN"/>
                    </w:rPr>
                    <w:t>若干大型生活垃圾桶用于暂存</w:t>
                  </w:r>
                  <w:r>
                    <w:rPr>
                      <w:rFonts w:hint="default" w:ascii="Times New Roman" w:hAnsi="Times New Roman"/>
                      <w:color w:val="auto"/>
                      <w:kern w:val="0"/>
                      <w:highlight w:val="none"/>
                    </w:rPr>
                    <w:t>生活垃圾</w:t>
                  </w:r>
                  <w:r>
                    <w:rPr>
                      <w:rFonts w:hint="eastAsia"/>
                      <w:color w:val="auto"/>
                      <w:kern w:val="0"/>
                      <w:highlight w:val="none"/>
                      <w:lang w:eastAsia="zh-CN"/>
                    </w:rPr>
                    <w:t>；</w:t>
                  </w:r>
                  <w:r>
                    <w:rPr>
                      <w:rFonts w:hint="eastAsia"/>
                      <w:color w:val="auto"/>
                      <w:kern w:val="0"/>
                      <w:highlight w:val="none"/>
                      <w:lang w:val="en-US" w:eastAsia="zh-CN"/>
                    </w:rPr>
                    <w:t>厂房内西北侧设置一间一般固废暂存间，建筑面积</w:t>
                  </w:r>
                  <w:r>
                    <w:rPr>
                      <w:rFonts w:hint="eastAsia"/>
                      <w:color w:val="auto"/>
                      <w:kern w:val="0"/>
                      <w:szCs w:val="21"/>
                      <w:highlight w:val="none"/>
                      <w:lang w:val="en-US" w:eastAsia="zh-CN"/>
                    </w:rPr>
                    <w:t>5m</w:t>
                  </w:r>
                  <w:r>
                    <w:rPr>
                      <w:rFonts w:hint="eastAsia"/>
                      <w:color w:val="auto"/>
                      <w:kern w:val="0"/>
                      <w:szCs w:val="21"/>
                      <w:highlight w:val="none"/>
                      <w:vertAlign w:val="superscript"/>
                      <w:lang w:val="en-US" w:eastAsia="zh-CN"/>
                    </w:rPr>
                    <w:t>2</w:t>
                  </w:r>
                  <w:r>
                    <w:rPr>
                      <w:rFonts w:hint="eastAsia"/>
                      <w:color w:val="auto"/>
                      <w:kern w:val="0"/>
                      <w:szCs w:val="21"/>
                      <w:highlight w:val="none"/>
                      <w:vertAlign w:val="baseline"/>
                      <w:lang w:val="en-US" w:eastAsia="zh-CN"/>
                    </w:rPr>
                    <w:t>，用来暂存</w:t>
                  </w:r>
                  <w:r>
                    <w:rPr>
                      <w:rFonts w:hint="eastAsia" w:cs="宋体"/>
                      <w:color w:val="auto"/>
                      <w:szCs w:val="21"/>
                      <w:highlight w:val="none"/>
                      <w:lang w:val="en-US" w:eastAsia="zh-CN"/>
                    </w:rPr>
                    <w:t>不合格品</w:t>
                  </w:r>
                  <w:r>
                    <w:rPr>
                      <w:rFonts w:hint="eastAsia" w:ascii="Times New Roman" w:hAnsi="Times New Roman" w:eastAsia="宋体" w:cs="宋体"/>
                      <w:color w:val="auto"/>
                      <w:szCs w:val="21"/>
                      <w:highlight w:val="none"/>
                      <w:lang w:val="en-US" w:eastAsia="zh-CN"/>
                    </w:rPr>
                    <w:t>、</w:t>
                  </w:r>
                  <w:r>
                    <w:rPr>
                      <w:rFonts w:hint="eastAsia" w:cs="Times New Roman"/>
                      <w:b w:val="0"/>
                      <w:bCs/>
                      <w:snapToGrid w:val="0"/>
                      <w:color w:val="auto"/>
                      <w:kern w:val="0"/>
                      <w:sz w:val="21"/>
                      <w:szCs w:val="21"/>
                      <w:highlight w:val="none"/>
                      <w:vertAlign w:val="baseline"/>
                      <w:lang w:val="en-US" w:eastAsia="zh-CN" w:bidi="ar-SA"/>
                    </w:rPr>
                    <w:t>废边角料等一般固废，</w:t>
                  </w:r>
                  <w:r>
                    <w:rPr>
                      <w:rFonts w:hint="eastAsia"/>
                      <w:color w:val="auto"/>
                      <w:kern w:val="0"/>
                      <w:highlight w:val="none"/>
                      <w:lang w:val="en-US" w:eastAsia="zh-CN"/>
                    </w:rPr>
                    <w:t>定期委托环卫部门清运处置</w:t>
                  </w:r>
                  <w:r>
                    <w:rPr>
                      <w:rFonts w:hint="default" w:ascii="Times New Roman" w:hAnsi="Times New Roman"/>
                      <w:color w:val="auto"/>
                      <w:kern w:val="0"/>
                      <w:highlight w:val="none"/>
                    </w:rPr>
                    <w:t>。</w:t>
                  </w:r>
                </w:p>
              </w:tc>
              <w:tc>
                <w:tcPr>
                  <w:tcW w:w="1027" w:type="dxa"/>
                  <w:vAlign w:val="center"/>
                </w:tcPr>
                <w:p w14:paraId="7BAEF0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olor w:val="auto"/>
                      <w:kern w:val="0"/>
                      <w:highlight w:val="none"/>
                    </w:rPr>
                  </w:pPr>
                  <w:r>
                    <w:rPr>
                      <w:rFonts w:hint="eastAsia"/>
                      <w:color w:val="auto"/>
                      <w:kern w:val="0"/>
                      <w:szCs w:val="21"/>
                      <w:highlight w:val="none"/>
                      <w:lang w:eastAsia="zh-CN"/>
                    </w:rPr>
                    <w:t>新建</w:t>
                  </w:r>
                </w:p>
              </w:tc>
            </w:tr>
            <w:tr w14:paraId="41A5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9" w:type="dxa"/>
                  <w:vMerge w:val="continue"/>
                  <w:vAlign w:val="center"/>
                </w:tcPr>
                <w:p w14:paraId="48470B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Merge w:val="continue"/>
                  <w:vAlign w:val="center"/>
                </w:tcPr>
                <w:p w14:paraId="7970944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1298" w:type="dxa"/>
                  <w:vAlign w:val="center"/>
                </w:tcPr>
                <w:p w14:paraId="37B4D96D">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olor w:val="auto"/>
                      <w:kern w:val="0"/>
                      <w:szCs w:val="21"/>
                      <w:highlight w:val="none"/>
                      <w:lang w:eastAsia="zh-CN"/>
                    </w:rPr>
                  </w:pPr>
                  <w:r>
                    <w:rPr>
                      <w:rFonts w:hint="eastAsia"/>
                      <w:color w:val="auto"/>
                      <w:kern w:val="0"/>
                      <w:szCs w:val="21"/>
                      <w:highlight w:val="none"/>
                      <w:lang w:val="en-US" w:eastAsia="zh-CN"/>
                    </w:rPr>
                    <w:t>危险废物</w:t>
                  </w:r>
                </w:p>
              </w:tc>
              <w:tc>
                <w:tcPr>
                  <w:tcW w:w="4960" w:type="dxa"/>
                  <w:vAlign w:val="center"/>
                </w:tcPr>
                <w:p w14:paraId="648B9F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highlight w:val="none"/>
                    </w:rPr>
                  </w:pPr>
                  <w:r>
                    <w:rPr>
                      <w:rFonts w:hint="eastAsia"/>
                      <w:color w:val="auto"/>
                      <w:kern w:val="0"/>
                      <w:szCs w:val="21"/>
                      <w:highlight w:val="none"/>
                      <w:lang w:val="en-US" w:eastAsia="zh-CN"/>
                    </w:rPr>
                    <w:t>成品堆放区东北侧设1间5m</w:t>
                  </w:r>
                  <w:r>
                    <w:rPr>
                      <w:rFonts w:hint="eastAsia"/>
                      <w:color w:val="auto"/>
                      <w:kern w:val="0"/>
                      <w:szCs w:val="21"/>
                      <w:highlight w:val="none"/>
                      <w:vertAlign w:val="superscript"/>
                      <w:lang w:val="en-US" w:eastAsia="zh-CN"/>
                    </w:rPr>
                    <w:t>2</w:t>
                  </w:r>
                  <w:r>
                    <w:rPr>
                      <w:rFonts w:hint="eastAsia"/>
                      <w:color w:val="auto"/>
                      <w:kern w:val="0"/>
                      <w:szCs w:val="21"/>
                      <w:highlight w:val="none"/>
                      <w:lang w:val="en-US" w:eastAsia="zh-CN"/>
                    </w:rPr>
                    <w:t>的危险废物暂存间，严格按照《危险废物贮存污染控制标准》（GB18597-2023）的相关要求进行建设；</w:t>
                  </w:r>
                  <w:r>
                    <w:rPr>
                      <w:rFonts w:hint="eastAsia"/>
                      <w:color w:val="auto"/>
                      <w:kern w:val="0"/>
                      <w:highlight w:val="none"/>
                      <w:lang w:val="en-US" w:eastAsia="zh-CN"/>
                    </w:rPr>
                    <w:t>危险废物暂存间内</w:t>
                  </w:r>
                  <w:r>
                    <w:rPr>
                      <w:rFonts w:hint="eastAsia"/>
                      <w:color w:val="auto"/>
                      <w:kern w:val="0"/>
                      <w:szCs w:val="21"/>
                      <w:highlight w:val="none"/>
                      <w:lang w:val="en-US" w:eastAsia="zh-CN"/>
                    </w:rPr>
                    <w:t>设若干危险废物专用收集容器。</w:t>
                  </w:r>
                  <w:r>
                    <w:rPr>
                      <w:rFonts w:hint="eastAsia" w:cs="Times New Roman"/>
                      <w:snapToGrid w:val="0"/>
                      <w:color w:val="auto"/>
                      <w:kern w:val="21"/>
                      <w:szCs w:val="21"/>
                      <w:highlight w:val="none"/>
                      <w:lang w:val="en-US" w:eastAsia="zh-CN"/>
                    </w:rPr>
                    <w:t>废矿物油</w:t>
                  </w:r>
                  <w:r>
                    <w:rPr>
                      <w:rFonts w:hint="eastAsia"/>
                      <w:color w:val="auto"/>
                      <w:kern w:val="0"/>
                      <w:highlight w:val="none"/>
                      <w:lang w:val="en-US" w:eastAsia="zh-CN"/>
                    </w:rPr>
                    <w:t>、废UV灯管、废活性炭等</w:t>
                  </w:r>
                  <w:r>
                    <w:rPr>
                      <w:rFonts w:hint="eastAsia"/>
                      <w:color w:val="auto"/>
                      <w:kern w:val="0"/>
                      <w:szCs w:val="21"/>
                      <w:highlight w:val="none"/>
                      <w:lang w:val="en-US" w:eastAsia="zh-CN"/>
                    </w:rPr>
                    <w:t>危险废料分类收集暂存于危险废物暂存间内，定期委托有资质的单位清运处置。</w:t>
                  </w:r>
                </w:p>
              </w:tc>
              <w:tc>
                <w:tcPr>
                  <w:tcW w:w="1027" w:type="dxa"/>
                  <w:vAlign w:val="center"/>
                </w:tcPr>
                <w:p w14:paraId="66D81C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olor w:val="auto"/>
                      <w:kern w:val="0"/>
                      <w:highlight w:val="none"/>
                      <w:lang w:eastAsia="zh-CN"/>
                    </w:rPr>
                  </w:pPr>
                  <w:r>
                    <w:rPr>
                      <w:rFonts w:hint="eastAsia"/>
                      <w:color w:val="auto"/>
                      <w:kern w:val="0"/>
                      <w:szCs w:val="21"/>
                      <w:highlight w:val="none"/>
                      <w:lang w:eastAsia="zh-CN"/>
                    </w:rPr>
                    <w:t>新建</w:t>
                  </w:r>
                </w:p>
              </w:tc>
            </w:tr>
            <w:tr w14:paraId="64AD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9" w:type="dxa"/>
                  <w:vMerge w:val="continue"/>
                  <w:vAlign w:val="center"/>
                </w:tcPr>
                <w:p w14:paraId="416A99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Align w:val="center"/>
                </w:tcPr>
                <w:p w14:paraId="054D71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噪声</w:t>
                  </w:r>
                </w:p>
              </w:tc>
              <w:tc>
                <w:tcPr>
                  <w:tcW w:w="1298" w:type="dxa"/>
                  <w:vAlign w:val="center"/>
                </w:tcPr>
                <w:p w14:paraId="540141C3">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highlight w:val="none"/>
                    </w:rPr>
                  </w:pPr>
                  <w:r>
                    <w:rPr>
                      <w:rFonts w:hint="eastAsia" w:ascii="Times New Roman" w:hAnsi="Times New Roman"/>
                      <w:color w:val="auto"/>
                      <w:highlight w:val="none"/>
                    </w:rPr>
                    <w:t>基础</w:t>
                  </w:r>
                  <w:r>
                    <w:rPr>
                      <w:rFonts w:hint="default" w:ascii="Times New Roman" w:hAnsi="Times New Roman"/>
                      <w:color w:val="auto"/>
                      <w:highlight w:val="none"/>
                    </w:rPr>
                    <w:t>减震</w:t>
                  </w:r>
                </w:p>
              </w:tc>
              <w:tc>
                <w:tcPr>
                  <w:tcW w:w="4960" w:type="dxa"/>
                  <w:vAlign w:val="center"/>
                </w:tcPr>
                <w:p w14:paraId="77A073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highlight w:val="none"/>
                    </w:rPr>
                  </w:pPr>
                  <w:r>
                    <w:rPr>
                      <w:rFonts w:hint="eastAsia"/>
                      <w:color w:val="auto"/>
                      <w:kern w:val="0"/>
                      <w:highlight w:val="none"/>
                      <w:lang w:val="en-US" w:eastAsia="zh-CN"/>
                    </w:rPr>
                    <w:t>设备安装基础减震，将设备置于房间内</w:t>
                  </w:r>
                  <w:r>
                    <w:rPr>
                      <w:rFonts w:hint="default" w:ascii="Times New Roman" w:hAnsi="Times New Roman"/>
                      <w:color w:val="auto"/>
                      <w:kern w:val="0"/>
                      <w:highlight w:val="none"/>
                    </w:rPr>
                    <w:t>。</w:t>
                  </w:r>
                </w:p>
              </w:tc>
              <w:tc>
                <w:tcPr>
                  <w:tcW w:w="1027" w:type="dxa"/>
                  <w:vAlign w:val="center"/>
                </w:tcPr>
                <w:p w14:paraId="787441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olor w:val="auto"/>
                      <w:kern w:val="0"/>
                      <w:highlight w:val="none"/>
                    </w:rPr>
                  </w:pPr>
                  <w:r>
                    <w:rPr>
                      <w:rFonts w:hint="eastAsia"/>
                      <w:color w:val="auto"/>
                      <w:kern w:val="0"/>
                      <w:szCs w:val="21"/>
                      <w:highlight w:val="none"/>
                      <w:lang w:eastAsia="zh-CN"/>
                    </w:rPr>
                    <w:t>新建</w:t>
                  </w:r>
                </w:p>
              </w:tc>
            </w:tr>
            <w:tr w14:paraId="4FCA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79" w:type="dxa"/>
                  <w:vMerge w:val="continue"/>
                  <w:vAlign w:val="center"/>
                </w:tcPr>
                <w:p w14:paraId="7F0E2A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0"/>
                      <w:szCs w:val="21"/>
                      <w:highlight w:val="none"/>
                    </w:rPr>
                  </w:pPr>
                </w:p>
              </w:tc>
              <w:tc>
                <w:tcPr>
                  <w:tcW w:w="426" w:type="dxa"/>
                  <w:vAlign w:val="center"/>
                </w:tcPr>
                <w:p w14:paraId="4787E34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olor w:val="auto"/>
                      <w:kern w:val="0"/>
                      <w:szCs w:val="21"/>
                      <w:highlight w:val="none"/>
                      <w:lang w:val="en-US" w:eastAsia="zh-CN"/>
                    </w:rPr>
                  </w:pPr>
                  <w:r>
                    <w:rPr>
                      <w:rFonts w:hint="eastAsia"/>
                      <w:color w:val="auto"/>
                      <w:kern w:val="0"/>
                      <w:szCs w:val="21"/>
                      <w:highlight w:val="none"/>
                      <w:lang w:val="en-US" w:eastAsia="zh-CN"/>
                    </w:rPr>
                    <w:t>环境风险</w:t>
                  </w:r>
                </w:p>
              </w:tc>
              <w:tc>
                <w:tcPr>
                  <w:tcW w:w="1298" w:type="dxa"/>
                  <w:vAlign w:val="center"/>
                </w:tcPr>
                <w:p w14:paraId="64FC95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风险防控</w:t>
                  </w:r>
                </w:p>
              </w:tc>
              <w:tc>
                <w:tcPr>
                  <w:tcW w:w="4960" w:type="dxa"/>
                  <w:vAlign w:val="center"/>
                </w:tcPr>
                <w:p w14:paraId="126CCBCA">
                  <w:pPr>
                    <w:keepNext w:val="0"/>
                    <w:keepLines w:val="0"/>
                    <w:widowControl/>
                    <w:suppressLineNumbers w:val="0"/>
                    <w:adjustRightInd w:val="0"/>
                    <w:snapToGrid w:val="0"/>
                    <w:spacing w:before="0" w:beforeAutospacing="0" w:after="0" w:afterAutospacing="0"/>
                    <w:ind w:left="0" w:right="0"/>
                    <w:jc w:val="center"/>
                    <w:rPr>
                      <w:rFonts w:hint="default"/>
                      <w:color w:val="auto"/>
                      <w:kern w:val="0"/>
                      <w:highlight w:val="none"/>
                      <w:lang w:val="en-US" w:eastAsia="zh-CN"/>
                    </w:rPr>
                  </w:pPr>
                  <w:r>
                    <w:rPr>
                      <w:rFonts w:hint="eastAsia"/>
                      <w:color w:val="auto"/>
                      <w:kern w:val="0"/>
                      <w:highlight w:val="none"/>
                      <w:lang w:val="en-US" w:eastAsia="zh-CN"/>
                    </w:rPr>
                    <w:t>建设一座事故应急池，有效容积不少于15m</w:t>
                  </w:r>
                  <w:r>
                    <w:rPr>
                      <w:rFonts w:hint="eastAsia"/>
                      <w:color w:val="auto"/>
                      <w:kern w:val="0"/>
                      <w:highlight w:val="none"/>
                      <w:vertAlign w:val="superscript"/>
                      <w:lang w:val="en-US" w:eastAsia="zh-CN"/>
                    </w:rPr>
                    <w:t>3</w:t>
                  </w:r>
                  <w:r>
                    <w:rPr>
                      <w:rFonts w:hint="eastAsia"/>
                      <w:color w:val="auto"/>
                      <w:kern w:val="0"/>
                      <w:highlight w:val="none"/>
                      <w:lang w:val="en-US" w:eastAsia="zh-CN"/>
                    </w:rPr>
                    <w:t>，用于储存事故状态下的清消废水。</w:t>
                  </w:r>
                </w:p>
              </w:tc>
              <w:tc>
                <w:tcPr>
                  <w:tcW w:w="1027" w:type="dxa"/>
                  <w:vAlign w:val="center"/>
                </w:tcPr>
                <w:p w14:paraId="4307E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olor w:val="auto"/>
                      <w:kern w:val="0"/>
                      <w:szCs w:val="21"/>
                      <w:highlight w:val="none"/>
                      <w:lang w:eastAsia="zh-CN"/>
                    </w:rPr>
                  </w:pPr>
                  <w:r>
                    <w:rPr>
                      <w:rFonts w:hint="eastAsia"/>
                      <w:color w:val="auto"/>
                      <w:kern w:val="0"/>
                      <w:szCs w:val="21"/>
                      <w:highlight w:val="none"/>
                      <w:lang w:eastAsia="zh-CN"/>
                    </w:rPr>
                    <w:t>新建</w:t>
                  </w:r>
                </w:p>
              </w:tc>
            </w:tr>
          </w:tbl>
          <w:p w14:paraId="0F826D79">
            <w:pPr>
              <w:pStyle w:val="73"/>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lang w:val="en-US" w:eastAsia="zh-CN"/>
              </w:rPr>
            </w:pPr>
            <w:r>
              <w:rPr>
                <w:rFonts w:hint="eastAsia" w:cs="Times New Roman"/>
                <w:b/>
                <w:bCs/>
                <w:color w:val="auto"/>
                <w:lang w:val="en-US" w:eastAsia="zh-CN"/>
              </w:rPr>
              <w:t>3</w:t>
            </w:r>
            <w:r>
              <w:rPr>
                <w:rFonts w:hint="eastAsia" w:ascii="Times New Roman" w:hAnsi="Times New Roman" w:eastAsia="宋体" w:cs="Times New Roman"/>
                <w:b/>
                <w:bCs/>
                <w:color w:val="auto"/>
                <w:lang w:val="en-US" w:eastAsia="zh-CN"/>
              </w:rPr>
              <w:t>、</w:t>
            </w:r>
            <w:r>
              <w:rPr>
                <w:rFonts w:hint="default" w:ascii="Times New Roman" w:hAnsi="Times New Roman" w:eastAsia="宋体" w:cs="Times New Roman"/>
                <w:b/>
                <w:bCs/>
                <w:color w:val="auto"/>
                <w:lang w:val="en-US" w:eastAsia="zh-CN"/>
              </w:rPr>
              <w:t>产品</w:t>
            </w:r>
            <w:r>
              <w:rPr>
                <w:rFonts w:hint="eastAsia" w:cs="Times New Roman"/>
                <w:b/>
                <w:bCs/>
                <w:color w:val="auto"/>
                <w:lang w:val="en-US" w:eastAsia="zh-CN"/>
              </w:rPr>
              <w:t>方案及规模</w:t>
            </w:r>
          </w:p>
          <w:p w14:paraId="48E37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lang w:val="en-US" w:eastAsia="zh-CN"/>
              </w:rPr>
            </w:pPr>
            <w:bookmarkStart w:id="3" w:name="_Toc14957202"/>
            <w:r>
              <w:rPr>
                <w:rFonts w:hint="eastAsia"/>
                <w:color w:val="auto"/>
                <w:sz w:val="24"/>
                <w:szCs w:val="24"/>
                <w:lang w:val="en-US" w:eastAsia="zh-CN"/>
              </w:rPr>
              <w:t>项目年产450万张</w:t>
            </w:r>
            <w:r>
              <w:rPr>
                <w:rFonts w:hint="eastAsia" w:ascii="Times New Roman" w:hAnsi="Times New Roman" w:eastAsia="宋体" w:cs="宋体"/>
                <w:color w:val="auto"/>
                <w:sz w:val="24"/>
                <w:szCs w:val="24"/>
                <w:lang w:val="en-US" w:eastAsia="zh-CN"/>
              </w:rPr>
              <w:t>三聚氰胺</w:t>
            </w:r>
            <w:r>
              <w:rPr>
                <w:rFonts w:hint="eastAsia" w:cs="宋体"/>
                <w:color w:val="auto"/>
                <w:sz w:val="24"/>
                <w:szCs w:val="24"/>
                <w:lang w:val="en-US" w:eastAsia="zh-CN"/>
              </w:rPr>
              <w:t>浸渍纸，产品主要用于家具板材贴面</w:t>
            </w:r>
            <w:r>
              <w:rPr>
                <w:rFonts w:hint="eastAsia"/>
                <w:color w:val="auto"/>
                <w:sz w:val="24"/>
                <w:szCs w:val="24"/>
                <w:lang w:val="en-US" w:eastAsia="zh-CN"/>
              </w:rPr>
              <w:t>，产品方案见下表。</w:t>
            </w:r>
          </w:p>
          <w:p w14:paraId="6DBA6C2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-2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项目</w:t>
            </w:r>
            <w:r>
              <w:rPr>
                <w:rFonts w:hint="default" w:ascii="Times New Roman" w:hAnsi="Times New Roman" w:eastAsia="宋体" w:cs="Times New Roman"/>
                <w:b/>
                <w:bCs/>
                <w:color w:val="auto"/>
                <w:szCs w:val="21"/>
                <w:highlight w:val="none"/>
                <w:lang w:val="en-US" w:eastAsia="zh-CN"/>
              </w:rPr>
              <w:t>产品方案</w:t>
            </w:r>
            <w:r>
              <w:rPr>
                <w:rFonts w:hint="default" w:ascii="Times New Roman" w:hAnsi="Times New Roman" w:eastAsia="宋体" w:cs="Times New Roman"/>
                <w:b/>
                <w:bCs/>
                <w:color w:val="auto"/>
                <w:szCs w:val="21"/>
                <w:highlight w:val="none"/>
              </w:rPr>
              <w:t>一览表</w:t>
            </w:r>
          </w:p>
          <w:tbl>
            <w:tblPr>
              <w:tblStyle w:val="30"/>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511"/>
              <w:gridCol w:w="2159"/>
              <w:gridCol w:w="1557"/>
              <w:gridCol w:w="2519"/>
            </w:tblGrid>
            <w:tr w14:paraId="7AD1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47" w:type="dxa"/>
                  <w:vAlign w:val="center"/>
                </w:tcPr>
                <w:p w14:paraId="3D182B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511" w:type="dxa"/>
                  <w:vAlign w:val="center"/>
                </w:tcPr>
                <w:p w14:paraId="54898F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产品名称</w:t>
                  </w:r>
                </w:p>
              </w:tc>
              <w:tc>
                <w:tcPr>
                  <w:tcW w:w="2159" w:type="dxa"/>
                  <w:vAlign w:val="center"/>
                </w:tcPr>
                <w:p w14:paraId="34DD6E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规格</w:t>
                  </w:r>
                </w:p>
              </w:tc>
              <w:tc>
                <w:tcPr>
                  <w:tcW w:w="1557" w:type="dxa"/>
                  <w:vAlign w:val="center"/>
                </w:tcPr>
                <w:p w14:paraId="440F2C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年产量</w:t>
                  </w:r>
                </w:p>
              </w:tc>
              <w:tc>
                <w:tcPr>
                  <w:tcW w:w="2519" w:type="dxa"/>
                  <w:vAlign w:val="center"/>
                </w:tcPr>
                <w:p w14:paraId="4226A1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备注</w:t>
                  </w:r>
                </w:p>
              </w:tc>
            </w:tr>
            <w:tr w14:paraId="060E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47" w:type="dxa"/>
                  <w:vAlign w:val="center"/>
                </w:tcPr>
                <w:p w14:paraId="7A5760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1511" w:type="dxa"/>
                  <w:vAlign w:val="center"/>
                </w:tcPr>
                <w:p w14:paraId="5F1975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三聚氰胺浸渍纸</w:t>
                  </w:r>
                </w:p>
              </w:tc>
              <w:tc>
                <w:tcPr>
                  <w:tcW w:w="2159" w:type="dxa"/>
                  <w:vAlign w:val="center"/>
                </w:tcPr>
                <w:p w14:paraId="77E98999">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248cmx125cmx0.2mm</w:t>
                  </w:r>
                </w:p>
              </w:tc>
              <w:tc>
                <w:tcPr>
                  <w:tcW w:w="1557" w:type="dxa"/>
                  <w:vAlign w:val="center"/>
                </w:tcPr>
                <w:p w14:paraId="333CA6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450万张</w:t>
                  </w:r>
                </w:p>
              </w:tc>
              <w:tc>
                <w:tcPr>
                  <w:tcW w:w="2519" w:type="dxa"/>
                  <w:vAlign w:val="center"/>
                </w:tcPr>
                <w:p w14:paraId="5DEE7D81">
                  <w:pPr>
                    <w:keepNext w:val="0"/>
                    <w:keepLines w:val="0"/>
                    <w:suppressLineNumbers w:val="0"/>
                    <w:adjustRightInd w:val="0"/>
                    <w:snapToGrid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bookmarkEnd w:id="3"/>
          </w:tbl>
          <w:p w14:paraId="27C48B6D">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b/>
                <w:bCs/>
                <w:color w:val="auto"/>
                <w:lang w:val="en-US" w:eastAsia="zh-CN"/>
              </w:rPr>
            </w:pPr>
            <w:r>
              <w:rPr>
                <w:rFonts w:hint="eastAsia" w:cs="Times New Roman"/>
                <w:b/>
                <w:bCs/>
                <w:color w:val="auto"/>
                <w:lang w:val="en-US" w:eastAsia="zh-CN"/>
              </w:rPr>
              <w:t>4</w:t>
            </w:r>
            <w:r>
              <w:rPr>
                <w:rFonts w:hint="eastAsia" w:ascii="Times New Roman" w:hAnsi="Times New Roman" w:eastAsia="宋体" w:cs="Times New Roman"/>
                <w:b/>
                <w:bCs/>
                <w:color w:val="auto"/>
                <w:lang w:val="en-US" w:eastAsia="zh-CN"/>
              </w:rPr>
              <w:t>、主要生产</w:t>
            </w:r>
            <w:r>
              <w:rPr>
                <w:rFonts w:hint="eastAsia" w:cs="Times New Roman"/>
                <w:b/>
                <w:bCs/>
                <w:color w:val="auto"/>
                <w:lang w:val="en-US" w:eastAsia="zh-CN"/>
              </w:rPr>
              <w:t>设备</w:t>
            </w:r>
            <w:r>
              <w:rPr>
                <w:rFonts w:hint="eastAsia" w:ascii="Times New Roman" w:hAnsi="Times New Roman" w:eastAsia="宋体" w:cs="Times New Roman"/>
                <w:b/>
                <w:bCs/>
                <w:color w:val="auto"/>
                <w:lang w:val="en-US" w:eastAsia="zh-CN"/>
              </w:rPr>
              <w:t>及参数</w:t>
            </w:r>
          </w:p>
          <w:p w14:paraId="38F13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本项目主要设备表见表2</w:t>
            </w:r>
            <w:r>
              <w:rPr>
                <w:rFonts w:hint="eastAsia"/>
                <w:color w:val="auto"/>
                <w:sz w:val="24"/>
                <w:szCs w:val="24"/>
                <w:lang w:val="en-US" w:eastAsia="zh-CN"/>
              </w:rPr>
              <w:t>-3</w:t>
            </w:r>
            <w:r>
              <w:rPr>
                <w:rFonts w:hint="eastAsia" w:ascii="Times New Roman" w:hAnsi="Times New Roman" w:eastAsia="宋体"/>
                <w:color w:val="auto"/>
                <w:sz w:val="24"/>
                <w:szCs w:val="24"/>
                <w:lang w:val="en-US" w:eastAsia="zh-CN"/>
              </w:rPr>
              <w:t>。</w:t>
            </w:r>
          </w:p>
          <w:p w14:paraId="51DB28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表</w:t>
            </w:r>
            <w:r>
              <w:rPr>
                <w:rFonts w:hint="eastAsia"/>
                <w:b/>
                <w:bCs/>
                <w:color w:val="auto"/>
                <w:sz w:val="21"/>
                <w:szCs w:val="21"/>
                <w:lang w:val="en-US" w:eastAsia="zh-CN"/>
              </w:rPr>
              <w:t xml:space="preserve">2-3  </w:t>
            </w:r>
            <w:r>
              <w:rPr>
                <w:rFonts w:hint="eastAsia" w:ascii="Times New Roman" w:hAnsi="Times New Roman" w:eastAsia="宋体"/>
                <w:b/>
                <w:bCs/>
                <w:color w:val="auto"/>
                <w:sz w:val="21"/>
                <w:szCs w:val="21"/>
                <w:lang w:val="en-US" w:eastAsia="zh-CN"/>
              </w:rPr>
              <w:t>本项目主要设备</w:t>
            </w:r>
          </w:p>
          <w:tbl>
            <w:tblPr>
              <w:tblStyle w:val="30"/>
              <w:tblW w:w="8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1904"/>
              <w:gridCol w:w="2458"/>
              <w:gridCol w:w="1451"/>
              <w:gridCol w:w="1812"/>
            </w:tblGrid>
            <w:tr w14:paraId="6CBAB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71ED1E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color w:val="auto"/>
                      <w:szCs w:val="21"/>
                    </w:rPr>
                  </w:pPr>
                  <w:r>
                    <w:rPr>
                      <w:rFonts w:hint="default" w:ascii="Times New Roman" w:hAnsi="Times New Roman"/>
                      <w:b/>
                      <w:color w:val="auto"/>
                      <w:szCs w:val="21"/>
                    </w:rPr>
                    <w:t>序号</w:t>
                  </w:r>
                </w:p>
              </w:tc>
              <w:tc>
                <w:tcPr>
                  <w:tcW w:w="1904" w:type="dxa"/>
                  <w:noWrap w:val="0"/>
                  <w:vAlign w:val="center"/>
                </w:tcPr>
                <w:p w14:paraId="63AC67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color w:val="auto"/>
                      <w:szCs w:val="21"/>
                    </w:rPr>
                  </w:pPr>
                  <w:r>
                    <w:rPr>
                      <w:rFonts w:hint="default" w:ascii="Times New Roman" w:hAnsi="Times New Roman"/>
                      <w:b/>
                      <w:color w:val="auto"/>
                      <w:szCs w:val="21"/>
                    </w:rPr>
                    <w:t>设备名称</w:t>
                  </w:r>
                </w:p>
              </w:tc>
              <w:tc>
                <w:tcPr>
                  <w:tcW w:w="2458" w:type="dxa"/>
                  <w:noWrap w:val="0"/>
                  <w:vAlign w:val="center"/>
                </w:tcPr>
                <w:p w14:paraId="63D2F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color w:val="auto"/>
                      <w:szCs w:val="21"/>
                    </w:rPr>
                  </w:pPr>
                  <w:r>
                    <w:rPr>
                      <w:rFonts w:hint="default" w:ascii="Times New Roman" w:hAnsi="Times New Roman"/>
                      <w:b/>
                      <w:color w:val="auto"/>
                      <w:szCs w:val="21"/>
                    </w:rPr>
                    <w:t>型号</w:t>
                  </w:r>
                  <w:r>
                    <w:rPr>
                      <w:rFonts w:hint="eastAsia" w:ascii="Times New Roman" w:hAnsi="Times New Roman"/>
                      <w:b/>
                      <w:color w:val="auto"/>
                      <w:szCs w:val="21"/>
                    </w:rPr>
                    <w:t>、规格</w:t>
                  </w:r>
                </w:p>
              </w:tc>
              <w:tc>
                <w:tcPr>
                  <w:tcW w:w="1451" w:type="dxa"/>
                  <w:noWrap w:val="0"/>
                  <w:vAlign w:val="center"/>
                </w:tcPr>
                <w:p w14:paraId="26E12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color w:val="auto"/>
                      <w:szCs w:val="21"/>
                    </w:rPr>
                  </w:pPr>
                  <w:r>
                    <w:rPr>
                      <w:rFonts w:hint="default" w:ascii="Times New Roman" w:hAnsi="Times New Roman"/>
                      <w:b/>
                      <w:color w:val="auto"/>
                      <w:szCs w:val="21"/>
                    </w:rPr>
                    <w:t>数量</w:t>
                  </w:r>
                </w:p>
              </w:tc>
              <w:tc>
                <w:tcPr>
                  <w:tcW w:w="1812" w:type="dxa"/>
                  <w:noWrap w:val="0"/>
                  <w:vAlign w:val="center"/>
                </w:tcPr>
                <w:p w14:paraId="4CB4CF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b/>
                      <w:color w:val="auto"/>
                      <w:szCs w:val="21"/>
                      <w:lang w:eastAsia="zh-CN"/>
                    </w:rPr>
                  </w:pPr>
                  <w:r>
                    <w:rPr>
                      <w:rFonts w:hint="eastAsia"/>
                      <w:b/>
                      <w:color w:val="auto"/>
                      <w:szCs w:val="21"/>
                      <w:lang w:eastAsia="zh-CN"/>
                    </w:rPr>
                    <w:t>单位</w:t>
                  </w:r>
                </w:p>
              </w:tc>
            </w:tr>
            <w:tr w14:paraId="7EE38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765" w:type="dxa"/>
                  <w:noWrap w:val="0"/>
                  <w:vAlign w:val="center"/>
                </w:tcPr>
                <w:p w14:paraId="5F5C5C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1904" w:type="dxa"/>
                  <w:noWrap w:val="0"/>
                  <w:vAlign w:val="center"/>
                </w:tcPr>
                <w:p w14:paraId="0BBB37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宋体"/>
                      <w:b w:val="0"/>
                      <w:bCs w:val="0"/>
                      <w:i w:val="0"/>
                      <w:iCs w:val="0"/>
                      <w:color w:val="auto"/>
                      <w:kern w:val="0"/>
                      <w:sz w:val="21"/>
                      <w:szCs w:val="24"/>
                      <w:u w:val="none"/>
                      <w:lang w:val="en-US" w:eastAsia="zh-CN" w:bidi="ar"/>
                    </w:rPr>
                    <w:t>卧式浸渍烘干一体机</w:t>
                  </w:r>
                </w:p>
              </w:tc>
              <w:tc>
                <w:tcPr>
                  <w:tcW w:w="2458" w:type="dxa"/>
                  <w:noWrap w:val="0"/>
                  <w:vAlign w:val="center"/>
                </w:tcPr>
                <w:p w14:paraId="14C89D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b/>
                      <w:color w:val="auto"/>
                      <w:szCs w:val="21"/>
                      <w:lang w:val="en-US"/>
                    </w:rPr>
                  </w:pPr>
                  <w:r>
                    <w:rPr>
                      <w:rFonts w:hint="eastAsia" w:ascii="Times New Roman" w:hAnsi="Times New Roman" w:eastAsia="宋体"/>
                      <w:b w:val="0"/>
                      <w:bCs w:val="0"/>
                      <w:color w:val="auto"/>
                      <w:sz w:val="21"/>
                      <w:szCs w:val="24"/>
                      <w:lang w:val="en-US" w:eastAsia="zh-CN"/>
                    </w:rPr>
                    <w:t>CF1500-2A</w:t>
                  </w:r>
                </w:p>
              </w:tc>
              <w:tc>
                <w:tcPr>
                  <w:tcW w:w="1451" w:type="dxa"/>
                  <w:noWrap w:val="0"/>
                  <w:vAlign w:val="center"/>
                </w:tcPr>
                <w:p w14:paraId="4FA2B1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宋体"/>
                      <w:b w:val="0"/>
                      <w:bCs w:val="0"/>
                      <w:i w:val="0"/>
                      <w:iCs w:val="0"/>
                      <w:color w:val="auto"/>
                      <w:kern w:val="0"/>
                      <w:sz w:val="21"/>
                      <w:szCs w:val="24"/>
                      <w:u w:val="none"/>
                      <w:lang w:val="en-US" w:eastAsia="zh-CN" w:bidi="ar"/>
                    </w:rPr>
                    <w:t>3</w:t>
                  </w:r>
                </w:p>
              </w:tc>
              <w:tc>
                <w:tcPr>
                  <w:tcW w:w="1812" w:type="dxa"/>
                  <w:noWrap w:val="0"/>
                  <w:vAlign w:val="center"/>
                </w:tcPr>
                <w:p w14:paraId="0270B2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套</w:t>
                  </w:r>
                </w:p>
              </w:tc>
            </w:tr>
            <w:tr w14:paraId="31090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5" w:type="dxa"/>
                  <w:noWrap w:val="0"/>
                  <w:vAlign w:val="center"/>
                </w:tcPr>
                <w:p w14:paraId="3D9624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c>
                <w:tcPr>
                  <w:tcW w:w="1904" w:type="dxa"/>
                  <w:noWrap w:val="0"/>
                  <w:vAlign w:val="center"/>
                </w:tcPr>
                <w:p w14:paraId="1BACE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宋体"/>
                      <w:b w:val="0"/>
                      <w:bCs w:val="0"/>
                      <w:i w:val="0"/>
                      <w:iCs w:val="0"/>
                      <w:color w:val="auto"/>
                      <w:kern w:val="0"/>
                      <w:sz w:val="21"/>
                      <w:szCs w:val="24"/>
                      <w:u w:val="none"/>
                      <w:lang w:val="en-US" w:eastAsia="zh-CN" w:bidi="ar"/>
                    </w:rPr>
                    <w:t>搅拌机</w:t>
                  </w:r>
                </w:p>
              </w:tc>
              <w:tc>
                <w:tcPr>
                  <w:tcW w:w="2458" w:type="dxa"/>
                  <w:noWrap w:val="0"/>
                  <w:vAlign w:val="center"/>
                </w:tcPr>
                <w:p w14:paraId="3EA03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bCs/>
                      <w:color w:val="auto"/>
                      <w:szCs w:val="21"/>
                      <w:lang w:val="en-US" w:eastAsia="zh-CN"/>
                    </w:rPr>
                  </w:pPr>
                  <w:r>
                    <w:rPr>
                      <w:rFonts w:hint="eastAsia" w:ascii="Times New Roman" w:hAnsi="Times New Roman" w:eastAsia="宋体"/>
                      <w:color w:val="auto"/>
                      <w:sz w:val="21"/>
                      <w:szCs w:val="24"/>
                      <w:vertAlign w:val="baseline"/>
                      <w:lang w:val="en-US" w:eastAsia="zh-CN"/>
                    </w:rPr>
                    <w:t>/</w:t>
                  </w:r>
                </w:p>
              </w:tc>
              <w:tc>
                <w:tcPr>
                  <w:tcW w:w="1451" w:type="dxa"/>
                  <w:noWrap w:val="0"/>
                  <w:vAlign w:val="center"/>
                </w:tcPr>
                <w:p w14:paraId="73122C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宋体"/>
                      <w:b w:val="0"/>
                      <w:bCs w:val="0"/>
                      <w:i w:val="0"/>
                      <w:iCs w:val="0"/>
                      <w:color w:val="auto"/>
                      <w:kern w:val="0"/>
                      <w:sz w:val="21"/>
                      <w:szCs w:val="24"/>
                      <w:u w:val="none"/>
                      <w:lang w:val="en-US" w:eastAsia="zh-CN" w:bidi="ar"/>
                    </w:rPr>
                    <w:t>2</w:t>
                  </w:r>
                </w:p>
              </w:tc>
              <w:tc>
                <w:tcPr>
                  <w:tcW w:w="1812" w:type="dxa"/>
                  <w:noWrap w:val="0"/>
                  <w:vAlign w:val="center"/>
                </w:tcPr>
                <w:p w14:paraId="0BFE4E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台</w:t>
                  </w:r>
                </w:p>
              </w:tc>
            </w:tr>
            <w:tr w14:paraId="70987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651EA1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3</w:t>
                  </w:r>
                </w:p>
              </w:tc>
              <w:tc>
                <w:tcPr>
                  <w:tcW w:w="1904" w:type="dxa"/>
                  <w:noWrap w:val="0"/>
                  <w:vAlign w:val="center"/>
                </w:tcPr>
                <w:p w14:paraId="1079181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olor w:val="auto"/>
                      <w:sz w:val="21"/>
                      <w:szCs w:val="24"/>
                      <w:vertAlign w:val="baseline"/>
                      <w:lang w:val="en-US" w:eastAsia="zh-CN"/>
                    </w:rPr>
                    <w:t>污水曝气机</w:t>
                  </w:r>
                </w:p>
              </w:tc>
              <w:tc>
                <w:tcPr>
                  <w:tcW w:w="2458" w:type="dxa"/>
                  <w:noWrap w:val="0"/>
                  <w:vAlign w:val="center"/>
                </w:tcPr>
                <w:p w14:paraId="0F2EDA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bCs/>
                      <w:color w:val="auto"/>
                      <w:szCs w:val="21"/>
                      <w:lang w:val="en-US" w:eastAsia="zh-CN"/>
                    </w:rPr>
                  </w:pPr>
                  <w:r>
                    <w:rPr>
                      <w:rFonts w:hint="eastAsia" w:ascii="Times New Roman" w:hAnsi="Times New Roman" w:eastAsia="宋体"/>
                      <w:color w:val="auto"/>
                      <w:sz w:val="21"/>
                      <w:szCs w:val="24"/>
                      <w:vertAlign w:val="baseline"/>
                      <w:lang w:val="en-US" w:eastAsia="zh-CN"/>
                    </w:rPr>
                    <w:t>/</w:t>
                  </w:r>
                </w:p>
              </w:tc>
              <w:tc>
                <w:tcPr>
                  <w:tcW w:w="1451" w:type="dxa"/>
                  <w:noWrap w:val="0"/>
                  <w:vAlign w:val="center"/>
                </w:tcPr>
                <w:p w14:paraId="3878DD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rPr>
                  </w:pPr>
                  <w:r>
                    <w:rPr>
                      <w:rFonts w:hint="eastAsia" w:cs="宋体"/>
                      <w:b w:val="0"/>
                      <w:bCs w:val="0"/>
                      <w:i w:val="0"/>
                      <w:iCs w:val="0"/>
                      <w:color w:val="auto"/>
                      <w:kern w:val="0"/>
                      <w:sz w:val="21"/>
                      <w:szCs w:val="24"/>
                      <w:u w:val="none"/>
                      <w:lang w:val="en-US" w:eastAsia="zh-CN" w:bidi="ar"/>
                    </w:rPr>
                    <w:t>2</w:t>
                  </w:r>
                </w:p>
              </w:tc>
              <w:tc>
                <w:tcPr>
                  <w:tcW w:w="1812" w:type="dxa"/>
                  <w:noWrap w:val="0"/>
                  <w:vAlign w:val="center"/>
                </w:tcPr>
                <w:p w14:paraId="7A4DBF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台</w:t>
                  </w:r>
                </w:p>
              </w:tc>
            </w:tr>
            <w:tr w14:paraId="66C7E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416299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4</w:t>
                  </w:r>
                </w:p>
              </w:tc>
              <w:tc>
                <w:tcPr>
                  <w:tcW w:w="1904" w:type="dxa"/>
                  <w:noWrap w:val="0"/>
                  <w:vAlign w:val="center"/>
                </w:tcPr>
                <w:p w14:paraId="3B0C15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sz w:val="21"/>
                      <w:szCs w:val="24"/>
                      <w:vertAlign w:val="baseline"/>
                      <w:lang w:val="en-US" w:eastAsia="zh-CN"/>
                    </w:rPr>
                    <w:t>叉车</w:t>
                  </w:r>
                </w:p>
              </w:tc>
              <w:tc>
                <w:tcPr>
                  <w:tcW w:w="2458" w:type="dxa"/>
                  <w:noWrap w:val="0"/>
                  <w:vAlign w:val="center"/>
                </w:tcPr>
                <w:p w14:paraId="359F0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olor w:val="auto"/>
                      <w:sz w:val="21"/>
                      <w:szCs w:val="24"/>
                      <w:vertAlign w:val="baseline"/>
                      <w:lang w:val="en-US" w:eastAsia="zh-CN"/>
                    </w:rPr>
                    <w:t>/</w:t>
                  </w:r>
                </w:p>
              </w:tc>
              <w:tc>
                <w:tcPr>
                  <w:tcW w:w="1451" w:type="dxa"/>
                  <w:noWrap w:val="0"/>
                  <w:vAlign w:val="center"/>
                </w:tcPr>
                <w:p w14:paraId="3968F7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宋体"/>
                      <w:b w:val="0"/>
                      <w:bCs w:val="0"/>
                      <w:i w:val="0"/>
                      <w:iCs w:val="0"/>
                      <w:color w:val="auto"/>
                      <w:kern w:val="0"/>
                      <w:sz w:val="21"/>
                      <w:szCs w:val="24"/>
                      <w:u w:val="none"/>
                      <w:lang w:val="en-US" w:eastAsia="zh-CN" w:bidi="ar"/>
                    </w:rPr>
                    <w:t>3</w:t>
                  </w:r>
                </w:p>
              </w:tc>
              <w:tc>
                <w:tcPr>
                  <w:tcW w:w="1812" w:type="dxa"/>
                  <w:noWrap w:val="0"/>
                  <w:vAlign w:val="center"/>
                </w:tcPr>
                <w:p w14:paraId="24C627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台</w:t>
                  </w:r>
                </w:p>
              </w:tc>
            </w:tr>
            <w:tr w14:paraId="687FE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23149D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p>
              </w:tc>
              <w:tc>
                <w:tcPr>
                  <w:tcW w:w="1904" w:type="dxa"/>
                  <w:noWrap w:val="0"/>
                  <w:vAlign w:val="center"/>
                </w:tcPr>
                <w:p w14:paraId="427DF06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olor w:val="auto"/>
                      <w:sz w:val="21"/>
                      <w:szCs w:val="24"/>
                      <w:vertAlign w:val="baseline"/>
                      <w:lang w:val="en-US" w:eastAsia="zh-CN"/>
                    </w:rPr>
                  </w:pPr>
                  <w:r>
                    <w:rPr>
                      <w:rFonts w:hint="eastAsia"/>
                      <w:color w:val="auto"/>
                      <w:sz w:val="21"/>
                      <w:szCs w:val="24"/>
                      <w:vertAlign w:val="baseline"/>
                      <w:lang w:val="en-US" w:eastAsia="zh-CN"/>
                    </w:rPr>
                    <w:t>螺杆式空压机</w:t>
                  </w:r>
                </w:p>
              </w:tc>
              <w:tc>
                <w:tcPr>
                  <w:tcW w:w="2458" w:type="dxa"/>
                  <w:noWrap w:val="0"/>
                  <w:vAlign w:val="center"/>
                </w:tcPr>
                <w:p w14:paraId="579CE0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vertAlign w:val="baseline"/>
                      <w:lang w:val="en-US" w:eastAsia="zh-CN"/>
                    </w:rPr>
                  </w:pPr>
                  <w:r>
                    <w:rPr>
                      <w:rFonts w:hint="eastAsia"/>
                      <w:color w:val="auto"/>
                      <w:sz w:val="21"/>
                      <w:szCs w:val="24"/>
                      <w:vertAlign w:val="baseline"/>
                      <w:lang w:val="en-US" w:eastAsia="zh-CN"/>
                    </w:rPr>
                    <w:t>L-30</w:t>
                  </w:r>
                </w:p>
              </w:tc>
              <w:tc>
                <w:tcPr>
                  <w:tcW w:w="1451" w:type="dxa"/>
                  <w:noWrap w:val="0"/>
                  <w:vAlign w:val="center"/>
                </w:tcPr>
                <w:p w14:paraId="5CDCDA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b w:val="0"/>
                      <w:bCs w:val="0"/>
                      <w:i w:val="0"/>
                      <w:iCs w:val="0"/>
                      <w:color w:val="auto"/>
                      <w:kern w:val="0"/>
                      <w:sz w:val="21"/>
                      <w:szCs w:val="24"/>
                      <w:u w:val="none"/>
                      <w:lang w:val="en-US" w:eastAsia="zh-CN" w:bidi="ar"/>
                    </w:rPr>
                  </w:pPr>
                  <w:r>
                    <w:rPr>
                      <w:rFonts w:hint="eastAsia" w:cs="宋体"/>
                      <w:b w:val="0"/>
                      <w:bCs w:val="0"/>
                      <w:i w:val="0"/>
                      <w:iCs w:val="0"/>
                      <w:color w:val="auto"/>
                      <w:kern w:val="0"/>
                      <w:sz w:val="21"/>
                      <w:szCs w:val="24"/>
                      <w:u w:val="none"/>
                      <w:lang w:val="en-US" w:eastAsia="zh-CN" w:bidi="ar"/>
                    </w:rPr>
                    <w:t>1</w:t>
                  </w:r>
                </w:p>
              </w:tc>
              <w:tc>
                <w:tcPr>
                  <w:tcW w:w="1812" w:type="dxa"/>
                  <w:noWrap w:val="0"/>
                  <w:vAlign w:val="center"/>
                </w:tcPr>
                <w:p w14:paraId="20092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台</w:t>
                  </w:r>
                </w:p>
              </w:tc>
            </w:tr>
            <w:tr w14:paraId="645F2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10C48C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w:t>
                  </w:r>
                </w:p>
              </w:tc>
              <w:tc>
                <w:tcPr>
                  <w:tcW w:w="1904" w:type="dxa"/>
                  <w:noWrap w:val="0"/>
                  <w:vAlign w:val="center"/>
                </w:tcPr>
                <w:p w14:paraId="07C5FC3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sz w:val="21"/>
                      <w:szCs w:val="24"/>
                      <w:vertAlign w:val="baseline"/>
                      <w:lang w:val="en-US" w:eastAsia="zh-CN"/>
                    </w:rPr>
                  </w:pPr>
                  <w:r>
                    <w:rPr>
                      <w:rFonts w:hint="eastAsia"/>
                      <w:color w:val="auto"/>
                      <w:sz w:val="21"/>
                      <w:szCs w:val="24"/>
                      <w:vertAlign w:val="baseline"/>
                      <w:lang w:val="en-US" w:eastAsia="zh-CN"/>
                    </w:rPr>
                    <w:t>冷冻室压缩空气干燥器</w:t>
                  </w:r>
                </w:p>
              </w:tc>
              <w:tc>
                <w:tcPr>
                  <w:tcW w:w="2458" w:type="dxa"/>
                  <w:noWrap w:val="0"/>
                  <w:vAlign w:val="center"/>
                </w:tcPr>
                <w:p w14:paraId="2909C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olor w:val="auto"/>
                      <w:sz w:val="21"/>
                      <w:szCs w:val="24"/>
                      <w:vertAlign w:val="baseline"/>
                      <w:lang w:val="en-US" w:eastAsia="zh-CN"/>
                    </w:rPr>
                  </w:pPr>
                  <w:r>
                    <w:rPr>
                      <w:rFonts w:hint="eastAsia"/>
                      <w:color w:val="auto"/>
                      <w:sz w:val="21"/>
                      <w:szCs w:val="24"/>
                      <w:vertAlign w:val="baseline"/>
                      <w:lang w:val="en-US" w:eastAsia="zh-CN"/>
                    </w:rPr>
                    <w:t>CPL40</w:t>
                  </w:r>
                </w:p>
              </w:tc>
              <w:tc>
                <w:tcPr>
                  <w:tcW w:w="1451" w:type="dxa"/>
                  <w:noWrap w:val="0"/>
                  <w:vAlign w:val="center"/>
                </w:tcPr>
                <w:p w14:paraId="40C008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宋体"/>
                      <w:b w:val="0"/>
                      <w:bCs w:val="0"/>
                      <w:i w:val="0"/>
                      <w:iCs w:val="0"/>
                      <w:color w:val="auto"/>
                      <w:kern w:val="0"/>
                      <w:sz w:val="21"/>
                      <w:szCs w:val="24"/>
                      <w:u w:val="none"/>
                      <w:lang w:val="en-US" w:eastAsia="zh-CN" w:bidi="ar"/>
                    </w:rPr>
                  </w:pPr>
                  <w:r>
                    <w:rPr>
                      <w:rFonts w:hint="eastAsia" w:cs="宋体"/>
                      <w:b w:val="0"/>
                      <w:bCs w:val="0"/>
                      <w:i w:val="0"/>
                      <w:iCs w:val="0"/>
                      <w:color w:val="auto"/>
                      <w:kern w:val="0"/>
                      <w:sz w:val="21"/>
                      <w:szCs w:val="24"/>
                      <w:u w:val="none"/>
                      <w:lang w:val="en-US" w:eastAsia="zh-CN" w:bidi="ar"/>
                    </w:rPr>
                    <w:t>1</w:t>
                  </w:r>
                </w:p>
              </w:tc>
              <w:tc>
                <w:tcPr>
                  <w:tcW w:w="1812" w:type="dxa"/>
                  <w:noWrap w:val="0"/>
                  <w:vAlign w:val="center"/>
                </w:tcPr>
                <w:p w14:paraId="4CA20B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台</w:t>
                  </w:r>
                </w:p>
              </w:tc>
            </w:tr>
            <w:tr w14:paraId="0F24F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38714F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7</w:t>
                  </w:r>
                </w:p>
              </w:tc>
              <w:tc>
                <w:tcPr>
                  <w:tcW w:w="1904" w:type="dxa"/>
                  <w:noWrap w:val="0"/>
                  <w:vAlign w:val="center"/>
                </w:tcPr>
                <w:p w14:paraId="31EE04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sz w:val="21"/>
                      <w:szCs w:val="24"/>
                      <w:vertAlign w:val="baseline"/>
                      <w:lang w:val="en-US" w:eastAsia="zh-CN"/>
                    </w:rPr>
                  </w:pPr>
                  <w:r>
                    <w:rPr>
                      <w:rFonts w:hint="eastAsia"/>
                      <w:color w:val="auto"/>
                      <w:sz w:val="21"/>
                      <w:szCs w:val="24"/>
                      <w:vertAlign w:val="baseline"/>
                      <w:lang w:val="en-US" w:eastAsia="zh-CN"/>
                    </w:rPr>
                    <w:t>离心风机</w:t>
                  </w:r>
                </w:p>
              </w:tc>
              <w:tc>
                <w:tcPr>
                  <w:tcW w:w="2458" w:type="dxa"/>
                  <w:noWrap w:val="0"/>
                  <w:vAlign w:val="center"/>
                </w:tcPr>
                <w:p w14:paraId="058061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olor w:val="auto"/>
                      <w:sz w:val="21"/>
                      <w:szCs w:val="24"/>
                      <w:vertAlign w:val="baseline"/>
                      <w:lang w:val="en-US" w:eastAsia="zh-CN"/>
                    </w:rPr>
                  </w:pPr>
                  <w:r>
                    <w:rPr>
                      <w:rFonts w:hint="eastAsia"/>
                      <w:color w:val="auto"/>
                      <w:sz w:val="21"/>
                      <w:szCs w:val="24"/>
                      <w:vertAlign w:val="baseline"/>
                      <w:lang w:val="en-US" w:eastAsia="zh-CN"/>
                    </w:rPr>
                    <w:t>4-72</w:t>
                  </w:r>
                </w:p>
              </w:tc>
              <w:tc>
                <w:tcPr>
                  <w:tcW w:w="1451" w:type="dxa"/>
                  <w:noWrap w:val="0"/>
                  <w:vAlign w:val="center"/>
                </w:tcPr>
                <w:p w14:paraId="42100F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宋体"/>
                      <w:b w:val="0"/>
                      <w:bCs w:val="0"/>
                      <w:i w:val="0"/>
                      <w:iCs w:val="0"/>
                      <w:color w:val="auto"/>
                      <w:kern w:val="0"/>
                      <w:sz w:val="21"/>
                      <w:szCs w:val="24"/>
                      <w:u w:val="none"/>
                      <w:lang w:val="en-US" w:eastAsia="zh-CN" w:bidi="ar"/>
                    </w:rPr>
                  </w:pPr>
                  <w:r>
                    <w:rPr>
                      <w:rFonts w:hint="eastAsia" w:cs="宋体"/>
                      <w:b w:val="0"/>
                      <w:bCs w:val="0"/>
                      <w:i w:val="0"/>
                      <w:iCs w:val="0"/>
                      <w:color w:val="auto"/>
                      <w:kern w:val="0"/>
                      <w:sz w:val="21"/>
                      <w:szCs w:val="24"/>
                      <w:u w:val="none"/>
                      <w:lang w:val="en-US" w:eastAsia="zh-CN" w:bidi="ar"/>
                    </w:rPr>
                    <w:t>1</w:t>
                  </w:r>
                </w:p>
              </w:tc>
              <w:tc>
                <w:tcPr>
                  <w:tcW w:w="1812" w:type="dxa"/>
                  <w:noWrap w:val="0"/>
                  <w:vAlign w:val="center"/>
                </w:tcPr>
                <w:p w14:paraId="2A0FD1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台</w:t>
                  </w:r>
                </w:p>
              </w:tc>
            </w:tr>
            <w:tr w14:paraId="0E3CF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4257A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8</w:t>
                  </w:r>
                </w:p>
              </w:tc>
              <w:tc>
                <w:tcPr>
                  <w:tcW w:w="1904" w:type="dxa"/>
                  <w:noWrap w:val="0"/>
                  <w:vAlign w:val="center"/>
                </w:tcPr>
                <w:p w14:paraId="7D2FEB2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sz w:val="21"/>
                      <w:szCs w:val="24"/>
                      <w:vertAlign w:val="baseline"/>
                      <w:lang w:val="en-US" w:eastAsia="zh-CN"/>
                    </w:rPr>
                  </w:pPr>
                  <w:r>
                    <w:rPr>
                      <w:rFonts w:hint="eastAsia"/>
                      <w:color w:val="auto"/>
                      <w:sz w:val="21"/>
                      <w:szCs w:val="24"/>
                      <w:vertAlign w:val="baseline"/>
                      <w:lang w:val="en-US" w:eastAsia="zh-CN"/>
                    </w:rPr>
                    <w:t>天然气模温机</w:t>
                  </w:r>
                </w:p>
              </w:tc>
              <w:tc>
                <w:tcPr>
                  <w:tcW w:w="2458" w:type="dxa"/>
                  <w:noWrap w:val="0"/>
                  <w:vAlign w:val="center"/>
                </w:tcPr>
                <w:p w14:paraId="6AC1CC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color w:val="auto"/>
                      <w:sz w:val="21"/>
                      <w:szCs w:val="24"/>
                      <w:vertAlign w:val="baseline"/>
                      <w:lang w:val="en-US" w:eastAsia="zh-CN"/>
                    </w:rPr>
                  </w:pPr>
                  <w:r>
                    <w:rPr>
                      <w:rFonts w:hint="eastAsia" w:ascii="Times New Roman" w:hAnsi="Times New Roman" w:eastAsia="宋体"/>
                      <w:color w:val="auto"/>
                      <w:sz w:val="21"/>
                      <w:szCs w:val="24"/>
                      <w:vertAlign w:val="baseline"/>
                      <w:lang w:val="en-US" w:eastAsia="zh-CN"/>
                    </w:rPr>
                    <w:t>/</w:t>
                  </w:r>
                </w:p>
              </w:tc>
              <w:tc>
                <w:tcPr>
                  <w:tcW w:w="1451" w:type="dxa"/>
                  <w:noWrap w:val="0"/>
                  <w:vAlign w:val="center"/>
                </w:tcPr>
                <w:p w14:paraId="3BBBD8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宋体"/>
                      <w:b w:val="0"/>
                      <w:bCs w:val="0"/>
                      <w:i w:val="0"/>
                      <w:iCs w:val="0"/>
                      <w:color w:val="auto"/>
                      <w:kern w:val="0"/>
                      <w:sz w:val="21"/>
                      <w:szCs w:val="24"/>
                      <w:u w:val="none"/>
                      <w:lang w:val="en-US" w:eastAsia="zh-CN" w:bidi="ar"/>
                    </w:rPr>
                  </w:pPr>
                  <w:r>
                    <w:rPr>
                      <w:rFonts w:hint="eastAsia" w:cs="宋体"/>
                      <w:b w:val="0"/>
                      <w:bCs w:val="0"/>
                      <w:i w:val="0"/>
                      <w:iCs w:val="0"/>
                      <w:color w:val="auto"/>
                      <w:kern w:val="0"/>
                      <w:sz w:val="21"/>
                      <w:szCs w:val="24"/>
                      <w:u w:val="none"/>
                      <w:lang w:val="en-US" w:eastAsia="zh-CN" w:bidi="ar"/>
                    </w:rPr>
                    <w:t>3</w:t>
                  </w:r>
                </w:p>
              </w:tc>
              <w:tc>
                <w:tcPr>
                  <w:tcW w:w="1812" w:type="dxa"/>
                  <w:noWrap w:val="0"/>
                  <w:vAlign w:val="center"/>
                </w:tcPr>
                <w:p w14:paraId="3A835A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台</w:t>
                  </w:r>
                </w:p>
              </w:tc>
            </w:tr>
            <w:tr w14:paraId="29074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6AA343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9</w:t>
                  </w:r>
                </w:p>
              </w:tc>
              <w:tc>
                <w:tcPr>
                  <w:tcW w:w="1904" w:type="dxa"/>
                  <w:noWrap w:val="0"/>
                  <w:vAlign w:val="center"/>
                </w:tcPr>
                <w:p w14:paraId="7B0AE5E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sz w:val="21"/>
                      <w:szCs w:val="24"/>
                      <w:vertAlign w:val="baseline"/>
                      <w:lang w:val="en-US" w:eastAsia="zh-CN"/>
                    </w:rPr>
                  </w:pPr>
                  <w:r>
                    <w:rPr>
                      <w:rFonts w:hint="eastAsia"/>
                      <w:color w:val="auto"/>
                      <w:sz w:val="21"/>
                      <w:szCs w:val="24"/>
                      <w:vertAlign w:val="baseline"/>
                      <w:lang w:val="en-US" w:eastAsia="zh-CN"/>
                    </w:rPr>
                    <w:t>储胶罐</w:t>
                  </w:r>
                </w:p>
              </w:tc>
              <w:tc>
                <w:tcPr>
                  <w:tcW w:w="2458" w:type="dxa"/>
                  <w:noWrap w:val="0"/>
                  <w:vAlign w:val="center"/>
                </w:tcPr>
                <w:p w14:paraId="2F783B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olor w:val="auto"/>
                      <w:sz w:val="21"/>
                      <w:szCs w:val="24"/>
                      <w:vertAlign w:val="baseline"/>
                      <w:lang w:val="en-US" w:eastAsia="zh-CN"/>
                    </w:rPr>
                  </w:pPr>
                  <w:r>
                    <w:rPr>
                      <w:rFonts w:hint="eastAsia"/>
                      <w:color w:val="auto"/>
                      <w:sz w:val="21"/>
                      <w:szCs w:val="24"/>
                      <w:vertAlign w:val="baseline"/>
                      <w:lang w:val="en-US" w:eastAsia="zh-CN"/>
                    </w:rPr>
                    <w:t>2</w:t>
                  </w:r>
                  <w:r>
                    <w:rPr>
                      <w:rFonts w:hint="eastAsia"/>
                      <w:color w:val="auto"/>
                      <w:sz w:val="21"/>
                      <w:szCs w:val="24"/>
                      <w:vertAlign w:val="superscript"/>
                      <w:lang w:val="en-US" w:eastAsia="zh-CN"/>
                    </w:rPr>
                    <w:t>3</w:t>
                  </w:r>
                </w:p>
              </w:tc>
              <w:tc>
                <w:tcPr>
                  <w:tcW w:w="1451" w:type="dxa"/>
                  <w:noWrap w:val="0"/>
                  <w:vAlign w:val="center"/>
                </w:tcPr>
                <w:p w14:paraId="24F0F2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宋体"/>
                      <w:b w:val="0"/>
                      <w:bCs w:val="0"/>
                      <w:i w:val="0"/>
                      <w:iCs w:val="0"/>
                      <w:color w:val="auto"/>
                      <w:kern w:val="0"/>
                      <w:sz w:val="21"/>
                      <w:szCs w:val="24"/>
                      <w:u w:val="none"/>
                      <w:lang w:val="en-US" w:eastAsia="zh-CN" w:bidi="ar"/>
                    </w:rPr>
                  </w:pPr>
                  <w:r>
                    <w:rPr>
                      <w:rFonts w:hint="eastAsia" w:cs="宋体"/>
                      <w:b w:val="0"/>
                      <w:bCs w:val="0"/>
                      <w:i w:val="0"/>
                      <w:iCs w:val="0"/>
                      <w:color w:val="auto"/>
                      <w:kern w:val="0"/>
                      <w:sz w:val="21"/>
                      <w:szCs w:val="24"/>
                      <w:u w:val="none"/>
                      <w:lang w:val="en-US" w:eastAsia="zh-CN" w:bidi="ar"/>
                    </w:rPr>
                    <w:t>2</w:t>
                  </w:r>
                </w:p>
              </w:tc>
              <w:tc>
                <w:tcPr>
                  <w:tcW w:w="1812" w:type="dxa"/>
                  <w:noWrap w:val="0"/>
                  <w:vAlign w:val="center"/>
                </w:tcPr>
                <w:p w14:paraId="3F1C89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个</w:t>
                  </w:r>
                </w:p>
              </w:tc>
            </w:tr>
            <w:tr w14:paraId="4C585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1E204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1904" w:type="dxa"/>
                  <w:noWrap w:val="0"/>
                  <w:vAlign w:val="center"/>
                </w:tcPr>
                <w:p w14:paraId="196F483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sz w:val="21"/>
                      <w:szCs w:val="24"/>
                      <w:vertAlign w:val="baseline"/>
                      <w:lang w:val="en-US" w:eastAsia="zh-CN"/>
                    </w:rPr>
                  </w:pPr>
                  <w:r>
                    <w:rPr>
                      <w:rFonts w:hint="eastAsia"/>
                      <w:color w:val="auto"/>
                      <w:sz w:val="21"/>
                      <w:szCs w:val="24"/>
                      <w:vertAlign w:val="baseline"/>
                      <w:lang w:val="en-US" w:eastAsia="zh-CN"/>
                    </w:rPr>
                    <w:t>鼓风机</w:t>
                  </w:r>
                </w:p>
              </w:tc>
              <w:tc>
                <w:tcPr>
                  <w:tcW w:w="2458" w:type="dxa"/>
                  <w:noWrap w:val="0"/>
                  <w:vAlign w:val="center"/>
                </w:tcPr>
                <w:p w14:paraId="44A3E2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olor w:val="auto"/>
                      <w:sz w:val="21"/>
                      <w:szCs w:val="24"/>
                      <w:vertAlign w:val="baseline"/>
                      <w:lang w:val="en-US" w:eastAsia="zh-CN"/>
                    </w:rPr>
                  </w:pPr>
                  <w:r>
                    <w:rPr>
                      <w:rFonts w:hint="eastAsia"/>
                      <w:color w:val="auto"/>
                      <w:sz w:val="21"/>
                      <w:szCs w:val="24"/>
                      <w:vertAlign w:val="baseline"/>
                      <w:lang w:val="en-US" w:eastAsia="zh-CN"/>
                    </w:rPr>
                    <w:t>/</w:t>
                  </w:r>
                </w:p>
              </w:tc>
              <w:tc>
                <w:tcPr>
                  <w:tcW w:w="1451" w:type="dxa"/>
                  <w:noWrap w:val="0"/>
                  <w:vAlign w:val="center"/>
                </w:tcPr>
                <w:p w14:paraId="768ED3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宋体"/>
                      <w:b w:val="0"/>
                      <w:bCs w:val="0"/>
                      <w:i w:val="0"/>
                      <w:iCs w:val="0"/>
                      <w:color w:val="auto"/>
                      <w:kern w:val="0"/>
                      <w:sz w:val="21"/>
                      <w:szCs w:val="24"/>
                      <w:u w:val="none"/>
                      <w:lang w:val="en-US" w:eastAsia="zh-CN" w:bidi="ar"/>
                    </w:rPr>
                  </w:pPr>
                  <w:r>
                    <w:rPr>
                      <w:rFonts w:hint="eastAsia" w:cs="宋体"/>
                      <w:b w:val="0"/>
                      <w:bCs w:val="0"/>
                      <w:i w:val="0"/>
                      <w:iCs w:val="0"/>
                      <w:color w:val="auto"/>
                      <w:kern w:val="0"/>
                      <w:sz w:val="21"/>
                      <w:szCs w:val="24"/>
                      <w:u w:val="none"/>
                      <w:lang w:val="en-US" w:eastAsia="zh-CN" w:bidi="ar"/>
                    </w:rPr>
                    <w:t>1</w:t>
                  </w:r>
                </w:p>
              </w:tc>
              <w:tc>
                <w:tcPr>
                  <w:tcW w:w="1812" w:type="dxa"/>
                  <w:noWrap w:val="0"/>
                  <w:vAlign w:val="center"/>
                </w:tcPr>
                <w:p w14:paraId="799378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台</w:t>
                  </w:r>
                </w:p>
              </w:tc>
            </w:tr>
            <w:tr w14:paraId="35591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1EC634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11</w:t>
                  </w:r>
                </w:p>
              </w:tc>
              <w:tc>
                <w:tcPr>
                  <w:tcW w:w="1904" w:type="dxa"/>
                  <w:noWrap w:val="0"/>
                  <w:vAlign w:val="center"/>
                </w:tcPr>
                <w:p w14:paraId="4B6D23B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color w:val="auto"/>
                      <w:sz w:val="21"/>
                      <w:szCs w:val="24"/>
                      <w:vertAlign w:val="baseline"/>
                      <w:lang w:val="en-US" w:eastAsia="zh-CN"/>
                    </w:rPr>
                  </w:pPr>
                  <w:r>
                    <w:rPr>
                      <w:rFonts w:hint="eastAsia"/>
                      <w:color w:val="auto"/>
                      <w:sz w:val="21"/>
                      <w:szCs w:val="24"/>
                      <w:vertAlign w:val="baseline"/>
                      <w:lang w:val="en-US" w:eastAsia="zh-CN"/>
                    </w:rPr>
                    <w:t>负压集气罩</w:t>
                  </w:r>
                </w:p>
              </w:tc>
              <w:tc>
                <w:tcPr>
                  <w:tcW w:w="2458" w:type="dxa"/>
                  <w:noWrap w:val="0"/>
                  <w:vAlign w:val="center"/>
                </w:tcPr>
                <w:p w14:paraId="48A5B2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olor w:val="auto"/>
                      <w:sz w:val="21"/>
                      <w:szCs w:val="24"/>
                      <w:vertAlign w:val="baseline"/>
                      <w:lang w:val="en-US" w:eastAsia="zh-CN"/>
                    </w:rPr>
                  </w:pPr>
                  <w:r>
                    <w:rPr>
                      <w:rFonts w:hint="eastAsia"/>
                      <w:color w:val="auto"/>
                      <w:sz w:val="21"/>
                      <w:szCs w:val="24"/>
                      <w:vertAlign w:val="baseline"/>
                      <w:lang w:val="en-US" w:eastAsia="zh-CN"/>
                    </w:rPr>
                    <w:t>/</w:t>
                  </w:r>
                </w:p>
              </w:tc>
              <w:tc>
                <w:tcPr>
                  <w:tcW w:w="1451" w:type="dxa"/>
                  <w:noWrap w:val="0"/>
                  <w:vAlign w:val="center"/>
                </w:tcPr>
                <w:p w14:paraId="56A128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宋体"/>
                      <w:b w:val="0"/>
                      <w:bCs w:val="0"/>
                      <w:i w:val="0"/>
                      <w:iCs w:val="0"/>
                      <w:color w:val="auto"/>
                      <w:kern w:val="0"/>
                      <w:sz w:val="21"/>
                      <w:szCs w:val="24"/>
                      <w:u w:val="none"/>
                      <w:lang w:val="en-US" w:eastAsia="zh-CN" w:bidi="ar"/>
                    </w:rPr>
                  </w:pPr>
                  <w:r>
                    <w:rPr>
                      <w:rFonts w:hint="eastAsia" w:cs="宋体"/>
                      <w:b w:val="0"/>
                      <w:bCs w:val="0"/>
                      <w:i w:val="0"/>
                      <w:iCs w:val="0"/>
                      <w:color w:val="auto"/>
                      <w:kern w:val="0"/>
                      <w:sz w:val="21"/>
                      <w:szCs w:val="24"/>
                      <w:u w:val="none"/>
                      <w:lang w:val="en-US" w:eastAsia="zh-CN" w:bidi="ar"/>
                    </w:rPr>
                    <w:t>3</w:t>
                  </w:r>
                </w:p>
              </w:tc>
              <w:tc>
                <w:tcPr>
                  <w:tcW w:w="1812" w:type="dxa"/>
                  <w:noWrap w:val="0"/>
                  <w:vAlign w:val="center"/>
                </w:tcPr>
                <w:p w14:paraId="387DA1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个</w:t>
                  </w:r>
                </w:p>
              </w:tc>
            </w:tr>
            <w:tr w14:paraId="3847C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5" w:type="dxa"/>
                  <w:noWrap w:val="0"/>
                  <w:vAlign w:val="center"/>
                </w:tcPr>
                <w:p w14:paraId="224015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12</w:t>
                  </w:r>
                </w:p>
              </w:tc>
              <w:tc>
                <w:tcPr>
                  <w:tcW w:w="1904" w:type="dxa"/>
                  <w:noWrap w:val="0"/>
                  <w:vAlign w:val="center"/>
                </w:tcPr>
                <w:p w14:paraId="398BE21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olor w:val="auto"/>
                      <w:sz w:val="21"/>
                      <w:szCs w:val="24"/>
                      <w:vertAlign w:val="baseline"/>
                      <w:lang w:val="en-US" w:eastAsia="zh-CN"/>
                    </w:rPr>
                  </w:pPr>
                  <w:r>
                    <w:rPr>
                      <w:rFonts w:hint="eastAsia"/>
                      <w:color w:val="auto"/>
                      <w:kern w:val="0"/>
                      <w:szCs w:val="21"/>
                    </w:rPr>
                    <w:t>UV光解+活性炭装置</w:t>
                  </w:r>
                </w:p>
              </w:tc>
              <w:tc>
                <w:tcPr>
                  <w:tcW w:w="2458" w:type="dxa"/>
                  <w:noWrap w:val="0"/>
                  <w:vAlign w:val="center"/>
                </w:tcPr>
                <w:p w14:paraId="6F302C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olor w:val="auto"/>
                      <w:sz w:val="21"/>
                      <w:szCs w:val="24"/>
                      <w:vertAlign w:val="baseline"/>
                      <w:lang w:val="en-US" w:eastAsia="zh-CN"/>
                    </w:rPr>
                  </w:pPr>
                  <w:r>
                    <w:rPr>
                      <w:rFonts w:hint="eastAsia"/>
                      <w:color w:val="auto"/>
                      <w:sz w:val="21"/>
                      <w:szCs w:val="24"/>
                      <w:vertAlign w:val="baseline"/>
                      <w:lang w:val="en-US" w:eastAsia="zh-CN"/>
                    </w:rPr>
                    <w:t>/</w:t>
                  </w:r>
                </w:p>
              </w:tc>
              <w:tc>
                <w:tcPr>
                  <w:tcW w:w="1451" w:type="dxa"/>
                  <w:noWrap w:val="0"/>
                  <w:vAlign w:val="center"/>
                </w:tcPr>
                <w:p w14:paraId="5CDFAF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宋体"/>
                      <w:b w:val="0"/>
                      <w:bCs w:val="0"/>
                      <w:i w:val="0"/>
                      <w:iCs w:val="0"/>
                      <w:color w:val="auto"/>
                      <w:kern w:val="0"/>
                      <w:sz w:val="21"/>
                      <w:szCs w:val="24"/>
                      <w:u w:val="none"/>
                      <w:lang w:val="en-US" w:eastAsia="zh-CN" w:bidi="ar"/>
                    </w:rPr>
                  </w:pPr>
                  <w:r>
                    <w:rPr>
                      <w:rFonts w:hint="eastAsia" w:cs="宋体"/>
                      <w:b w:val="0"/>
                      <w:bCs w:val="0"/>
                      <w:i w:val="0"/>
                      <w:iCs w:val="0"/>
                      <w:color w:val="auto"/>
                      <w:kern w:val="0"/>
                      <w:sz w:val="21"/>
                      <w:szCs w:val="24"/>
                      <w:u w:val="none"/>
                      <w:lang w:val="en-US" w:eastAsia="zh-CN" w:bidi="ar"/>
                    </w:rPr>
                    <w:t>1</w:t>
                  </w:r>
                </w:p>
              </w:tc>
              <w:tc>
                <w:tcPr>
                  <w:tcW w:w="1812" w:type="dxa"/>
                  <w:noWrap w:val="0"/>
                  <w:vAlign w:val="center"/>
                </w:tcPr>
                <w:p w14:paraId="53903A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套</w:t>
                  </w:r>
                </w:p>
              </w:tc>
            </w:tr>
          </w:tbl>
          <w:p w14:paraId="40507190">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5</w:t>
            </w:r>
            <w:r>
              <w:rPr>
                <w:rFonts w:hint="eastAsia" w:ascii="Times New Roman" w:hAnsi="Times New Roman" w:eastAsia="宋体" w:cs="Times New Roman"/>
                <w:b/>
                <w:bCs/>
                <w:color w:val="auto"/>
                <w:highlight w:val="none"/>
                <w:lang w:val="en-US" w:eastAsia="zh-CN"/>
              </w:rPr>
              <w:t>、项目原辅材料消耗情况</w:t>
            </w:r>
          </w:p>
          <w:p w14:paraId="67D54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项目原辅材料用量</w:t>
            </w:r>
          </w:p>
          <w:p w14:paraId="5F19A6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b/>
                <w:bCs/>
                <w:color w:val="auto"/>
                <w:sz w:val="21"/>
                <w:szCs w:val="21"/>
                <w:highlight w:val="none"/>
                <w:lang w:val="en-US" w:eastAsia="zh-CN"/>
              </w:rPr>
            </w:pPr>
            <w:r>
              <w:rPr>
                <w:rFonts w:hint="eastAsia"/>
                <w:color w:val="auto"/>
                <w:sz w:val="24"/>
                <w:szCs w:val="24"/>
                <w:highlight w:val="none"/>
                <w:lang w:val="en-US" w:eastAsia="zh-CN"/>
              </w:rPr>
              <w:t>本项目主要原、辅材料及能源年用量见表2-4。</w:t>
            </w:r>
          </w:p>
          <w:p w14:paraId="77DD584F">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b/>
                <w:bCs/>
                <w:color w:val="auto"/>
                <w:sz w:val="21"/>
                <w:szCs w:val="21"/>
                <w:highlight w:val="none"/>
                <w:lang w:val="en-US" w:eastAsia="zh-CN"/>
              </w:rPr>
              <w:t>表</w:t>
            </w:r>
            <w:r>
              <w:rPr>
                <w:rFonts w:hint="eastAsia"/>
                <w:b/>
                <w:bCs/>
                <w:color w:val="auto"/>
                <w:sz w:val="21"/>
                <w:szCs w:val="21"/>
                <w:highlight w:val="none"/>
                <w:lang w:val="en-US" w:eastAsia="zh-CN"/>
              </w:rPr>
              <w:t xml:space="preserve">2-4  </w:t>
            </w:r>
            <w:r>
              <w:rPr>
                <w:rFonts w:hint="eastAsia" w:ascii="Times New Roman" w:hAnsi="Times New Roman" w:eastAsia="宋体"/>
                <w:b/>
                <w:bCs/>
                <w:color w:val="auto"/>
                <w:sz w:val="21"/>
                <w:szCs w:val="21"/>
                <w:highlight w:val="none"/>
                <w:lang w:val="en-US" w:eastAsia="zh-CN"/>
              </w:rPr>
              <w:t>项目主要原、辅材料及能源年用量一览</w:t>
            </w:r>
            <w:r>
              <w:rPr>
                <w:rFonts w:hint="default" w:ascii="Times New Roman" w:hAnsi="Times New Roman" w:eastAsia="宋体" w:cs="Times New Roman"/>
                <w:b/>
                <w:bCs/>
                <w:color w:val="auto"/>
                <w:kern w:val="2"/>
                <w:sz w:val="21"/>
                <w:szCs w:val="21"/>
                <w:highlight w:val="none"/>
                <w:lang w:val="en-US" w:eastAsia="zh-CN" w:bidi="ar-SA"/>
              </w:rPr>
              <w:t>表</w:t>
            </w:r>
          </w:p>
          <w:tbl>
            <w:tblPr>
              <w:tblStyle w:val="30"/>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53"/>
              <w:gridCol w:w="1018"/>
              <w:gridCol w:w="1160"/>
              <w:gridCol w:w="1333"/>
              <w:gridCol w:w="1542"/>
              <w:gridCol w:w="1194"/>
            </w:tblGrid>
            <w:tr w14:paraId="30ED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90" w:type="dxa"/>
                  <w:noWrap w:val="0"/>
                  <w:vAlign w:val="center"/>
                </w:tcPr>
                <w:p w14:paraId="6EAAB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序号</w:t>
                  </w:r>
                </w:p>
              </w:tc>
              <w:tc>
                <w:tcPr>
                  <w:tcW w:w="1453" w:type="dxa"/>
                  <w:noWrap w:val="0"/>
                  <w:vAlign w:val="center"/>
                </w:tcPr>
                <w:p w14:paraId="6CE22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名称</w:t>
                  </w:r>
                </w:p>
              </w:tc>
              <w:tc>
                <w:tcPr>
                  <w:tcW w:w="1018" w:type="dxa"/>
                  <w:noWrap w:val="0"/>
                  <w:vAlign w:val="center"/>
                </w:tcPr>
                <w:p w14:paraId="06EDB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单位</w:t>
                  </w:r>
                </w:p>
              </w:tc>
              <w:tc>
                <w:tcPr>
                  <w:tcW w:w="1160" w:type="dxa"/>
                  <w:noWrap w:val="0"/>
                  <w:vAlign w:val="center"/>
                </w:tcPr>
                <w:p w14:paraId="2A632F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储存方式</w:t>
                  </w:r>
                </w:p>
              </w:tc>
              <w:tc>
                <w:tcPr>
                  <w:tcW w:w="1333" w:type="dxa"/>
                  <w:noWrap w:val="0"/>
                  <w:vAlign w:val="center"/>
                </w:tcPr>
                <w:p w14:paraId="1277D7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年使用量</w:t>
                  </w:r>
                </w:p>
              </w:tc>
              <w:tc>
                <w:tcPr>
                  <w:tcW w:w="1542" w:type="dxa"/>
                  <w:noWrap w:val="0"/>
                  <w:vAlign w:val="center"/>
                </w:tcPr>
                <w:p w14:paraId="25EC9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年最大储存量</w:t>
                  </w:r>
                </w:p>
              </w:tc>
              <w:tc>
                <w:tcPr>
                  <w:tcW w:w="1194" w:type="dxa"/>
                  <w:noWrap w:val="0"/>
                  <w:vAlign w:val="center"/>
                </w:tcPr>
                <w:p w14:paraId="05853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备注</w:t>
                  </w:r>
                </w:p>
              </w:tc>
            </w:tr>
            <w:tr w14:paraId="50A0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90" w:type="dxa"/>
                  <w:noWrap w:val="0"/>
                  <w:vAlign w:val="center"/>
                </w:tcPr>
                <w:p w14:paraId="25A38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1453" w:type="dxa"/>
                  <w:noWrap w:val="0"/>
                  <w:vAlign w:val="center"/>
                </w:tcPr>
                <w:p w14:paraId="3BBA9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原纸</w:t>
                  </w:r>
                </w:p>
              </w:tc>
              <w:tc>
                <w:tcPr>
                  <w:tcW w:w="1018" w:type="dxa"/>
                  <w:noWrap w:val="0"/>
                  <w:vAlign w:val="center"/>
                </w:tcPr>
                <w:p w14:paraId="6FBA8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t</w:t>
                  </w:r>
                </w:p>
              </w:tc>
              <w:tc>
                <w:tcPr>
                  <w:tcW w:w="1160" w:type="dxa"/>
                  <w:noWrap w:val="0"/>
                  <w:vAlign w:val="center"/>
                </w:tcPr>
                <w:p w14:paraId="5B77B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堆存</w:t>
                  </w:r>
                </w:p>
              </w:tc>
              <w:tc>
                <w:tcPr>
                  <w:tcW w:w="1333" w:type="dxa"/>
                  <w:noWrap w:val="0"/>
                  <w:vAlign w:val="center"/>
                </w:tcPr>
                <w:p w14:paraId="058D4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121.5</w:t>
                  </w:r>
                </w:p>
              </w:tc>
              <w:tc>
                <w:tcPr>
                  <w:tcW w:w="1542" w:type="dxa"/>
                  <w:noWrap w:val="0"/>
                  <w:vAlign w:val="center"/>
                </w:tcPr>
                <w:p w14:paraId="59E8A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94" w:type="dxa"/>
                  <w:noWrap w:val="0"/>
                  <w:vAlign w:val="center"/>
                </w:tcPr>
                <w:p w14:paraId="2924E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外购</w:t>
                  </w:r>
                </w:p>
              </w:tc>
            </w:tr>
            <w:tr w14:paraId="2191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90" w:type="dxa"/>
                  <w:noWrap w:val="0"/>
                  <w:vAlign w:val="center"/>
                </w:tcPr>
                <w:p w14:paraId="7FA7A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453" w:type="dxa"/>
                  <w:noWrap w:val="0"/>
                  <w:vAlign w:val="center"/>
                </w:tcPr>
                <w:p w14:paraId="5C35F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三聚氰胺甲醛树脂</w:t>
                  </w:r>
                </w:p>
              </w:tc>
              <w:tc>
                <w:tcPr>
                  <w:tcW w:w="1018" w:type="dxa"/>
                  <w:noWrap w:val="0"/>
                  <w:vAlign w:val="center"/>
                </w:tcPr>
                <w:p w14:paraId="1AEDA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t</w:t>
                  </w:r>
                </w:p>
              </w:tc>
              <w:tc>
                <w:tcPr>
                  <w:tcW w:w="1160" w:type="dxa"/>
                  <w:noWrap w:val="0"/>
                  <w:vAlign w:val="center"/>
                </w:tcPr>
                <w:p w14:paraId="23F5B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桶装</w:t>
                  </w:r>
                </w:p>
              </w:tc>
              <w:tc>
                <w:tcPr>
                  <w:tcW w:w="1333" w:type="dxa"/>
                  <w:noWrap w:val="0"/>
                  <w:vAlign w:val="center"/>
                </w:tcPr>
                <w:p w14:paraId="5B027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283.5</w:t>
                  </w:r>
                </w:p>
              </w:tc>
              <w:tc>
                <w:tcPr>
                  <w:tcW w:w="1542" w:type="dxa"/>
                  <w:noWrap w:val="0"/>
                  <w:vAlign w:val="center"/>
                </w:tcPr>
                <w:p w14:paraId="0998F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1194" w:type="dxa"/>
                  <w:noWrap w:val="0"/>
                  <w:vAlign w:val="center"/>
                </w:tcPr>
                <w:p w14:paraId="5EDF2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外购</w:t>
                  </w:r>
                </w:p>
              </w:tc>
            </w:tr>
            <w:tr w14:paraId="5403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90" w:type="dxa"/>
                  <w:noWrap w:val="0"/>
                  <w:vAlign w:val="center"/>
                </w:tcPr>
                <w:p w14:paraId="6A750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1453" w:type="dxa"/>
                  <w:noWrap w:val="0"/>
                  <w:vAlign w:val="center"/>
                </w:tcPr>
                <w:p w14:paraId="5CBF4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导热油</w:t>
                  </w:r>
                </w:p>
              </w:tc>
              <w:tc>
                <w:tcPr>
                  <w:tcW w:w="1018" w:type="dxa"/>
                  <w:noWrap w:val="0"/>
                  <w:vAlign w:val="center"/>
                </w:tcPr>
                <w:p w14:paraId="74AEF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t</w:t>
                  </w:r>
                </w:p>
              </w:tc>
              <w:tc>
                <w:tcPr>
                  <w:tcW w:w="1160" w:type="dxa"/>
                  <w:noWrap w:val="0"/>
                  <w:vAlign w:val="center"/>
                </w:tcPr>
                <w:p w14:paraId="5F67C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333" w:type="dxa"/>
                  <w:noWrap w:val="0"/>
                  <w:vAlign w:val="center"/>
                </w:tcPr>
                <w:p w14:paraId="273E0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w:t>
                  </w:r>
                </w:p>
              </w:tc>
              <w:tc>
                <w:tcPr>
                  <w:tcW w:w="1542" w:type="dxa"/>
                  <w:noWrap w:val="0"/>
                  <w:vAlign w:val="center"/>
                </w:tcPr>
                <w:p w14:paraId="4C6CC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w:t>
                  </w:r>
                </w:p>
              </w:tc>
              <w:tc>
                <w:tcPr>
                  <w:tcW w:w="1194" w:type="dxa"/>
                  <w:noWrap w:val="0"/>
                  <w:vAlign w:val="center"/>
                </w:tcPr>
                <w:p w14:paraId="1DB27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SA"/>
                    </w:rPr>
                    <w:t>外购</w:t>
                  </w:r>
                </w:p>
              </w:tc>
            </w:tr>
            <w:tr w14:paraId="5DF4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90" w:type="dxa"/>
                  <w:noWrap w:val="0"/>
                  <w:vAlign w:val="center"/>
                </w:tcPr>
                <w:p w14:paraId="2C5D0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4</w:t>
                  </w:r>
                </w:p>
              </w:tc>
              <w:tc>
                <w:tcPr>
                  <w:tcW w:w="1453" w:type="dxa"/>
                  <w:noWrap w:val="0"/>
                  <w:vAlign w:val="center"/>
                </w:tcPr>
                <w:p w14:paraId="57968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电</w:t>
                  </w:r>
                </w:p>
              </w:tc>
              <w:tc>
                <w:tcPr>
                  <w:tcW w:w="1018" w:type="dxa"/>
                  <w:noWrap w:val="0"/>
                  <w:vAlign w:val="center"/>
                </w:tcPr>
                <w:p w14:paraId="293B4A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万度</w:t>
                  </w:r>
                </w:p>
              </w:tc>
              <w:tc>
                <w:tcPr>
                  <w:tcW w:w="1160" w:type="dxa"/>
                  <w:noWrap w:val="0"/>
                  <w:vAlign w:val="center"/>
                </w:tcPr>
                <w:p w14:paraId="710AA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1333" w:type="dxa"/>
                  <w:noWrap w:val="0"/>
                  <w:vAlign w:val="center"/>
                </w:tcPr>
                <w:p w14:paraId="4B979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90</w:t>
                  </w:r>
                </w:p>
              </w:tc>
              <w:tc>
                <w:tcPr>
                  <w:tcW w:w="1542" w:type="dxa"/>
                  <w:noWrap w:val="0"/>
                  <w:vAlign w:val="center"/>
                </w:tcPr>
                <w:p w14:paraId="4CDEAE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194" w:type="dxa"/>
                  <w:noWrap w:val="0"/>
                  <w:vAlign w:val="center"/>
                </w:tcPr>
                <w:p w14:paraId="1B5C5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园区接入</w:t>
                  </w:r>
                </w:p>
              </w:tc>
            </w:tr>
            <w:tr w14:paraId="5E24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90" w:type="dxa"/>
                  <w:noWrap w:val="0"/>
                  <w:vAlign w:val="center"/>
                </w:tcPr>
                <w:p w14:paraId="79C99F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1453" w:type="dxa"/>
                  <w:noWrap w:val="0"/>
                  <w:vAlign w:val="center"/>
                </w:tcPr>
                <w:p w14:paraId="45503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水</w:t>
                  </w:r>
                </w:p>
              </w:tc>
              <w:tc>
                <w:tcPr>
                  <w:tcW w:w="1018" w:type="dxa"/>
                  <w:noWrap w:val="0"/>
                  <w:vAlign w:val="center"/>
                </w:tcPr>
                <w:p w14:paraId="57F75B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m</w:t>
                  </w:r>
                  <w:r>
                    <w:rPr>
                      <w:rFonts w:hint="eastAsia" w:cs="Times New Roman"/>
                      <w:color w:val="auto"/>
                      <w:kern w:val="0"/>
                      <w:sz w:val="21"/>
                      <w:szCs w:val="21"/>
                      <w:highlight w:val="none"/>
                      <w:vertAlign w:val="superscript"/>
                      <w:lang w:val="en-US" w:eastAsia="zh-CN" w:bidi="ar-SA"/>
                    </w:rPr>
                    <w:t>3</w:t>
                  </w:r>
                </w:p>
              </w:tc>
              <w:tc>
                <w:tcPr>
                  <w:tcW w:w="1160" w:type="dxa"/>
                  <w:noWrap w:val="0"/>
                  <w:vAlign w:val="center"/>
                </w:tcPr>
                <w:p w14:paraId="08EA6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c>
                <w:tcPr>
                  <w:tcW w:w="1333" w:type="dxa"/>
                  <w:noWrap w:val="0"/>
                  <w:vAlign w:val="center"/>
                </w:tcPr>
                <w:p w14:paraId="431FA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1499</w:t>
                  </w:r>
                </w:p>
              </w:tc>
              <w:tc>
                <w:tcPr>
                  <w:tcW w:w="1542" w:type="dxa"/>
                  <w:noWrap w:val="0"/>
                  <w:vAlign w:val="center"/>
                </w:tcPr>
                <w:p w14:paraId="12BC2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194" w:type="dxa"/>
                  <w:noWrap w:val="0"/>
                  <w:vAlign w:val="center"/>
                </w:tcPr>
                <w:p w14:paraId="18FE8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园区接入</w:t>
                  </w:r>
                </w:p>
              </w:tc>
            </w:tr>
            <w:tr w14:paraId="6BA3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90" w:type="dxa"/>
                  <w:noWrap w:val="0"/>
                  <w:vAlign w:val="center"/>
                </w:tcPr>
                <w:p w14:paraId="76028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w:t>
                  </w:r>
                </w:p>
              </w:tc>
              <w:tc>
                <w:tcPr>
                  <w:tcW w:w="1453" w:type="dxa"/>
                  <w:noWrap w:val="0"/>
                  <w:vAlign w:val="center"/>
                </w:tcPr>
                <w:p w14:paraId="0BD12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天然气</w:t>
                  </w:r>
                </w:p>
              </w:tc>
              <w:tc>
                <w:tcPr>
                  <w:tcW w:w="1018" w:type="dxa"/>
                  <w:noWrap w:val="0"/>
                  <w:vAlign w:val="center"/>
                </w:tcPr>
                <w:p w14:paraId="05C0B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万m</w:t>
                  </w:r>
                  <w:r>
                    <w:rPr>
                      <w:rFonts w:hint="eastAsia" w:cs="Times New Roman"/>
                      <w:color w:val="auto"/>
                      <w:kern w:val="0"/>
                      <w:sz w:val="21"/>
                      <w:szCs w:val="21"/>
                      <w:highlight w:val="none"/>
                      <w:vertAlign w:val="superscript"/>
                      <w:lang w:val="en-US" w:eastAsia="zh-CN" w:bidi="ar-SA"/>
                    </w:rPr>
                    <w:t>3</w:t>
                  </w:r>
                </w:p>
              </w:tc>
              <w:tc>
                <w:tcPr>
                  <w:tcW w:w="1160" w:type="dxa"/>
                  <w:noWrap w:val="0"/>
                  <w:vAlign w:val="center"/>
                </w:tcPr>
                <w:p w14:paraId="334EF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333" w:type="dxa"/>
                  <w:noWrap w:val="0"/>
                  <w:vAlign w:val="center"/>
                </w:tcPr>
                <w:p w14:paraId="75B4D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7.5</w:t>
                  </w:r>
                </w:p>
              </w:tc>
              <w:tc>
                <w:tcPr>
                  <w:tcW w:w="1542" w:type="dxa"/>
                  <w:noWrap w:val="0"/>
                  <w:vAlign w:val="center"/>
                </w:tcPr>
                <w:p w14:paraId="65359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194" w:type="dxa"/>
                  <w:noWrap w:val="0"/>
                  <w:vAlign w:val="center"/>
                </w:tcPr>
                <w:p w14:paraId="07607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园区接入</w:t>
                  </w:r>
                </w:p>
              </w:tc>
            </w:tr>
            <w:tr w14:paraId="3C3D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90" w:type="dxa"/>
                  <w:noWrap w:val="0"/>
                  <w:vAlign w:val="center"/>
                </w:tcPr>
                <w:p w14:paraId="71731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p>
              </w:tc>
              <w:tc>
                <w:tcPr>
                  <w:tcW w:w="1453" w:type="dxa"/>
                  <w:noWrap w:val="0"/>
                  <w:vAlign w:val="center"/>
                </w:tcPr>
                <w:p w14:paraId="3477C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活性炭</w:t>
                  </w:r>
                </w:p>
              </w:tc>
              <w:tc>
                <w:tcPr>
                  <w:tcW w:w="1018" w:type="dxa"/>
                  <w:noWrap w:val="0"/>
                  <w:vAlign w:val="center"/>
                </w:tcPr>
                <w:p w14:paraId="35CA5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t</w:t>
                  </w:r>
                </w:p>
              </w:tc>
              <w:tc>
                <w:tcPr>
                  <w:tcW w:w="1160" w:type="dxa"/>
                  <w:noWrap w:val="0"/>
                  <w:vAlign w:val="center"/>
                </w:tcPr>
                <w:p w14:paraId="5117D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333" w:type="dxa"/>
                  <w:noWrap w:val="0"/>
                  <w:vAlign w:val="center"/>
                </w:tcPr>
                <w:p w14:paraId="58D4E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w:t>
                  </w:r>
                </w:p>
              </w:tc>
              <w:tc>
                <w:tcPr>
                  <w:tcW w:w="1542" w:type="dxa"/>
                  <w:noWrap w:val="0"/>
                  <w:vAlign w:val="center"/>
                </w:tcPr>
                <w:p w14:paraId="106C8F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w:t>
                  </w:r>
                </w:p>
              </w:tc>
              <w:tc>
                <w:tcPr>
                  <w:tcW w:w="1194" w:type="dxa"/>
                  <w:noWrap w:val="0"/>
                  <w:vAlign w:val="center"/>
                </w:tcPr>
                <w:p w14:paraId="3CAE6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SA"/>
                    </w:rPr>
                    <w:t>外购</w:t>
                  </w:r>
                </w:p>
              </w:tc>
            </w:tr>
            <w:tr w14:paraId="7AE3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90" w:type="dxa"/>
                  <w:noWrap w:val="0"/>
                  <w:vAlign w:val="center"/>
                </w:tcPr>
                <w:p w14:paraId="15BE4D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1453" w:type="dxa"/>
                  <w:noWrap w:val="0"/>
                  <w:vAlign w:val="center"/>
                </w:tcPr>
                <w:p w14:paraId="2CBD3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UV灯管</w:t>
                  </w:r>
                </w:p>
              </w:tc>
              <w:tc>
                <w:tcPr>
                  <w:tcW w:w="1018" w:type="dxa"/>
                  <w:noWrap w:val="0"/>
                  <w:vAlign w:val="center"/>
                </w:tcPr>
                <w:p w14:paraId="0CE37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t</w:t>
                  </w:r>
                </w:p>
              </w:tc>
              <w:tc>
                <w:tcPr>
                  <w:tcW w:w="1160" w:type="dxa"/>
                  <w:noWrap w:val="0"/>
                  <w:vAlign w:val="center"/>
                </w:tcPr>
                <w:p w14:paraId="72EBA7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333" w:type="dxa"/>
                  <w:noWrap w:val="0"/>
                  <w:vAlign w:val="center"/>
                </w:tcPr>
                <w:p w14:paraId="73A80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0.08</w:t>
                  </w:r>
                </w:p>
              </w:tc>
              <w:tc>
                <w:tcPr>
                  <w:tcW w:w="1542" w:type="dxa"/>
                  <w:noWrap w:val="0"/>
                  <w:vAlign w:val="center"/>
                </w:tcPr>
                <w:p w14:paraId="488F7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w:t>
                  </w:r>
                </w:p>
              </w:tc>
              <w:tc>
                <w:tcPr>
                  <w:tcW w:w="1194" w:type="dxa"/>
                  <w:noWrap w:val="0"/>
                  <w:vAlign w:val="center"/>
                </w:tcPr>
                <w:p w14:paraId="2D93C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SA"/>
                    </w:rPr>
                    <w:t>外购</w:t>
                  </w:r>
                </w:p>
              </w:tc>
            </w:tr>
          </w:tbl>
          <w:p w14:paraId="3768CD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i w:val="0"/>
                <w:iCs w:val="0"/>
                <w:caps w:val="0"/>
                <w:color w:val="auto"/>
                <w:spacing w:val="0"/>
                <w:sz w:val="24"/>
                <w:szCs w:val="24"/>
                <w:shd w:val="clear" w:fill="FFFFFF"/>
                <w:lang w:val="en-US" w:eastAsia="zh-CN"/>
              </w:rPr>
            </w:pPr>
            <w:r>
              <w:rPr>
                <w:rFonts w:hint="default" w:ascii="Times New Roman" w:hAnsi="Times New Roman" w:eastAsia="宋体" w:cs="Times New Roman"/>
                <w:b/>
                <w:bCs/>
                <w:i w:val="0"/>
                <w:iCs w:val="0"/>
                <w:color w:val="auto"/>
                <w:sz w:val="24"/>
                <w:szCs w:val="24"/>
                <w:highlight w:val="none"/>
                <w:lang w:val="zh-CN" w:eastAsia="zh-CN"/>
              </w:rPr>
              <w:t>（2）项目原辅材料理化性质</w:t>
            </w:r>
          </w:p>
          <w:p w14:paraId="1621105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i w:val="0"/>
                <w:iCs w:val="0"/>
                <w:color w:val="auto"/>
                <w:sz w:val="24"/>
                <w:szCs w:val="24"/>
                <w:highlight w:val="none"/>
                <w:lang w:val="en-US" w:eastAsia="zh-CN"/>
              </w:rPr>
            </w:pPr>
            <w:r>
              <w:rPr>
                <w:rFonts w:hint="eastAsia" w:ascii="Times New Roman" w:hAnsi="Times New Roman" w:eastAsia="宋体" w:cs="Times New Roman"/>
                <w:b/>
                <w:bCs/>
                <w:i w:val="0"/>
                <w:iCs w:val="0"/>
                <w:color w:val="auto"/>
                <w:sz w:val="24"/>
                <w:szCs w:val="24"/>
                <w:highlight w:val="none"/>
                <w:lang w:val="en-US" w:eastAsia="zh-CN"/>
              </w:rPr>
              <w:t>三聚氰胺</w:t>
            </w:r>
            <w:r>
              <w:rPr>
                <w:rFonts w:hint="eastAsia" w:cs="Times New Roman"/>
                <w:b/>
                <w:bCs/>
                <w:i w:val="0"/>
                <w:iCs w:val="0"/>
                <w:color w:val="auto"/>
                <w:sz w:val="24"/>
                <w:szCs w:val="24"/>
                <w:highlight w:val="none"/>
                <w:lang w:val="en-US" w:eastAsia="zh-CN"/>
              </w:rPr>
              <w:t>甲醛树脂：</w:t>
            </w:r>
          </w:p>
          <w:p w14:paraId="1FEBA9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eastAsia"/>
                <w:color w:val="auto"/>
                <w:sz w:val="24"/>
                <w:szCs w:val="24"/>
                <w:highlight w:val="none"/>
                <w:lang w:val="en-US" w:eastAsia="zh-CN"/>
              </w:rPr>
              <w:t xml:space="preserve">三聚氰胺甲醛树脂 </w:t>
            </w:r>
            <w:r>
              <w:rPr>
                <w:rFonts w:hint="default" w:ascii="Times New Roman" w:hAnsi="Times New Roman" w:cs="Times New Roman"/>
                <w:color w:val="auto"/>
                <w:sz w:val="24"/>
                <w:szCs w:val="24"/>
                <w:highlight w:val="none"/>
                <w:lang w:val="en-US" w:eastAsia="zh-CN"/>
              </w:rPr>
              <w:t>(melamine-formaldcbyderesin）</w:t>
            </w:r>
            <w:r>
              <w:rPr>
                <w:rFonts w:hint="eastAsia"/>
                <w:color w:val="auto"/>
                <w:sz w:val="24"/>
                <w:szCs w:val="24"/>
                <w:highlight w:val="none"/>
                <w:lang w:val="en-US" w:eastAsia="zh-CN"/>
              </w:rPr>
              <w:t>，三聚氰胺与甲醛反应所得到的聚合物。又称密胺甲醛树脂、密胺树脂。英文缩写MF。加工成型时发生交联反应，制品为不熔的热固性材脂。密胺树脂在室温下不固化，一般在</w:t>
            </w:r>
            <w:r>
              <w:rPr>
                <w:rFonts w:hint="default" w:ascii="Times New Roman" w:hAnsi="Times New Roman" w:cs="Times New Roman"/>
                <w:color w:val="auto"/>
                <w:sz w:val="24"/>
                <w:szCs w:val="24"/>
                <w:highlight w:val="none"/>
                <w:lang w:val="en-US" w:eastAsia="zh-CN"/>
              </w:rPr>
              <w:t>130～150°C</w:t>
            </w:r>
            <w:r>
              <w:rPr>
                <w:rFonts w:hint="eastAsia"/>
                <w:color w:val="auto"/>
                <w:sz w:val="24"/>
                <w:szCs w:val="24"/>
                <w:highlight w:val="none"/>
                <w:lang w:val="en-US" w:eastAsia="zh-CN"/>
              </w:rPr>
              <w:t>熱固化，加少量酸催化可提高固化速度。三聚氰胺成品比脲醛树脂成品硬度和耐磨性好，对化学药物的抵抗能力，电绝缘性能等都好。用于制造塑料贴面板，广泛用于家具、车辆建筑等方面。</w:t>
            </w:r>
          </w:p>
          <w:p w14:paraId="3AC7CB1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i w:val="0"/>
                <w:iCs w:val="0"/>
                <w:color w:val="auto"/>
                <w:sz w:val="24"/>
                <w:szCs w:val="24"/>
                <w:highlight w:val="none"/>
                <w:lang w:val="en-US" w:eastAsia="zh-CN"/>
              </w:rPr>
            </w:pPr>
            <w:r>
              <w:rPr>
                <w:rFonts w:hint="eastAsia" w:cs="Times New Roman"/>
                <w:b/>
                <w:bCs/>
                <w:i w:val="0"/>
                <w:iCs w:val="0"/>
                <w:color w:val="auto"/>
                <w:sz w:val="24"/>
                <w:szCs w:val="24"/>
                <w:highlight w:val="none"/>
                <w:lang w:val="en-US" w:eastAsia="zh-CN"/>
              </w:rPr>
              <w:t>天然气：</w:t>
            </w:r>
          </w:p>
          <w:p w14:paraId="477A1497">
            <w:pPr>
              <w:pStyle w:val="73"/>
              <w:keepNext w:val="0"/>
              <w:keepLines w:val="0"/>
              <w:suppressLineNumbers w:val="0"/>
              <w:adjustRightInd/>
              <w:spacing w:before="0" w:beforeAutospacing="0" w:after="0" w:afterAutospacing="0"/>
              <w:ind w:left="0" w:right="0"/>
              <w:rPr>
                <w:rFonts w:hint="default" w:cs="Times New Roman"/>
                <w:b/>
                <w:bCs/>
                <w:color w:val="auto"/>
                <w:highlight w:val="none"/>
                <w:lang w:val="en-US" w:eastAsia="zh-CN"/>
              </w:rPr>
            </w:pPr>
            <w:r>
              <w:rPr>
                <w:rFonts w:hint="eastAsia"/>
                <w:color w:val="auto"/>
                <w:sz w:val="24"/>
                <w:szCs w:val="24"/>
                <w:highlight w:val="none"/>
                <w:lang w:val="en-US" w:eastAsia="zh-CN"/>
              </w:rPr>
              <w:t>项目使用天然气来源于园区天然气管网，源头为“中缅线”管输天然气工程，其天然气主要成分及理化性质如下表所示。</w:t>
            </w:r>
          </w:p>
          <w:p w14:paraId="3D75EE4B">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b/>
                <w:bCs/>
                <w:color w:val="auto"/>
                <w:sz w:val="21"/>
                <w:szCs w:val="21"/>
                <w:highlight w:val="none"/>
                <w:lang w:val="en-US" w:eastAsia="zh-CN"/>
              </w:rPr>
              <w:t>表</w:t>
            </w:r>
            <w:r>
              <w:rPr>
                <w:rFonts w:hint="eastAsia"/>
                <w:b/>
                <w:bCs/>
                <w:color w:val="auto"/>
                <w:sz w:val="21"/>
                <w:szCs w:val="21"/>
                <w:highlight w:val="none"/>
                <w:lang w:val="en-US" w:eastAsia="zh-CN"/>
              </w:rPr>
              <w:t xml:space="preserve">2-5  </w:t>
            </w:r>
            <w:r>
              <w:rPr>
                <w:rFonts w:hint="eastAsia" w:ascii="Times New Roman" w:hAnsi="Times New Roman" w:eastAsia="宋体"/>
                <w:b/>
                <w:bCs/>
                <w:color w:val="auto"/>
                <w:sz w:val="21"/>
                <w:szCs w:val="21"/>
                <w:highlight w:val="none"/>
                <w:lang w:val="en-US" w:eastAsia="zh-CN"/>
              </w:rPr>
              <w:t>项目使用天然气主要成分及理化性质一览</w:t>
            </w:r>
            <w:r>
              <w:rPr>
                <w:rFonts w:hint="default" w:ascii="Times New Roman" w:hAnsi="Times New Roman" w:eastAsia="宋体" w:cs="Times New Roman"/>
                <w:b/>
                <w:bCs/>
                <w:color w:val="auto"/>
                <w:kern w:val="2"/>
                <w:sz w:val="21"/>
                <w:szCs w:val="21"/>
                <w:highlight w:val="none"/>
                <w:lang w:val="en-US" w:eastAsia="zh-CN" w:bidi="ar-SA"/>
              </w:rPr>
              <w:t>表</w:t>
            </w:r>
          </w:p>
          <w:tbl>
            <w:tblPr>
              <w:tblStyle w:val="30"/>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559"/>
              <w:gridCol w:w="925"/>
              <w:gridCol w:w="1580"/>
              <w:gridCol w:w="1113"/>
              <w:gridCol w:w="1518"/>
              <w:gridCol w:w="652"/>
              <w:gridCol w:w="969"/>
              <w:gridCol w:w="668"/>
            </w:tblGrid>
            <w:tr w14:paraId="7188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09" w:type="dxa"/>
                  <w:noWrap w:val="0"/>
                  <w:vAlign w:val="center"/>
                </w:tcPr>
                <w:p w14:paraId="5CA77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序号</w:t>
                  </w:r>
                </w:p>
              </w:tc>
              <w:tc>
                <w:tcPr>
                  <w:tcW w:w="559" w:type="dxa"/>
                  <w:noWrap w:val="0"/>
                  <w:vAlign w:val="center"/>
                </w:tcPr>
                <w:p w14:paraId="423F41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组份</w:t>
                  </w:r>
                </w:p>
              </w:tc>
              <w:tc>
                <w:tcPr>
                  <w:tcW w:w="925" w:type="dxa"/>
                  <w:noWrap w:val="0"/>
                  <w:vAlign w:val="center"/>
                </w:tcPr>
                <w:p w14:paraId="02121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摩尔百分比%</w:t>
                  </w:r>
                </w:p>
              </w:tc>
              <w:tc>
                <w:tcPr>
                  <w:tcW w:w="1580" w:type="dxa"/>
                  <w:noWrap w:val="0"/>
                  <w:vAlign w:val="center"/>
                </w:tcPr>
                <w:p w14:paraId="287CF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低热值</w:t>
                  </w:r>
                </w:p>
              </w:tc>
              <w:tc>
                <w:tcPr>
                  <w:tcW w:w="1113" w:type="dxa"/>
                  <w:noWrap w:val="0"/>
                  <w:vAlign w:val="center"/>
                </w:tcPr>
                <w:p w14:paraId="32B3C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密度</w:t>
                  </w:r>
                </w:p>
              </w:tc>
              <w:tc>
                <w:tcPr>
                  <w:tcW w:w="1518" w:type="dxa"/>
                  <w:noWrap w:val="0"/>
                  <w:vAlign w:val="center"/>
                </w:tcPr>
                <w:p w14:paraId="70340C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运动粘度</w:t>
                  </w:r>
                </w:p>
              </w:tc>
              <w:tc>
                <w:tcPr>
                  <w:tcW w:w="652" w:type="dxa"/>
                  <w:noWrap w:val="0"/>
                  <w:vAlign w:val="center"/>
                </w:tcPr>
                <w:p w14:paraId="54E91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燃烧势</w:t>
                  </w:r>
                </w:p>
              </w:tc>
              <w:tc>
                <w:tcPr>
                  <w:tcW w:w="969" w:type="dxa"/>
                  <w:noWrap w:val="0"/>
                  <w:vAlign w:val="center"/>
                </w:tcPr>
                <w:p w14:paraId="22ED7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气体常数</w:t>
                  </w:r>
                </w:p>
              </w:tc>
              <w:tc>
                <w:tcPr>
                  <w:tcW w:w="668" w:type="dxa"/>
                  <w:noWrap w:val="0"/>
                  <w:vAlign w:val="center"/>
                </w:tcPr>
                <w:p w14:paraId="64FCB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烃露点</w:t>
                  </w:r>
                </w:p>
              </w:tc>
            </w:tr>
            <w:tr w14:paraId="77A0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09" w:type="dxa"/>
                  <w:noWrap w:val="0"/>
                  <w:vAlign w:val="center"/>
                </w:tcPr>
                <w:p w14:paraId="6C6D9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559" w:type="dxa"/>
                  <w:noWrap w:val="0"/>
                  <w:vAlign w:val="center"/>
                </w:tcPr>
                <w:p w14:paraId="77673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甲烷</w:t>
                  </w:r>
                </w:p>
              </w:tc>
              <w:tc>
                <w:tcPr>
                  <w:tcW w:w="925" w:type="dxa"/>
                  <w:noWrap w:val="0"/>
                  <w:vAlign w:val="center"/>
                </w:tcPr>
                <w:p w14:paraId="0D596A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97.358</w:t>
                  </w:r>
                </w:p>
              </w:tc>
              <w:tc>
                <w:tcPr>
                  <w:tcW w:w="1580" w:type="dxa"/>
                  <w:vMerge w:val="restart"/>
                  <w:noWrap w:val="0"/>
                  <w:vAlign w:val="center"/>
                </w:tcPr>
                <w:p w14:paraId="4061D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35.58MJ/m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（8500kcal/m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，0℃，1atm）</w:t>
                  </w:r>
                </w:p>
                <w:p w14:paraId="55C0C0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p w14:paraId="60AE6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33.50MJ/m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（8500kcal/m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，20℃，1atm）</w:t>
                  </w:r>
                </w:p>
              </w:tc>
              <w:tc>
                <w:tcPr>
                  <w:tcW w:w="1113" w:type="dxa"/>
                  <w:vMerge w:val="restart"/>
                  <w:noWrap w:val="0"/>
                  <w:vAlign w:val="center"/>
                </w:tcPr>
                <w:p w14:paraId="733F4B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0.746kg/m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（0℃，1atm）</w:t>
                  </w:r>
                </w:p>
              </w:tc>
              <w:tc>
                <w:tcPr>
                  <w:tcW w:w="1518" w:type="dxa"/>
                  <w:vMerge w:val="restart"/>
                  <w:noWrap w:val="0"/>
                  <w:vAlign w:val="center"/>
                </w:tcPr>
                <w:p w14:paraId="38DE4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14.18×10</w:t>
                  </w:r>
                  <w:r>
                    <w:rPr>
                      <w:rFonts w:hint="eastAsia" w:ascii="Times New Roman" w:hAnsi="Times New Roman" w:eastAsia="宋体" w:cs="Times New Roman"/>
                      <w:color w:val="auto"/>
                      <w:kern w:val="0"/>
                      <w:sz w:val="21"/>
                      <w:szCs w:val="21"/>
                      <w:highlight w:val="none"/>
                      <w:vertAlign w:val="superscript"/>
                      <w:lang w:val="en-US" w:eastAsia="zh-CN" w:bidi="ar-SA"/>
                    </w:rPr>
                    <w:t>-6</w:t>
                  </w:r>
                  <w:r>
                    <w:rPr>
                      <w:rFonts w:hint="eastAsia" w:ascii="Times New Roman" w:hAnsi="Times New Roman" w:eastAsia="宋体" w:cs="Times New Roman"/>
                      <w:color w:val="auto"/>
                      <w:kern w:val="0"/>
                      <w:sz w:val="21"/>
                      <w:szCs w:val="21"/>
                      <w:highlight w:val="none"/>
                      <w:lang w:val="en-US" w:eastAsia="zh-CN" w:bidi="ar-SA"/>
                    </w:rPr>
                    <w:t>m</w:t>
                  </w:r>
                  <w:r>
                    <w:rPr>
                      <w:rFonts w:hint="eastAsia" w:ascii="Times New Roman" w:hAnsi="Times New Roman" w:eastAsia="宋体" w:cs="Times New Roman"/>
                      <w:color w:val="auto"/>
                      <w:kern w:val="0"/>
                      <w:sz w:val="21"/>
                      <w:szCs w:val="21"/>
                      <w:highlight w:val="none"/>
                      <w:vertAlign w:val="superscript"/>
                      <w:lang w:val="en-US" w:eastAsia="zh-CN" w:bidi="ar-SA"/>
                    </w:rPr>
                    <w:t>2</w:t>
                  </w:r>
                  <w:r>
                    <w:rPr>
                      <w:rFonts w:hint="eastAsia" w:ascii="Times New Roman" w:hAnsi="Times New Roman" w:eastAsia="宋体" w:cs="Times New Roman"/>
                      <w:color w:val="auto"/>
                      <w:kern w:val="0"/>
                      <w:sz w:val="21"/>
                      <w:szCs w:val="21"/>
                      <w:highlight w:val="none"/>
                      <w:lang w:val="en-US" w:eastAsia="zh-CN" w:bidi="ar-SA"/>
                    </w:rPr>
                    <w:t>/S</w:t>
                  </w:r>
                </w:p>
              </w:tc>
              <w:tc>
                <w:tcPr>
                  <w:tcW w:w="652" w:type="dxa"/>
                  <w:vMerge w:val="restart"/>
                  <w:noWrap w:val="0"/>
                  <w:vAlign w:val="center"/>
                </w:tcPr>
                <w:p w14:paraId="56C1C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38.88</w:t>
                  </w:r>
                </w:p>
              </w:tc>
              <w:tc>
                <w:tcPr>
                  <w:tcW w:w="969" w:type="dxa"/>
                  <w:vMerge w:val="restart"/>
                  <w:noWrap w:val="0"/>
                  <w:vAlign w:val="center"/>
                </w:tcPr>
                <w:p w14:paraId="4291F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487J/kgK</w:t>
                  </w:r>
                </w:p>
              </w:tc>
              <w:tc>
                <w:tcPr>
                  <w:tcW w:w="668" w:type="dxa"/>
                  <w:vMerge w:val="restart"/>
                  <w:noWrap w:val="0"/>
                  <w:vAlign w:val="center"/>
                </w:tcPr>
                <w:p w14:paraId="3008BC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＜-40℃</w:t>
                  </w:r>
                </w:p>
              </w:tc>
            </w:tr>
            <w:tr w14:paraId="3CC2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09" w:type="dxa"/>
                  <w:noWrap w:val="0"/>
                  <w:vAlign w:val="center"/>
                </w:tcPr>
                <w:p w14:paraId="6886E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p>
              </w:tc>
              <w:tc>
                <w:tcPr>
                  <w:tcW w:w="559" w:type="dxa"/>
                  <w:noWrap w:val="0"/>
                  <w:vAlign w:val="center"/>
                </w:tcPr>
                <w:p w14:paraId="475A9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乙烷</w:t>
                  </w:r>
                </w:p>
              </w:tc>
              <w:tc>
                <w:tcPr>
                  <w:tcW w:w="925" w:type="dxa"/>
                  <w:noWrap w:val="0"/>
                  <w:vAlign w:val="center"/>
                </w:tcPr>
                <w:p w14:paraId="14B34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0.629</w:t>
                  </w:r>
                </w:p>
              </w:tc>
              <w:tc>
                <w:tcPr>
                  <w:tcW w:w="1580" w:type="dxa"/>
                  <w:vMerge w:val="continue"/>
                  <w:noWrap w:val="0"/>
                  <w:vAlign w:val="center"/>
                </w:tcPr>
                <w:p w14:paraId="09F27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13" w:type="dxa"/>
                  <w:vMerge w:val="continue"/>
                  <w:noWrap w:val="0"/>
                  <w:vAlign w:val="center"/>
                </w:tcPr>
                <w:p w14:paraId="12DF3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518" w:type="dxa"/>
                  <w:vMerge w:val="continue"/>
                  <w:noWrap w:val="0"/>
                  <w:vAlign w:val="center"/>
                </w:tcPr>
                <w:p w14:paraId="75202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52" w:type="dxa"/>
                  <w:vMerge w:val="continue"/>
                  <w:noWrap w:val="0"/>
                  <w:vAlign w:val="center"/>
                </w:tcPr>
                <w:p w14:paraId="76BFD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969" w:type="dxa"/>
                  <w:vMerge w:val="continue"/>
                  <w:noWrap w:val="0"/>
                  <w:vAlign w:val="center"/>
                </w:tcPr>
                <w:p w14:paraId="6B5D5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68" w:type="dxa"/>
                  <w:vMerge w:val="continue"/>
                  <w:noWrap w:val="0"/>
                  <w:vAlign w:val="center"/>
                </w:tcPr>
                <w:p w14:paraId="496FF9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7644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09" w:type="dxa"/>
                  <w:noWrap w:val="0"/>
                  <w:vAlign w:val="center"/>
                </w:tcPr>
                <w:p w14:paraId="69F15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w:t>
                  </w:r>
                </w:p>
              </w:tc>
              <w:tc>
                <w:tcPr>
                  <w:tcW w:w="559" w:type="dxa"/>
                  <w:noWrap w:val="0"/>
                  <w:vAlign w:val="center"/>
                </w:tcPr>
                <w:p w14:paraId="5A50D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丙烷</w:t>
                  </w:r>
                </w:p>
              </w:tc>
              <w:tc>
                <w:tcPr>
                  <w:tcW w:w="925" w:type="dxa"/>
                  <w:noWrap w:val="0"/>
                  <w:vAlign w:val="center"/>
                </w:tcPr>
                <w:p w14:paraId="595A2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0.265</w:t>
                  </w:r>
                </w:p>
              </w:tc>
              <w:tc>
                <w:tcPr>
                  <w:tcW w:w="1580" w:type="dxa"/>
                  <w:vMerge w:val="continue"/>
                  <w:noWrap w:val="0"/>
                  <w:vAlign w:val="center"/>
                </w:tcPr>
                <w:p w14:paraId="667E09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113" w:type="dxa"/>
                  <w:vMerge w:val="continue"/>
                  <w:noWrap w:val="0"/>
                  <w:vAlign w:val="center"/>
                </w:tcPr>
                <w:p w14:paraId="38F67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1518" w:type="dxa"/>
                  <w:vMerge w:val="continue"/>
                  <w:noWrap w:val="0"/>
                  <w:vAlign w:val="center"/>
                </w:tcPr>
                <w:p w14:paraId="11CAE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652" w:type="dxa"/>
                  <w:vMerge w:val="continue"/>
                  <w:noWrap w:val="0"/>
                  <w:vAlign w:val="center"/>
                </w:tcPr>
                <w:p w14:paraId="641D9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969" w:type="dxa"/>
                  <w:vMerge w:val="continue"/>
                  <w:noWrap w:val="0"/>
                  <w:vAlign w:val="center"/>
                </w:tcPr>
                <w:p w14:paraId="5CA39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668" w:type="dxa"/>
                  <w:vMerge w:val="continue"/>
                  <w:noWrap w:val="0"/>
                  <w:vAlign w:val="center"/>
                </w:tcPr>
                <w:p w14:paraId="028ED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r w14:paraId="7CDA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09" w:type="dxa"/>
                  <w:noWrap w:val="0"/>
                  <w:vAlign w:val="center"/>
                </w:tcPr>
                <w:p w14:paraId="406527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4</w:t>
                  </w:r>
                </w:p>
              </w:tc>
              <w:tc>
                <w:tcPr>
                  <w:tcW w:w="559" w:type="dxa"/>
                  <w:noWrap w:val="0"/>
                  <w:vAlign w:val="center"/>
                </w:tcPr>
                <w:p w14:paraId="12CB1C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正丁烷</w:t>
                  </w:r>
                </w:p>
              </w:tc>
              <w:tc>
                <w:tcPr>
                  <w:tcW w:w="925" w:type="dxa"/>
                  <w:noWrap w:val="0"/>
                  <w:vAlign w:val="center"/>
                </w:tcPr>
                <w:p w14:paraId="4E8AB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0.4</w:t>
                  </w:r>
                </w:p>
              </w:tc>
              <w:tc>
                <w:tcPr>
                  <w:tcW w:w="1580" w:type="dxa"/>
                  <w:vMerge w:val="continue"/>
                  <w:noWrap w:val="0"/>
                  <w:vAlign w:val="center"/>
                </w:tcPr>
                <w:p w14:paraId="1E07D1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13" w:type="dxa"/>
                  <w:vMerge w:val="continue"/>
                  <w:noWrap w:val="0"/>
                  <w:vAlign w:val="center"/>
                </w:tcPr>
                <w:p w14:paraId="195A7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518" w:type="dxa"/>
                  <w:vMerge w:val="continue"/>
                  <w:noWrap w:val="0"/>
                  <w:vAlign w:val="center"/>
                </w:tcPr>
                <w:p w14:paraId="23C11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652" w:type="dxa"/>
                  <w:vMerge w:val="continue"/>
                  <w:noWrap w:val="0"/>
                  <w:vAlign w:val="center"/>
                </w:tcPr>
                <w:p w14:paraId="7C1FA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969" w:type="dxa"/>
                  <w:vMerge w:val="continue"/>
                  <w:noWrap w:val="0"/>
                  <w:vAlign w:val="center"/>
                </w:tcPr>
                <w:p w14:paraId="16462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68" w:type="dxa"/>
                  <w:vMerge w:val="continue"/>
                  <w:noWrap w:val="0"/>
                  <w:vAlign w:val="center"/>
                </w:tcPr>
                <w:p w14:paraId="07354E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12A2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09" w:type="dxa"/>
                  <w:noWrap w:val="0"/>
                  <w:vAlign w:val="center"/>
                </w:tcPr>
                <w:p w14:paraId="0301A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w:t>
                  </w:r>
                </w:p>
              </w:tc>
              <w:tc>
                <w:tcPr>
                  <w:tcW w:w="559" w:type="dxa"/>
                  <w:noWrap w:val="0"/>
                  <w:vAlign w:val="center"/>
                </w:tcPr>
                <w:p w14:paraId="6B4EB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N</w:t>
                  </w:r>
                  <w:r>
                    <w:rPr>
                      <w:rFonts w:hint="default" w:ascii="Times New Roman" w:hAnsi="Times New Roman" w:cs="Times New Roman"/>
                      <w:color w:val="auto"/>
                      <w:kern w:val="0"/>
                      <w:sz w:val="21"/>
                      <w:szCs w:val="21"/>
                      <w:highlight w:val="none"/>
                      <w:vertAlign w:val="subscript"/>
                      <w:lang w:val="en-US" w:eastAsia="zh-CN"/>
                    </w:rPr>
                    <w:t>2</w:t>
                  </w:r>
                </w:p>
              </w:tc>
              <w:tc>
                <w:tcPr>
                  <w:tcW w:w="925" w:type="dxa"/>
                  <w:noWrap w:val="0"/>
                  <w:vAlign w:val="center"/>
                </w:tcPr>
                <w:p w14:paraId="250BD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0.792</w:t>
                  </w:r>
                </w:p>
              </w:tc>
              <w:tc>
                <w:tcPr>
                  <w:tcW w:w="1580" w:type="dxa"/>
                  <w:vMerge w:val="continue"/>
                  <w:noWrap w:val="0"/>
                  <w:vAlign w:val="center"/>
                </w:tcPr>
                <w:p w14:paraId="37E21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13" w:type="dxa"/>
                  <w:vMerge w:val="continue"/>
                  <w:noWrap w:val="0"/>
                  <w:vAlign w:val="center"/>
                </w:tcPr>
                <w:p w14:paraId="23963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518" w:type="dxa"/>
                  <w:vMerge w:val="continue"/>
                  <w:noWrap w:val="0"/>
                  <w:vAlign w:val="center"/>
                </w:tcPr>
                <w:p w14:paraId="4228A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652" w:type="dxa"/>
                  <w:vMerge w:val="continue"/>
                  <w:noWrap w:val="0"/>
                  <w:vAlign w:val="center"/>
                </w:tcPr>
                <w:p w14:paraId="16311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969" w:type="dxa"/>
                  <w:vMerge w:val="continue"/>
                  <w:noWrap w:val="0"/>
                  <w:vAlign w:val="center"/>
                </w:tcPr>
                <w:p w14:paraId="33AA1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68" w:type="dxa"/>
                  <w:vMerge w:val="continue"/>
                  <w:noWrap w:val="0"/>
                  <w:vAlign w:val="center"/>
                </w:tcPr>
                <w:p w14:paraId="62F20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02EA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9" w:type="dxa"/>
                  <w:noWrap w:val="0"/>
                  <w:vAlign w:val="center"/>
                </w:tcPr>
                <w:p w14:paraId="4F5D8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6</w:t>
                  </w:r>
                </w:p>
              </w:tc>
              <w:tc>
                <w:tcPr>
                  <w:tcW w:w="559" w:type="dxa"/>
                  <w:noWrap w:val="0"/>
                  <w:vAlign w:val="center"/>
                </w:tcPr>
                <w:p w14:paraId="75DB3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H</w:t>
                  </w:r>
                  <w:r>
                    <w:rPr>
                      <w:rFonts w:hint="default" w:ascii="Times New Roman" w:hAnsi="Times New Roman" w:cs="Times New Roman"/>
                      <w:color w:val="auto"/>
                      <w:kern w:val="0"/>
                      <w:sz w:val="21"/>
                      <w:szCs w:val="21"/>
                      <w:highlight w:val="none"/>
                      <w:vertAlign w:val="subscript"/>
                      <w:lang w:val="en-US" w:eastAsia="zh-CN"/>
                    </w:rPr>
                    <w:t>2</w:t>
                  </w:r>
                  <w:r>
                    <w:rPr>
                      <w:rFonts w:hint="default" w:ascii="Times New Roman" w:hAnsi="Times New Roman" w:cs="Times New Roman"/>
                      <w:color w:val="auto"/>
                      <w:kern w:val="0"/>
                      <w:sz w:val="21"/>
                      <w:szCs w:val="21"/>
                      <w:highlight w:val="none"/>
                      <w:lang w:val="en-US" w:eastAsia="zh-CN"/>
                    </w:rPr>
                    <w:t>S</w:t>
                  </w:r>
                </w:p>
              </w:tc>
              <w:tc>
                <w:tcPr>
                  <w:tcW w:w="925" w:type="dxa"/>
                  <w:noWrap w:val="0"/>
                  <w:vAlign w:val="center"/>
                </w:tcPr>
                <w:p w14:paraId="3F0E3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≤20mg/m</w:t>
                  </w:r>
                  <w:r>
                    <w:rPr>
                      <w:rFonts w:hint="eastAsia" w:ascii="Times New Roman" w:hAnsi="Times New Roman" w:eastAsia="宋体" w:cs="Times New Roman"/>
                      <w:color w:val="auto"/>
                      <w:kern w:val="0"/>
                      <w:sz w:val="21"/>
                      <w:szCs w:val="21"/>
                      <w:highlight w:val="none"/>
                      <w:vertAlign w:val="superscript"/>
                      <w:lang w:val="en-US" w:eastAsia="zh-CN" w:bidi="ar-SA"/>
                    </w:rPr>
                    <w:t>3</w:t>
                  </w:r>
                </w:p>
              </w:tc>
              <w:tc>
                <w:tcPr>
                  <w:tcW w:w="1580" w:type="dxa"/>
                  <w:vMerge w:val="continue"/>
                  <w:noWrap w:val="0"/>
                  <w:vAlign w:val="center"/>
                </w:tcPr>
                <w:p w14:paraId="6C4B8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113" w:type="dxa"/>
                  <w:vMerge w:val="continue"/>
                  <w:noWrap w:val="0"/>
                  <w:vAlign w:val="center"/>
                </w:tcPr>
                <w:p w14:paraId="22967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518" w:type="dxa"/>
                  <w:vMerge w:val="continue"/>
                  <w:noWrap w:val="0"/>
                  <w:vAlign w:val="center"/>
                </w:tcPr>
                <w:p w14:paraId="65412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652" w:type="dxa"/>
                  <w:vMerge w:val="continue"/>
                  <w:noWrap w:val="0"/>
                  <w:vAlign w:val="center"/>
                </w:tcPr>
                <w:p w14:paraId="51C65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69" w:type="dxa"/>
                  <w:vMerge w:val="continue"/>
                  <w:noWrap w:val="0"/>
                  <w:vAlign w:val="center"/>
                </w:tcPr>
                <w:p w14:paraId="2B097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68" w:type="dxa"/>
                  <w:vMerge w:val="continue"/>
                  <w:noWrap w:val="0"/>
                  <w:vAlign w:val="center"/>
                </w:tcPr>
                <w:p w14:paraId="36A2D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11AF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9" w:type="dxa"/>
                  <w:noWrap w:val="0"/>
                  <w:vAlign w:val="center"/>
                </w:tcPr>
                <w:p w14:paraId="21BE0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7</w:t>
                  </w:r>
                </w:p>
              </w:tc>
              <w:tc>
                <w:tcPr>
                  <w:tcW w:w="559" w:type="dxa"/>
                  <w:noWrap w:val="0"/>
                  <w:vAlign w:val="center"/>
                </w:tcPr>
                <w:p w14:paraId="22B16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CO</w:t>
                  </w:r>
                  <w:r>
                    <w:rPr>
                      <w:rFonts w:hint="default" w:ascii="Times New Roman" w:hAnsi="Times New Roman" w:cs="Times New Roman"/>
                      <w:color w:val="auto"/>
                      <w:kern w:val="0"/>
                      <w:sz w:val="21"/>
                      <w:szCs w:val="21"/>
                      <w:highlight w:val="none"/>
                      <w:vertAlign w:val="subscript"/>
                      <w:lang w:val="en-US" w:eastAsia="zh-CN"/>
                    </w:rPr>
                    <w:t>2</w:t>
                  </w:r>
                </w:p>
              </w:tc>
              <w:tc>
                <w:tcPr>
                  <w:tcW w:w="925" w:type="dxa"/>
                  <w:noWrap w:val="0"/>
                  <w:vAlign w:val="center"/>
                </w:tcPr>
                <w:p w14:paraId="3E822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0.803</w:t>
                  </w:r>
                </w:p>
              </w:tc>
              <w:tc>
                <w:tcPr>
                  <w:tcW w:w="1580" w:type="dxa"/>
                  <w:vMerge w:val="continue"/>
                  <w:noWrap w:val="0"/>
                  <w:vAlign w:val="center"/>
                </w:tcPr>
                <w:p w14:paraId="770E9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113" w:type="dxa"/>
                  <w:vMerge w:val="continue"/>
                  <w:noWrap w:val="0"/>
                  <w:vAlign w:val="center"/>
                </w:tcPr>
                <w:p w14:paraId="33348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518" w:type="dxa"/>
                  <w:vMerge w:val="continue"/>
                  <w:noWrap w:val="0"/>
                  <w:vAlign w:val="center"/>
                </w:tcPr>
                <w:p w14:paraId="707074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652" w:type="dxa"/>
                  <w:vMerge w:val="continue"/>
                  <w:noWrap w:val="0"/>
                  <w:vAlign w:val="center"/>
                </w:tcPr>
                <w:p w14:paraId="4B1FC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969" w:type="dxa"/>
                  <w:vMerge w:val="continue"/>
                  <w:noWrap w:val="0"/>
                  <w:vAlign w:val="center"/>
                </w:tcPr>
                <w:p w14:paraId="1AFDE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668" w:type="dxa"/>
                  <w:vMerge w:val="continue"/>
                  <w:noWrap w:val="0"/>
                  <w:vAlign w:val="center"/>
                </w:tcPr>
                <w:p w14:paraId="1331F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r w14:paraId="346A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9" w:type="dxa"/>
                  <w:noWrap w:val="0"/>
                  <w:vAlign w:val="center"/>
                </w:tcPr>
                <w:p w14:paraId="4D4EF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8</w:t>
                  </w:r>
                </w:p>
              </w:tc>
              <w:tc>
                <w:tcPr>
                  <w:tcW w:w="559" w:type="dxa"/>
                  <w:noWrap w:val="0"/>
                  <w:vAlign w:val="center"/>
                </w:tcPr>
                <w:p w14:paraId="72820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H</w:t>
                  </w:r>
                  <w:r>
                    <w:rPr>
                      <w:rFonts w:hint="default" w:ascii="Times New Roman" w:hAnsi="Times New Roman" w:cs="Times New Roman"/>
                      <w:color w:val="auto"/>
                      <w:kern w:val="0"/>
                      <w:sz w:val="21"/>
                      <w:szCs w:val="21"/>
                      <w:highlight w:val="none"/>
                      <w:vertAlign w:val="subscript"/>
                      <w:lang w:val="en-US" w:eastAsia="zh-CN"/>
                    </w:rPr>
                    <w:t>2</w:t>
                  </w:r>
                  <w:r>
                    <w:rPr>
                      <w:rFonts w:hint="default" w:ascii="Times New Roman" w:hAnsi="Times New Roman" w:cs="Times New Roman"/>
                      <w:color w:val="auto"/>
                      <w:kern w:val="0"/>
                      <w:sz w:val="21"/>
                      <w:szCs w:val="21"/>
                      <w:highlight w:val="none"/>
                      <w:lang w:val="en-US" w:eastAsia="zh-CN"/>
                    </w:rPr>
                    <w:t>O</w:t>
                  </w:r>
                </w:p>
              </w:tc>
              <w:tc>
                <w:tcPr>
                  <w:tcW w:w="925" w:type="dxa"/>
                  <w:noWrap w:val="0"/>
                  <w:vAlign w:val="center"/>
                </w:tcPr>
                <w:p w14:paraId="31106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0.149</w:t>
                  </w:r>
                </w:p>
              </w:tc>
              <w:tc>
                <w:tcPr>
                  <w:tcW w:w="1580" w:type="dxa"/>
                  <w:vMerge w:val="continue"/>
                  <w:noWrap w:val="0"/>
                  <w:vAlign w:val="center"/>
                </w:tcPr>
                <w:p w14:paraId="7F902B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113" w:type="dxa"/>
                  <w:vMerge w:val="continue"/>
                  <w:noWrap w:val="0"/>
                  <w:vAlign w:val="center"/>
                </w:tcPr>
                <w:p w14:paraId="3F1D7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1518" w:type="dxa"/>
                  <w:vMerge w:val="continue"/>
                  <w:noWrap w:val="0"/>
                  <w:vAlign w:val="center"/>
                </w:tcPr>
                <w:p w14:paraId="0F72B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652" w:type="dxa"/>
                  <w:vMerge w:val="continue"/>
                  <w:noWrap w:val="0"/>
                  <w:vAlign w:val="center"/>
                </w:tcPr>
                <w:p w14:paraId="6E0CE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969" w:type="dxa"/>
                  <w:vMerge w:val="continue"/>
                  <w:noWrap w:val="0"/>
                  <w:vAlign w:val="center"/>
                </w:tcPr>
                <w:p w14:paraId="0CC0EA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668" w:type="dxa"/>
                  <w:vMerge w:val="continue"/>
                  <w:noWrap w:val="0"/>
                  <w:vAlign w:val="center"/>
                </w:tcPr>
                <w:p w14:paraId="7FD3B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bl>
          <w:p w14:paraId="7FDDF640">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6</w:t>
            </w:r>
            <w:r>
              <w:rPr>
                <w:rFonts w:hint="eastAsia" w:ascii="Times New Roman" w:hAnsi="Times New Roman" w:eastAsia="宋体" w:cs="Times New Roman"/>
                <w:b/>
                <w:bCs/>
                <w:color w:val="auto"/>
                <w:highlight w:val="none"/>
                <w:lang w:val="en-US" w:eastAsia="zh-CN"/>
              </w:rPr>
              <w:t>、劳动定员及工作制度</w:t>
            </w:r>
          </w:p>
          <w:p w14:paraId="2F9E85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（1）项目劳动定员</w:t>
            </w:r>
          </w:p>
          <w:p w14:paraId="7A2BB7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本项目劳动定员为16人。</w:t>
            </w:r>
          </w:p>
          <w:p w14:paraId="7FF842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（2）项目工作制度</w:t>
            </w:r>
          </w:p>
          <w:p w14:paraId="7E39C7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项目全年生产运行300天，每天实行1班制，每班工作8小时。</w:t>
            </w:r>
          </w:p>
          <w:p w14:paraId="6BBB23A1">
            <w:pPr>
              <w:pStyle w:val="73"/>
              <w:keepNext w:val="0"/>
              <w:keepLines w:val="0"/>
              <w:suppressLineNumbers w:val="0"/>
              <w:adjustRightInd/>
              <w:spacing w:before="0" w:beforeAutospacing="0" w:after="0" w:afterAutospacing="0"/>
              <w:ind w:left="0" w:right="0"/>
              <w:rPr>
                <w:rStyle w:val="70"/>
                <w:rFonts w:hint="default" w:ascii="Times New Roman" w:hAnsi="Times New Roman" w:eastAsia="宋体" w:cs="Times New Roman"/>
                <w:b/>
                <w:bCs/>
                <w:color w:val="auto"/>
                <w:sz w:val="24"/>
                <w:szCs w:val="24"/>
                <w:highlight w:val="none"/>
              </w:rPr>
            </w:pPr>
            <w:r>
              <w:rPr>
                <w:rFonts w:hint="eastAsia" w:cs="Times New Roman"/>
                <w:b/>
                <w:bCs/>
                <w:color w:val="auto"/>
                <w:spacing w:val="0"/>
                <w:w w:val="100"/>
                <w:position w:val="0"/>
                <w:sz w:val="24"/>
                <w:szCs w:val="24"/>
                <w:highlight w:val="none"/>
                <w:lang w:val="en-US" w:eastAsia="zh-CN"/>
              </w:rPr>
              <w:t>7</w:t>
            </w:r>
            <w:r>
              <w:rPr>
                <w:rFonts w:hint="default" w:ascii="Times New Roman" w:hAnsi="Times New Roman" w:eastAsia="宋体" w:cs="Times New Roman"/>
                <w:b/>
                <w:bCs/>
                <w:color w:val="auto"/>
                <w:spacing w:val="0"/>
                <w:w w:val="100"/>
                <w:position w:val="0"/>
                <w:sz w:val="24"/>
                <w:szCs w:val="24"/>
                <w:highlight w:val="none"/>
                <w:lang w:val="en-US" w:eastAsia="zh-CN"/>
              </w:rPr>
              <w:t>、</w:t>
            </w:r>
            <w:r>
              <w:rPr>
                <w:rFonts w:hint="eastAsia" w:ascii="Times New Roman" w:hAnsi="Times New Roman" w:eastAsia="宋体" w:cs="Times New Roman"/>
                <w:b/>
                <w:bCs/>
                <w:color w:val="auto"/>
                <w:spacing w:val="0"/>
                <w:w w:val="100"/>
                <w:position w:val="0"/>
                <w:sz w:val="24"/>
                <w:szCs w:val="24"/>
                <w:highlight w:val="none"/>
                <w:lang w:val="en-US" w:eastAsia="zh-CN"/>
              </w:rPr>
              <w:t>施工</w:t>
            </w:r>
            <w:r>
              <w:rPr>
                <w:rFonts w:hint="default" w:ascii="Times New Roman" w:hAnsi="Times New Roman" w:eastAsia="宋体" w:cs="Times New Roman"/>
                <w:b/>
                <w:bCs/>
                <w:color w:val="auto"/>
                <w:spacing w:val="0"/>
                <w:w w:val="100"/>
                <w:position w:val="0"/>
                <w:sz w:val="24"/>
                <w:szCs w:val="24"/>
                <w:highlight w:val="none"/>
                <w:lang w:val="en-US" w:eastAsia="zh-CN"/>
              </w:rPr>
              <w:t>进度</w:t>
            </w:r>
            <w:r>
              <w:rPr>
                <w:rStyle w:val="70"/>
                <w:rFonts w:hint="default" w:ascii="Times New Roman" w:hAnsi="Times New Roman" w:eastAsia="宋体" w:cs="Times New Roman"/>
                <w:b/>
                <w:bCs/>
                <w:color w:val="auto"/>
                <w:sz w:val="24"/>
                <w:szCs w:val="24"/>
                <w:highlight w:val="none"/>
              </w:rPr>
              <w:t>计划</w:t>
            </w:r>
          </w:p>
          <w:p w14:paraId="2AFAA612">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sz w:val="24"/>
                <w:szCs w:val="24"/>
                <w:highlight w:val="none"/>
                <w:lang w:val="en-US" w:eastAsia="zh-CN"/>
              </w:rPr>
            </w:pPr>
            <w:r>
              <w:rPr>
                <w:rFonts w:hint="eastAsia"/>
                <w:color w:val="auto"/>
                <w:sz w:val="24"/>
                <w:highlight w:val="none"/>
              </w:rPr>
              <w:t>项目</w:t>
            </w:r>
            <w:r>
              <w:rPr>
                <w:rFonts w:hint="eastAsia"/>
                <w:color w:val="auto"/>
                <w:sz w:val="24"/>
                <w:highlight w:val="none"/>
                <w:lang w:val="en-US" w:eastAsia="zh-CN"/>
              </w:rPr>
              <w:t>目前设备已基本安装完成，待取得批复后开始调试并试运营。</w:t>
            </w:r>
          </w:p>
          <w:p w14:paraId="65EFD169">
            <w:pPr>
              <w:pStyle w:val="73"/>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eastAsia" w:cs="Times New Roman"/>
                <w:b/>
                <w:bCs/>
                <w:color w:val="auto"/>
                <w:spacing w:val="0"/>
                <w:w w:val="100"/>
                <w:position w:val="0"/>
                <w:sz w:val="24"/>
                <w:szCs w:val="24"/>
                <w:highlight w:val="none"/>
                <w:lang w:val="en-US" w:eastAsia="zh-CN"/>
              </w:rPr>
              <w:t>8</w:t>
            </w:r>
            <w:r>
              <w:rPr>
                <w:rFonts w:hint="eastAsia" w:ascii="Times New Roman" w:hAnsi="Times New Roman" w:eastAsia="宋体" w:cs="Times New Roman"/>
                <w:b/>
                <w:bCs/>
                <w:color w:val="auto"/>
                <w:spacing w:val="0"/>
                <w:w w:val="100"/>
                <w:position w:val="0"/>
                <w:sz w:val="24"/>
                <w:szCs w:val="24"/>
                <w:highlight w:val="none"/>
                <w:lang w:val="en-US" w:eastAsia="zh-CN"/>
              </w:rPr>
              <w:t>、项目平面布置</w:t>
            </w:r>
          </w:p>
          <w:p w14:paraId="46B2AFB9">
            <w:pPr>
              <w:keepNext w:val="0"/>
              <w:keepLines w:val="0"/>
              <w:suppressLineNumbers w:val="0"/>
              <w:adjustRightInd w:val="0"/>
              <w:snapToGrid w:val="0"/>
              <w:spacing w:before="0" w:beforeAutospacing="0" w:after="0" w:afterAutospacing="0" w:line="360" w:lineRule="auto"/>
              <w:ind w:left="0" w:right="0" w:firstLine="480" w:firstLineChars="200"/>
              <w:rPr>
                <w:rFonts w:hint="default" w:cs="宋体"/>
                <w:color w:val="auto"/>
                <w:sz w:val="24"/>
                <w:szCs w:val="24"/>
                <w:highlight w:val="none"/>
                <w:lang w:val="en-US" w:eastAsia="zh-CN"/>
              </w:rPr>
            </w:pPr>
            <w:r>
              <w:rPr>
                <w:rFonts w:hint="eastAsia" w:cs="Times New Roman"/>
                <w:color w:val="auto"/>
                <w:sz w:val="24"/>
                <w:szCs w:val="24"/>
                <w:highlight w:val="none"/>
                <w:lang w:val="en-US" w:eastAsia="zh-CN"/>
              </w:rPr>
              <w:t>项目租用寻甸荣禾工贸有限公司的</w:t>
            </w:r>
            <w:r>
              <w:rPr>
                <w:rFonts w:hint="eastAsia" w:cs="宋体"/>
                <w:color w:val="auto"/>
                <w:sz w:val="24"/>
                <w:szCs w:val="24"/>
                <w:lang w:val="en-US" w:eastAsia="zh-CN"/>
              </w:rPr>
              <w:t>1栋2层生产</w:t>
            </w:r>
            <w:r>
              <w:rPr>
                <w:rFonts w:hint="eastAsia" w:ascii="Times New Roman" w:hAnsi="Times New Roman" w:eastAsia="宋体" w:cs="宋体"/>
                <w:color w:val="auto"/>
                <w:sz w:val="24"/>
                <w:szCs w:val="24"/>
                <w:lang w:val="en-US" w:eastAsia="zh-CN"/>
              </w:rPr>
              <w:t>厂房</w:t>
            </w:r>
            <w:r>
              <w:rPr>
                <w:rFonts w:hint="eastAsia" w:cs="Times New Roman"/>
                <w:color w:val="auto"/>
                <w:sz w:val="24"/>
                <w:szCs w:val="24"/>
                <w:highlight w:val="none"/>
                <w:lang w:val="en-US" w:eastAsia="zh-CN"/>
              </w:rPr>
              <w:t>进行建设</w:t>
            </w:r>
            <w:r>
              <w:rPr>
                <w:rFonts w:hint="eastAsia" w:cs="宋体"/>
                <w:color w:val="auto"/>
                <w:sz w:val="24"/>
                <w:szCs w:val="24"/>
                <w:lang w:val="en-US" w:eastAsia="zh-CN"/>
              </w:rPr>
              <w:t>，项目区设1个出入口，位于项目区西北侧，项目区北侧为2层生活区，不设置食堂，主要为门卫值班室、办公室、宿舍和卫生间。本次新建项目只占用生产厂房1楼，2楼闲置。其中，生产厂房1楼东北侧设置危废暂存间，西北侧设置一般固废暂存间，西侧分别设置成品堆放区和原料堆放区，西南侧设胶水搅拌间，生产区位于东北侧，共3条生产线，生产厂房北侧设废气处理系统。</w:t>
            </w:r>
          </w:p>
          <w:p w14:paraId="4DC3092E">
            <w:pPr>
              <w:pStyle w:val="73"/>
              <w:keepNext w:val="0"/>
              <w:keepLines w:val="0"/>
              <w:suppressLineNumbers w:val="0"/>
              <w:adjustRightInd/>
              <w:spacing w:before="0" w:beforeAutospacing="0" w:after="0" w:afterAutospacing="0"/>
              <w:ind w:left="0" w:right="0"/>
              <w:rPr>
                <w:rFonts w:hint="default" w:ascii="Times New Roman" w:hAnsi="Times New Roman" w:eastAsia="宋体" w:cs="Times New Roman"/>
                <w:b/>
                <w:bCs/>
                <w:color w:val="auto"/>
                <w:spacing w:val="0"/>
                <w:w w:val="100"/>
                <w:position w:val="0"/>
                <w:sz w:val="24"/>
                <w:szCs w:val="24"/>
                <w:highlight w:val="none"/>
                <w:lang w:val="en-US" w:eastAsia="zh-CN"/>
              </w:rPr>
            </w:pPr>
            <w:r>
              <w:rPr>
                <w:rFonts w:hint="eastAsia" w:cs="Times New Roman"/>
                <w:b/>
                <w:bCs/>
                <w:color w:val="auto"/>
                <w:spacing w:val="0"/>
                <w:w w:val="100"/>
                <w:position w:val="0"/>
                <w:sz w:val="24"/>
                <w:szCs w:val="24"/>
                <w:highlight w:val="none"/>
                <w:lang w:val="en-US" w:eastAsia="zh-CN"/>
              </w:rPr>
              <w:t>9</w:t>
            </w:r>
            <w:r>
              <w:rPr>
                <w:rFonts w:hint="eastAsia" w:ascii="Times New Roman" w:hAnsi="Times New Roman" w:eastAsia="宋体" w:cs="Times New Roman"/>
                <w:b/>
                <w:bCs/>
                <w:color w:val="auto"/>
                <w:spacing w:val="0"/>
                <w:w w:val="100"/>
                <w:position w:val="0"/>
                <w:sz w:val="24"/>
                <w:szCs w:val="24"/>
                <w:highlight w:val="none"/>
                <w:lang w:val="en-US" w:eastAsia="zh-CN"/>
              </w:rPr>
              <w:t>、环保投资</w:t>
            </w:r>
          </w:p>
          <w:p w14:paraId="7C8405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项目总投资</w:t>
            </w:r>
            <w:r>
              <w:rPr>
                <w:rFonts w:hint="eastAsia"/>
                <w:color w:val="auto"/>
                <w:sz w:val="24"/>
                <w:szCs w:val="24"/>
                <w:highlight w:val="none"/>
                <w:lang w:val="en-US" w:eastAsia="zh-CN"/>
              </w:rPr>
              <w:t>1500</w:t>
            </w:r>
            <w:r>
              <w:rPr>
                <w:rFonts w:hint="default"/>
                <w:color w:val="auto"/>
                <w:sz w:val="24"/>
                <w:szCs w:val="24"/>
                <w:highlight w:val="none"/>
                <w:lang w:val="en-US" w:eastAsia="zh-CN"/>
              </w:rPr>
              <w:t>万元，环保投资共</w:t>
            </w:r>
            <w:r>
              <w:rPr>
                <w:rFonts w:hint="eastAsia"/>
                <w:color w:val="auto"/>
                <w:sz w:val="24"/>
                <w:szCs w:val="24"/>
                <w:highlight w:val="none"/>
                <w:lang w:val="en-US" w:eastAsia="zh-CN"/>
              </w:rPr>
              <w:t>33</w:t>
            </w:r>
            <w:r>
              <w:rPr>
                <w:rFonts w:hint="default"/>
                <w:color w:val="auto"/>
                <w:sz w:val="24"/>
                <w:szCs w:val="24"/>
                <w:highlight w:val="none"/>
                <w:lang w:val="en-US" w:eastAsia="zh-CN"/>
              </w:rPr>
              <w:t>万元，占总投资的</w:t>
            </w:r>
            <w:r>
              <w:rPr>
                <w:rFonts w:hint="eastAsia"/>
                <w:color w:val="auto"/>
                <w:sz w:val="24"/>
                <w:szCs w:val="24"/>
                <w:highlight w:val="none"/>
                <w:lang w:val="en-US" w:eastAsia="zh-CN"/>
              </w:rPr>
              <w:t>2.2</w:t>
            </w:r>
            <w:r>
              <w:rPr>
                <w:rFonts w:hint="default"/>
                <w:color w:val="auto"/>
                <w:sz w:val="24"/>
                <w:szCs w:val="24"/>
                <w:highlight w:val="none"/>
                <w:lang w:val="en-US" w:eastAsia="zh-CN"/>
              </w:rPr>
              <w:t>%，项目环保投资情况见表2-</w:t>
            </w:r>
            <w:r>
              <w:rPr>
                <w:rFonts w:hint="eastAsia"/>
                <w:color w:val="auto"/>
                <w:sz w:val="24"/>
                <w:szCs w:val="24"/>
                <w:highlight w:val="none"/>
                <w:lang w:val="en-US" w:eastAsia="zh-CN"/>
              </w:rPr>
              <w:t>6</w:t>
            </w:r>
            <w:r>
              <w:rPr>
                <w:rFonts w:hint="default"/>
                <w:color w:val="auto"/>
                <w:sz w:val="24"/>
                <w:szCs w:val="24"/>
                <w:highlight w:val="none"/>
                <w:lang w:val="en-US" w:eastAsia="zh-CN"/>
              </w:rPr>
              <w:t>。</w:t>
            </w:r>
          </w:p>
          <w:p w14:paraId="44D4A8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lang w:val="en-US" w:eastAsia="zh-CN"/>
              </w:rPr>
            </w:pPr>
            <w:r>
              <w:rPr>
                <w:rFonts w:hint="default" w:ascii="Times New Roman" w:hAnsi="Times New Roman" w:eastAsia="宋体"/>
                <w:b/>
                <w:bCs/>
                <w:color w:val="auto"/>
                <w:sz w:val="21"/>
                <w:szCs w:val="21"/>
                <w:highlight w:val="none"/>
                <w:lang w:val="en-US" w:eastAsia="zh-CN"/>
              </w:rPr>
              <w:t>表2-</w:t>
            </w:r>
            <w:r>
              <w:rPr>
                <w:rFonts w:hint="eastAsia"/>
                <w:b/>
                <w:bCs/>
                <w:color w:val="auto"/>
                <w:sz w:val="21"/>
                <w:szCs w:val="21"/>
                <w:highlight w:val="none"/>
                <w:lang w:val="en-US" w:eastAsia="zh-CN"/>
              </w:rPr>
              <w:t>6</w:t>
            </w:r>
            <w:r>
              <w:rPr>
                <w:rFonts w:hint="default" w:ascii="Times New Roman" w:hAnsi="Times New Roman" w:eastAsia="宋体"/>
                <w:b/>
                <w:bCs/>
                <w:color w:val="auto"/>
                <w:sz w:val="21"/>
                <w:szCs w:val="21"/>
                <w:highlight w:val="none"/>
                <w:lang w:val="en-US" w:eastAsia="zh-CN"/>
              </w:rPr>
              <w:t xml:space="preserve">  项目环保投资一览表</w:t>
            </w:r>
          </w:p>
          <w:tbl>
            <w:tblPr>
              <w:tblStyle w:val="3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15"/>
              <w:gridCol w:w="1252"/>
              <w:gridCol w:w="3606"/>
              <w:gridCol w:w="688"/>
              <w:gridCol w:w="1081"/>
              <w:gridCol w:w="722"/>
            </w:tblGrid>
            <w:tr w14:paraId="7D4D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93" w:type="dxa"/>
                  <w:gridSpan w:val="3"/>
                  <w:vAlign w:val="center"/>
                </w:tcPr>
                <w:p w14:paraId="7C5E6D0C">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3606" w:type="dxa"/>
                  <w:vAlign w:val="center"/>
                </w:tcPr>
                <w:p w14:paraId="3EC017BB">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环保设施名称</w:t>
                  </w:r>
                </w:p>
              </w:tc>
              <w:tc>
                <w:tcPr>
                  <w:tcW w:w="688" w:type="dxa"/>
                  <w:vAlign w:val="center"/>
                </w:tcPr>
                <w:p w14:paraId="1A1264D2">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1081" w:type="dxa"/>
                  <w:vAlign w:val="center"/>
                </w:tcPr>
                <w:p w14:paraId="6473A139">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投资概算（万</w:t>
                  </w:r>
                  <w:r>
                    <w:rPr>
                      <w:rFonts w:hint="default" w:ascii="Times New Roman" w:hAnsi="Times New Roman" w:eastAsia="宋体" w:cs="Times New Roman"/>
                      <w:b/>
                      <w:color w:val="auto"/>
                      <w:sz w:val="21"/>
                      <w:szCs w:val="21"/>
                      <w:highlight w:val="none"/>
                      <w:lang w:eastAsia="zh-CN"/>
                    </w:rPr>
                    <w:t>元</w:t>
                  </w:r>
                  <w:r>
                    <w:rPr>
                      <w:rFonts w:hint="default" w:ascii="Times New Roman" w:hAnsi="Times New Roman" w:eastAsia="宋体" w:cs="Times New Roman"/>
                      <w:b/>
                      <w:color w:val="auto"/>
                      <w:sz w:val="21"/>
                      <w:szCs w:val="21"/>
                      <w:highlight w:val="none"/>
                    </w:rPr>
                    <w:t>）</w:t>
                  </w:r>
                </w:p>
              </w:tc>
              <w:tc>
                <w:tcPr>
                  <w:tcW w:w="722" w:type="dxa"/>
                  <w:vAlign w:val="center"/>
                </w:tcPr>
                <w:p w14:paraId="25CC6007">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5118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0A3B6DDC">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运营期</w:t>
                  </w:r>
                </w:p>
              </w:tc>
              <w:tc>
                <w:tcPr>
                  <w:tcW w:w="615" w:type="dxa"/>
                  <w:vMerge w:val="restart"/>
                  <w:vAlign w:val="center"/>
                </w:tcPr>
                <w:p w14:paraId="2085CFD1">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p w14:paraId="59B7FAF0">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w:t>
                  </w:r>
                </w:p>
              </w:tc>
              <w:tc>
                <w:tcPr>
                  <w:tcW w:w="1252" w:type="dxa"/>
                  <w:vAlign w:val="center"/>
                </w:tcPr>
                <w:p w14:paraId="337FDB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天然气燃烧废气</w:t>
                  </w:r>
                </w:p>
              </w:tc>
              <w:tc>
                <w:tcPr>
                  <w:tcW w:w="3606" w:type="dxa"/>
                  <w:vAlign w:val="center"/>
                </w:tcPr>
                <w:p w14:paraId="61D87FC3">
                  <w:pPr>
                    <w:keepNext w:val="0"/>
                    <w:keepLines w:val="0"/>
                    <w:pageBreakBefore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m高排气筒（DA00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tc>
              <w:tc>
                <w:tcPr>
                  <w:tcW w:w="688" w:type="dxa"/>
                  <w:vAlign w:val="center"/>
                </w:tcPr>
                <w:p w14:paraId="6616C5E1">
                  <w:pPr>
                    <w:pStyle w:val="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081" w:type="dxa"/>
                  <w:vAlign w:val="center"/>
                </w:tcPr>
                <w:p w14:paraId="2D417F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w:t>
                  </w:r>
                </w:p>
              </w:tc>
              <w:tc>
                <w:tcPr>
                  <w:tcW w:w="722" w:type="dxa"/>
                  <w:vAlign w:val="center"/>
                </w:tcPr>
                <w:p w14:paraId="45592C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2362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14BC02E">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15" w:type="dxa"/>
                  <w:vMerge w:val="continue"/>
                  <w:vAlign w:val="center"/>
                </w:tcPr>
                <w:p w14:paraId="76E99B10">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252" w:type="dxa"/>
                  <w:vAlign w:val="center"/>
                </w:tcPr>
                <w:p w14:paraId="136A1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eastAsia"/>
                      <w:b w:val="0"/>
                      <w:bCs w:val="0"/>
                      <w:color w:val="auto"/>
                      <w:sz w:val="21"/>
                      <w:szCs w:val="21"/>
                      <w:highlight w:val="none"/>
                      <w:lang w:val="en-US" w:eastAsia="zh-CN"/>
                    </w:rPr>
                    <w:t>有机</w:t>
                  </w:r>
                  <w:r>
                    <w:rPr>
                      <w:rFonts w:hint="eastAsia" w:ascii="Times New Roman" w:hAnsi="Times New Roman" w:eastAsia="宋体"/>
                      <w:b w:val="0"/>
                      <w:bCs w:val="0"/>
                      <w:color w:val="auto"/>
                      <w:sz w:val="21"/>
                      <w:szCs w:val="21"/>
                      <w:highlight w:val="none"/>
                      <w:lang w:val="en-US" w:eastAsia="zh-CN"/>
                    </w:rPr>
                    <w:t>废气</w:t>
                  </w:r>
                </w:p>
              </w:tc>
              <w:tc>
                <w:tcPr>
                  <w:tcW w:w="3606" w:type="dxa"/>
                  <w:vAlign w:val="center"/>
                </w:tcPr>
                <w:p w14:paraId="579BCE1D">
                  <w:pPr>
                    <w:keepNext w:val="0"/>
                    <w:keepLines w:val="0"/>
                    <w:pageBreakBefore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eastAsia"/>
                      <w:color w:val="auto"/>
                      <w:kern w:val="0"/>
                      <w:sz w:val="21"/>
                      <w:szCs w:val="21"/>
                      <w:highlight w:val="none"/>
                      <w:lang w:val="en-US" w:eastAsia="zh-CN"/>
                    </w:rPr>
                    <w:t>集气罩+</w:t>
                  </w:r>
                  <w:r>
                    <w:rPr>
                      <w:rFonts w:hint="default" w:ascii="Times New Roman" w:hAnsi="Times New Roman" w:eastAsia="宋体"/>
                      <w:color w:val="auto"/>
                      <w:kern w:val="0"/>
                      <w:sz w:val="21"/>
                      <w:szCs w:val="21"/>
                      <w:highlight w:val="none"/>
                      <w:lang w:val="en-US" w:eastAsia="zh-CN"/>
                    </w:rPr>
                    <w:t>“UV光解+三级活性炭吸附净化装置”+</w:t>
                  </w:r>
                  <w:r>
                    <w:rPr>
                      <w:rFonts w:hint="eastAsia"/>
                      <w:color w:val="auto"/>
                      <w:kern w:val="0"/>
                      <w:sz w:val="21"/>
                      <w:szCs w:val="21"/>
                      <w:highlight w:val="none"/>
                      <w:lang w:val="en-US" w:eastAsia="zh-CN"/>
                    </w:rPr>
                    <w:t>15</w:t>
                  </w:r>
                  <w:r>
                    <w:rPr>
                      <w:rFonts w:hint="default" w:ascii="Times New Roman" w:hAnsi="Times New Roman" w:eastAsia="宋体"/>
                      <w:color w:val="auto"/>
                      <w:kern w:val="0"/>
                      <w:sz w:val="21"/>
                      <w:szCs w:val="21"/>
                      <w:highlight w:val="none"/>
                      <w:lang w:val="en-US" w:eastAsia="zh-CN"/>
                    </w:rPr>
                    <w:t>m高排气筒</w:t>
                  </w:r>
                  <w:r>
                    <w:rPr>
                      <w:rFonts w:hint="eastAsia"/>
                      <w:color w:val="auto"/>
                      <w:kern w:val="0"/>
                      <w:sz w:val="21"/>
                      <w:szCs w:val="21"/>
                      <w:highlight w:val="none"/>
                      <w:lang w:val="en-US" w:eastAsia="zh-CN"/>
                    </w:rPr>
                    <w:t>（DA001）</w:t>
                  </w:r>
                </w:p>
              </w:tc>
              <w:tc>
                <w:tcPr>
                  <w:tcW w:w="688" w:type="dxa"/>
                  <w:vAlign w:val="center"/>
                </w:tcPr>
                <w:p w14:paraId="533E4B15">
                  <w:pPr>
                    <w:pStyle w:val="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套</w:t>
                  </w:r>
                </w:p>
              </w:tc>
              <w:tc>
                <w:tcPr>
                  <w:tcW w:w="1081" w:type="dxa"/>
                  <w:vAlign w:val="center"/>
                </w:tcPr>
                <w:p w14:paraId="1FD262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5</w:t>
                  </w:r>
                </w:p>
              </w:tc>
              <w:tc>
                <w:tcPr>
                  <w:tcW w:w="722" w:type="dxa"/>
                  <w:vAlign w:val="center"/>
                </w:tcPr>
                <w:p w14:paraId="7C7555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1528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26" w:type="dxa"/>
                  <w:vMerge w:val="continue"/>
                  <w:vAlign w:val="center"/>
                </w:tcPr>
                <w:p w14:paraId="0F543DBA">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15" w:type="dxa"/>
                  <w:vMerge w:val="restart"/>
                  <w:vAlign w:val="center"/>
                </w:tcPr>
                <w:p w14:paraId="2C8C0DDC">
                  <w:pPr>
                    <w:keepNext w:val="0"/>
                    <w:keepLines w:val="0"/>
                    <w:pageBreakBefore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252" w:type="dxa"/>
                  <w:vMerge w:val="restart"/>
                  <w:vAlign w:val="center"/>
                </w:tcPr>
                <w:p w14:paraId="7F9C20CB">
                  <w:pPr>
                    <w:keepNext w:val="0"/>
                    <w:keepLines w:val="0"/>
                    <w:pageBreakBefore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w:t>
                  </w:r>
                  <w:r>
                    <w:rPr>
                      <w:rFonts w:hint="eastAsia" w:ascii="Times New Roman" w:hAnsi="Times New Roman" w:eastAsia="宋体" w:cs="Times New Roman"/>
                      <w:color w:val="auto"/>
                      <w:sz w:val="21"/>
                      <w:szCs w:val="21"/>
                      <w:highlight w:val="none"/>
                      <w:lang w:val="en-US" w:eastAsia="zh-CN"/>
                    </w:rPr>
                    <w:t>污水</w:t>
                  </w:r>
                </w:p>
              </w:tc>
              <w:tc>
                <w:tcPr>
                  <w:tcW w:w="3606" w:type="dxa"/>
                  <w:vAlign w:val="center"/>
                </w:tcPr>
                <w:p w14:paraId="21287B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容积为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的化粪池</w:t>
                  </w:r>
                </w:p>
              </w:tc>
              <w:tc>
                <w:tcPr>
                  <w:tcW w:w="688" w:type="dxa"/>
                  <w:vAlign w:val="center"/>
                </w:tcPr>
                <w:p w14:paraId="12724904">
                  <w:pPr>
                    <w:pStyle w:val="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1</w:t>
                  </w:r>
                  <w:r>
                    <w:rPr>
                      <w:rFonts w:hint="default" w:ascii="Times New Roman" w:hAnsi="Times New Roman" w:eastAsia="宋体" w:cs="Times New Roman"/>
                      <w:bCs/>
                      <w:color w:val="auto"/>
                      <w:sz w:val="21"/>
                      <w:szCs w:val="21"/>
                      <w:highlight w:val="none"/>
                      <w:lang w:val="en-US" w:eastAsia="zh-CN"/>
                    </w:rPr>
                    <w:t>个</w:t>
                  </w:r>
                </w:p>
              </w:tc>
              <w:tc>
                <w:tcPr>
                  <w:tcW w:w="1081" w:type="dxa"/>
                  <w:vAlign w:val="center"/>
                </w:tcPr>
                <w:p w14:paraId="63DA5C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22" w:type="dxa"/>
                  <w:vAlign w:val="center"/>
                </w:tcPr>
                <w:p w14:paraId="3B150E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依托原有</w:t>
                  </w:r>
                </w:p>
              </w:tc>
            </w:tr>
            <w:tr w14:paraId="7305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vAlign w:val="center"/>
                </w:tcPr>
                <w:p w14:paraId="707474A8">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15" w:type="dxa"/>
                  <w:vMerge w:val="continue"/>
                  <w:vAlign w:val="center"/>
                </w:tcPr>
                <w:p w14:paraId="0FA79A8E">
                  <w:pPr>
                    <w:keepNext w:val="0"/>
                    <w:keepLines w:val="0"/>
                    <w:pageBreakBefore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252" w:type="dxa"/>
                  <w:vMerge w:val="continue"/>
                  <w:vAlign w:val="center"/>
                </w:tcPr>
                <w:p w14:paraId="6120FA5B">
                  <w:pPr>
                    <w:keepNext w:val="0"/>
                    <w:keepLines w:val="0"/>
                    <w:pageBreakBefore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3606" w:type="dxa"/>
                  <w:vAlign w:val="center"/>
                </w:tcPr>
                <w:p w14:paraId="7F14E9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处理规模</w:t>
                  </w:r>
                  <w:r>
                    <w:rPr>
                      <w:rFonts w:hint="eastAsia" w:cs="Times New Roman"/>
                      <w:bCs/>
                      <w:color w:val="auto"/>
                      <w:sz w:val="21"/>
                      <w:szCs w:val="21"/>
                      <w:highlight w:val="none"/>
                      <w:lang w:val="en-US" w:eastAsia="zh-CN"/>
                    </w:rPr>
                    <w:t>为5</w:t>
                  </w:r>
                  <w:r>
                    <w:rPr>
                      <w:rFonts w:hint="default" w:ascii="Times New Roman" w:hAnsi="Times New Roman" w:eastAsia="宋体" w:cs="Times New Roman"/>
                      <w:color w:val="auto"/>
                      <w:sz w:val="21"/>
                      <w:szCs w:val="21"/>
                      <w:highlight w:val="none"/>
                      <w:u w:val="none"/>
                      <w:lang w:val="en-US" w:eastAsia="zh-CN"/>
                    </w:rPr>
                    <w:t>m</w:t>
                  </w:r>
                  <w:r>
                    <w:rPr>
                      <w:rFonts w:hint="default" w:ascii="Times New Roman" w:hAnsi="Times New Roman" w:eastAsia="宋体" w:cs="Times New Roman"/>
                      <w:color w:val="auto"/>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u w:val="none"/>
                      <w:lang w:val="en-US" w:eastAsia="zh-CN"/>
                    </w:rPr>
                    <w:t>/d</w:t>
                  </w:r>
                  <w:r>
                    <w:rPr>
                      <w:rFonts w:hint="eastAsia"/>
                      <w:color w:val="auto"/>
                      <w:kern w:val="0"/>
                      <w:sz w:val="21"/>
                      <w:szCs w:val="21"/>
                      <w:highlight w:val="none"/>
                      <w:lang w:val="en-US" w:eastAsia="zh-CN"/>
                    </w:rPr>
                    <w:t>的一体化污水处理设施</w:t>
                  </w:r>
                </w:p>
              </w:tc>
              <w:tc>
                <w:tcPr>
                  <w:tcW w:w="688" w:type="dxa"/>
                  <w:vAlign w:val="center"/>
                </w:tcPr>
                <w:p w14:paraId="016C329C">
                  <w:pPr>
                    <w:pStyle w:val="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1个</w:t>
                  </w:r>
                </w:p>
              </w:tc>
              <w:tc>
                <w:tcPr>
                  <w:tcW w:w="1081" w:type="dxa"/>
                  <w:vAlign w:val="center"/>
                </w:tcPr>
                <w:p w14:paraId="799627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22" w:type="dxa"/>
                  <w:vAlign w:val="center"/>
                </w:tcPr>
                <w:p w14:paraId="113D76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依托原有</w:t>
                  </w:r>
                </w:p>
              </w:tc>
            </w:tr>
            <w:tr w14:paraId="2EC2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7C7E7940">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15" w:type="dxa"/>
                  <w:vMerge w:val="continue"/>
                  <w:vAlign w:val="center"/>
                </w:tcPr>
                <w:p w14:paraId="2405F5FC">
                  <w:pPr>
                    <w:keepNext w:val="0"/>
                    <w:keepLines w:val="0"/>
                    <w:pageBreakBefore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252" w:type="dxa"/>
                  <w:vMerge w:val="continue"/>
                  <w:vAlign w:val="center"/>
                </w:tcPr>
                <w:p w14:paraId="619145B2">
                  <w:pPr>
                    <w:keepNext w:val="0"/>
                    <w:keepLines w:val="0"/>
                    <w:pageBreakBefore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3606" w:type="dxa"/>
                  <w:vAlign w:val="center"/>
                </w:tcPr>
                <w:p w14:paraId="17D45C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容积为10m</w:t>
                  </w:r>
                  <w:r>
                    <w:rPr>
                      <w:rFonts w:hint="eastAsia" w:cs="Times New Roman"/>
                      <w:bCs/>
                      <w:color w:val="auto"/>
                      <w:sz w:val="21"/>
                      <w:szCs w:val="21"/>
                      <w:highlight w:val="none"/>
                      <w:vertAlign w:val="superscript"/>
                      <w:lang w:val="en-US" w:eastAsia="zh-CN"/>
                    </w:rPr>
                    <w:t>3</w:t>
                  </w:r>
                  <w:r>
                    <w:rPr>
                      <w:rFonts w:hint="eastAsia" w:cs="Times New Roman"/>
                      <w:bCs/>
                      <w:color w:val="auto"/>
                      <w:sz w:val="21"/>
                      <w:szCs w:val="21"/>
                      <w:highlight w:val="none"/>
                      <w:lang w:val="en-US" w:eastAsia="zh-CN"/>
                    </w:rPr>
                    <w:t>的暂存池</w:t>
                  </w:r>
                </w:p>
              </w:tc>
              <w:tc>
                <w:tcPr>
                  <w:tcW w:w="688" w:type="dxa"/>
                  <w:vAlign w:val="center"/>
                </w:tcPr>
                <w:p w14:paraId="6AE7BAB6">
                  <w:pPr>
                    <w:pStyle w:val="9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1个</w:t>
                  </w:r>
                </w:p>
              </w:tc>
              <w:tc>
                <w:tcPr>
                  <w:tcW w:w="1081" w:type="dxa"/>
                  <w:vAlign w:val="center"/>
                </w:tcPr>
                <w:p w14:paraId="015CD8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722" w:type="dxa"/>
                  <w:vAlign w:val="center"/>
                </w:tcPr>
                <w:p w14:paraId="770DB8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依托原有</w:t>
                  </w:r>
                </w:p>
              </w:tc>
            </w:tr>
            <w:tr w14:paraId="258E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26" w:type="dxa"/>
                  <w:vMerge w:val="continue"/>
                  <w:vAlign w:val="center"/>
                </w:tcPr>
                <w:p w14:paraId="63CC798B">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867" w:type="dxa"/>
                  <w:gridSpan w:val="2"/>
                  <w:vAlign w:val="center"/>
                </w:tcPr>
                <w:p w14:paraId="51312AAA">
                  <w:pPr>
                    <w:keepNext w:val="0"/>
                    <w:keepLines w:val="0"/>
                    <w:pageBreakBefore w:val="0"/>
                    <w:suppressLineNumbers w:val="0"/>
                    <w:tabs>
                      <w:tab w:val="left" w:pos="325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w:t>
                  </w:r>
                </w:p>
              </w:tc>
              <w:tc>
                <w:tcPr>
                  <w:tcW w:w="3606" w:type="dxa"/>
                  <w:vAlign w:val="center"/>
                </w:tcPr>
                <w:p w14:paraId="7D6E03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隔音、降噪、消声减振装置</w:t>
                  </w:r>
                </w:p>
              </w:tc>
              <w:tc>
                <w:tcPr>
                  <w:tcW w:w="688" w:type="dxa"/>
                  <w:vAlign w:val="center"/>
                </w:tcPr>
                <w:p w14:paraId="11FDC7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81" w:type="dxa"/>
                  <w:vAlign w:val="center"/>
                </w:tcPr>
                <w:p w14:paraId="20A9D9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22" w:type="dxa"/>
                  <w:vAlign w:val="center"/>
                </w:tcPr>
                <w:p w14:paraId="22D924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2E7C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26" w:type="dxa"/>
                  <w:vMerge w:val="continue"/>
                  <w:vAlign w:val="center"/>
                </w:tcPr>
                <w:p w14:paraId="5931034A">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867" w:type="dxa"/>
                  <w:gridSpan w:val="2"/>
                  <w:vMerge w:val="restart"/>
                  <w:vAlign w:val="center"/>
                </w:tcPr>
                <w:p w14:paraId="40C900F8">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3606" w:type="dxa"/>
                  <w:vAlign w:val="center"/>
                </w:tcPr>
                <w:p w14:paraId="00DEC0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688" w:type="dxa"/>
                  <w:vAlign w:val="center"/>
                </w:tcPr>
                <w:p w14:paraId="4D42AF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若干</w:t>
                  </w:r>
                </w:p>
              </w:tc>
              <w:tc>
                <w:tcPr>
                  <w:tcW w:w="1081" w:type="dxa"/>
                  <w:vAlign w:val="center"/>
                </w:tcPr>
                <w:p w14:paraId="10076F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722" w:type="dxa"/>
                  <w:vAlign w:val="center"/>
                </w:tcPr>
                <w:p w14:paraId="641C03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5A4E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26" w:type="dxa"/>
                  <w:vMerge w:val="continue"/>
                  <w:vAlign w:val="center"/>
                </w:tcPr>
                <w:p w14:paraId="6A6AAD17">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867" w:type="dxa"/>
                  <w:gridSpan w:val="2"/>
                  <w:vMerge w:val="continue"/>
                  <w:vAlign w:val="center"/>
                </w:tcPr>
                <w:p w14:paraId="4FF2A4C2">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606" w:type="dxa"/>
                  <w:vAlign w:val="center"/>
                </w:tcPr>
                <w:p w14:paraId="1A13F6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一般固体废物暂存</w:t>
                  </w:r>
                  <w:r>
                    <w:rPr>
                      <w:rFonts w:hint="default" w:ascii="Times New Roman" w:hAnsi="Times New Roman" w:eastAsia="宋体" w:cs="Times New Roman"/>
                      <w:color w:val="auto"/>
                      <w:sz w:val="21"/>
                      <w:szCs w:val="21"/>
                      <w:highlight w:val="none"/>
                      <w:lang w:val="en-US" w:eastAsia="zh-CN"/>
                    </w:rPr>
                    <w:t>间</w:t>
                  </w:r>
                </w:p>
              </w:tc>
              <w:tc>
                <w:tcPr>
                  <w:tcW w:w="688" w:type="dxa"/>
                  <w:vAlign w:val="center"/>
                </w:tcPr>
                <w:p w14:paraId="4ACC14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间</w:t>
                  </w:r>
                </w:p>
              </w:tc>
              <w:tc>
                <w:tcPr>
                  <w:tcW w:w="1081" w:type="dxa"/>
                  <w:vAlign w:val="center"/>
                </w:tcPr>
                <w:p w14:paraId="1189AA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722" w:type="dxa"/>
                  <w:vAlign w:val="center"/>
                </w:tcPr>
                <w:p w14:paraId="6F88ED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5D1A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26" w:type="dxa"/>
                  <w:vMerge w:val="continue"/>
                  <w:vAlign w:val="center"/>
                </w:tcPr>
                <w:p w14:paraId="63476481">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867" w:type="dxa"/>
                  <w:gridSpan w:val="2"/>
                  <w:vMerge w:val="continue"/>
                  <w:vAlign w:val="center"/>
                </w:tcPr>
                <w:p w14:paraId="79B179B9">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606" w:type="dxa"/>
                  <w:vAlign w:val="center"/>
                </w:tcPr>
                <w:p w14:paraId="3D00FA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的危险废物</w:t>
                  </w:r>
                  <w:r>
                    <w:rPr>
                      <w:rFonts w:hint="default" w:ascii="Times New Roman" w:hAnsi="Times New Roman" w:eastAsia="宋体" w:cs="Times New Roman"/>
                      <w:color w:val="auto"/>
                      <w:sz w:val="21"/>
                      <w:szCs w:val="21"/>
                      <w:highlight w:val="none"/>
                    </w:rPr>
                    <w:t>暂存间</w:t>
                  </w:r>
                </w:p>
              </w:tc>
              <w:tc>
                <w:tcPr>
                  <w:tcW w:w="688" w:type="dxa"/>
                  <w:vAlign w:val="center"/>
                </w:tcPr>
                <w:p w14:paraId="66F9AB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1间</w:t>
                  </w:r>
                </w:p>
              </w:tc>
              <w:tc>
                <w:tcPr>
                  <w:tcW w:w="1081" w:type="dxa"/>
                  <w:vAlign w:val="center"/>
                </w:tcPr>
                <w:p w14:paraId="592027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722" w:type="dxa"/>
                  <w:vAlign w:val="center"/>
                </w:tcPr>
                <w:p w14:paraId="6377E0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0CFC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26" w:type="dxa"/>
                  <w:vMerge w:val="continue"/>
                  <w:vAlign w:val="center"/>
                </w:tcPr>
                <w:p w14:paraId="0C5A45B6">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867" w:type="dxa"/>
                  <w:gridSpan w:val="2"/>
                  <w:vMerge w:val="continue"/>
                  <w:vAlign w:val="center"/>
                </w:tcPr>
                <w:p w14:paraId="32040EAE">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606" w:type="dxa"/>
                  <w:vAlign w:val="center"/>
                </w:tcPr>
                <w:p w14:paraId="7DB934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危险废物专用</w:t>
                  </w:r>
                  <w:r>
                    <w:rPr>
                      <w:rFonts w:hint="default" w:ascii="Times New Roman" w:hAnsi="Times New Roman" w:eastAsia="宋体" w:cs="Times New Roman"/>
                      <w:color w:val="auto"/>
                      <w:sz w:val="21"/>
                      <w:szCs w:val="21"/>
                      <w:highlight w:val="none"/>
                    </w:rPr>
                    <w:t>收集</w:t>
                  </w:r>
                  <w:r>
                    <w:rPr>
                      <w:rFonts w:hint="default" w:ascii="Times New Roman" w:hAnsi="Times New Roman" w:eastAsia="宋体" w:cs="Times New Roman"/>
                      <w:color w:val="auto"/>
                      <w:sz w:val="21"/>
                      <w:szCs w:val="21"/>
                      <w:highlight w:val="none"/>
                      <w:lang w:val="en-US" w:eastAsia="zh-CN"/>
                    </w:rPr>
                    <w:t>容器</w:t>
                  </w:r>
                </w:p>
              </w:tc>
              <w:tc>
                <w:tcPr>
                  <w:tcW w:w="688" w:type="dxa"/>
                  <w:vAlign w:val="center"/>
                </w:tcPr>
                <w:p w14:paraId="151E39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5个</w:t>
                  </w:r>
                </w:p>
              </w:tc>
              <w:tc>
                <w:tcPr>
                  <w:tcW w:w="1081" w:type="dxa"/>
                  <w:vAlign w:val="center"/>
                </w:tcPr>
                <w:p w14:paraId="7E36AB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w:t>
                  </w:r>
                </w:p>
              </w:tc>
              <w:tc>
                <w:tcPr>
                  <w:tcW w:w="722" w:type="dxa"/>
                  <w:vAlign w:val="center"/>
                </w:tcPr>
                <w:p w14:paraId="30F873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02BA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26" w:type="dxa"/>
                  <w:vMerge w:val="continue"/>
                  <w:vAlign w:val="center"/>
                </w:tcPr>
                <w:p w14:paraId="286C9C6B">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867" w:type="dxa"/>
                  <w:gridSpan w:val="2"/>
                  <w:vMerge w:val="restart"/>
                  <w:vAlign w:val="center"/>
                </w:tcPr>
                <w:p w14:paraId="3D8FF783">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环境风险管理</w:t>
                  </w:r>
                </w:p>
              </w:tc>
              <w:tc>
                <w:tcPr>
                  <w:tcW w:w="3606" w:type="dxa"/>
                  <w:vAlign w:val="center"/>
                </w:tcPr>
                <w:p w14:paraId="0114DD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突发环境事件应急预案</w:t>
                  </w:r>
                </w:p>
              </w:tc>
              <w:tc>
                <w:tcPr>
                  <w:tcW w:w="688" w:type="dxa"/>
                  <w:vAlign w:val="center"/>
                </w:tcPr>
                <w:p w14:paraId="66D71C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1套</w:t>
                  </w:r>
                </w:p>
              </w:tc>
              <w:tc>
                <w:tcPr>
                  <w:tcW w:w="1081" w:type="dxa"/>
                  <w:vAlign w:val="center"/>
                </w:tcPr>
                <w:p w14:paraId="5E69DD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722" w:type="dxa"/>
                  <w:vAlign w:val="center"/>
                </w:tcPr>
                <w:p w14:paraId="46D9E2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039A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26" w:type="dxa"/>
                  <w:vMerge w:val="continue"/>
                  <w:vAlign w:val="center"/>
                </w:tcPr>
                <w:p w14:paraId="1A34A417">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867" w:type="dxa"/>
                  <w:gridSpan w:val="2"/>
                  <w:vMerge w:val="continue"/>
                  <w:vAlign w:val="center"/>
                </w:tcPr>
                <w:p w14:paraId="0C801892">
                  <w:pPr>
                    <w:pStyle w:val="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21"/>
                      <w:szCs w:val="21"/>
                      <w:highlight w:val="none"/>
                      <w:lang w:val="en-US" w:eastAsia="zh-CN"/>
                    </w:rPr>
                  </w:pPr>
                </w:p>
              </w:tc>
              <w:tc>
                <w:tcPr>
                  <w:tcW w:w="3606" w:type="dxa"/>
                  <w:vAlign w:val="center"/>
                </w:tcPr>
                <w:p w14:paraId="7E2571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事故应急池，不小于15m</w:t>
                  </w:r>
                  <w:r>
                    <w:rPr>
                      <w:rFonts w:hint="eastAsia" w:cs="Times New Roman"/>
                      <w:color w:val="auto"/>
                      <w:sz w:val="21"/>
                      <w:szCs w:val="21"/>
                      <w:highlight w:val="none"/>
                      <w:vertAlign w:val="superscript"/>
                      <w:lang w:val="en-US" w:eastAsia="zh-CN"/>
                    </w:rPr>
                    <w:t>3</w:t>
                  </w:r>
                </w:p>
              </w:tc>
              <w:tc>
                <w:tcPr>
                  <w:tcW w:w="688" w:type="dxa"/>
                  <w:vAlign w:val="center"/>
                </w:tcPr>
                <w:p w14:paraId="11C948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1座</w:t>
                  </w:r>
                </w:p>
              </w:tc>
              <w:tc>
                <w:tcPr>
                  <w:tcW w:w="1081" w:type="dxa"/>
                  <w:vAlign w:val="center"/>
                </w:tcPr>
                <w:p w14:paraId="29FF38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722" w:type="dxa"/>
                  <w:vAlign w:val="center"/>
                </w:tcPr>
                <w:p w14:paraId="4ECEE9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r>
            <w:tr w14:paraId="386B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587" w:type="dxa"/>
                  <w:gridSpan w:val="5"/>
                  <w:vAlign w:val="center"/>
                </w:tcPr>
                <w:p w14:paraId="3EE3DF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081" w:type="dxa"/>
                  <w:vAlign w:val="center"/>
                </w:tcPr>
                <w:p w14:paraId="7CDD2D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722" w:type="dxa"/>
                  <w:vAlign w:val="center"/>
                </w:tcPr>
                <w:p w14:paraId="23BCE8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1D6E549C">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b/>
                <w:bCs/>
                <w:color w:val="auto"/>
                <w:spacing w:val="0"/>
                <w:w w:val="100"/>
                <w:position w:val="0"/>
                <w:sz w:val="24"/>
                <w:szCs w:val="24"/>
                <w:highlight w:val="none"/>
                <w:lang w:val="en-US" w:eastAsia="zh-CN"/>
              </w:rPr>
            </w:pPr>
            <w:r>
              <w:rPr>
                <w:rFonts w:hint="eastAsia" w:cs="Times New Roman"/>
                <w:b/>
                <w:bCs/>
                <w:color w:val="auto"/>
                <w:spacing w:val="0"/>
                <w:w w:val="100"/>
                <w:position w:val="0"/>
                <w:sz w:val="24"/>
                <w:szCs w:val="24"/>
                <w:highlight w:val="none"/>
                <w:lang w:val="en-US" w:eastAsia="zh-CN"/>
              </w:rPr>
              <w:t>10</w:t>
            </w:r>
            <w:r>
              <w:rPr>
                <w:rFonts w:hint="eastAsia" w:ascii="Times New Roman" w:hAnsi="Times New Roman" w:eastAsia="宋体" w:cs="Times New Roman"/>
                <w:b/>
                <w:bCs/>
                <w:color w:val="auto"/>
                <w:spacing w:val="0"/>
                <w:w w:val="100"/>
                <w:position w:val="0"/>
                <w:sz w:val="24"/>
                <w:szCs w:val="24"/>
                <w:highlight w:val="none"/>
                <w:lang w:val="en-US" w:eastAsia="zh-CN"/>
              </w:rPr>
              <w:t>、水量平衡</w:t>
            </w:r>
          </w:p>
          <w:p w14:paraId="4E607E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项目生产过程无废水产生，运营期用水主要为员工生活用水、绿化及道路洒水降尘用水。</w:t>
            </w:r>
          </w:p>
          <w:p w14:paraId="4ACAAA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（1）生活用水</w:t>
            </w:r>
          </w:p>
          <w:p w14:paraId="08C1DC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根据《云南省地方标准用水定额》</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DB53/T168-201</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规定-城镇居民生活用水量按100L/（人·d）计</w:t>
            </w:r>
            <w:r>
              <w:rPr>
                <w:rFonts w:hint="eastAsia" w:ascii="Times New Roman" w:hAnsi="Times New Roman" w:eastAsia="宋体" w:cs="Times New Roman"/>
                <w:color w:val="auto"/>
                <w:sz w:val="24"/>
                <w:szCs w:val="24"/>
                <w:highlight w:val="none"/>
                <w:lang w:val="en-US" w:eastAsia="zh-CN"/>
              </w:rPr>
              <w:t>，因本项目不设食堂，故本项目员工生活用水量按80L/（人·d）计，</w:t>
            </w:r>
            <w:r>
              <w:rPr>
                <w:rFonts w:hint="default" w:ascii="Times New Roman" w:hAnsi="Times New Roman" w:eastAsia="宋体" w:cs="Times New Roman"/>
                <w:color w:val="auto"/>
                <w:sz w:val="24"/>
                <w:szCs w:val="24"/>
                <w:highlight w:val="none"/>
                <w:lang w:val="zh-CN" w:eastAsia="zh-CN"/>
              </w:rPr>
              <w:t>项目区</w:t>
            </w:r>
            <w:r>
              <w:rPr>
                <w:rFonts w:hint="eastAsia" w:ascii="Times New Roman" w:hAnsi="Times New Roman" w:eastAsia="宋体" w:cs="Times New Roman"/>
                <w:color w:val="auto"/>
                <w:sz w:val="24"/>
                <w:szCs w:val="24"/>
                <w:highlight w:val="none"/>
                <w:lang w:val="en-US" w:eastAsia="zh-CN"/>
              </w:rPr>
              <w:t>工作人员16</w:t>
            </w:r>
            <w:r>
              <w:rPr>
                <w:rFonts w:hint="default" w:ascii="Times New Roman" w:hAnsi="Times New Roman" w:eastAsia="宋体" w:cs="Times New Roman"/>
                <w:color w:val="auto"/>
                <w:sz w:val="24"/>
                <w:szCs w:val="24"/>
                <w:highlight w:val="none"/>
                <w:lang w:val="zh-CN" w:eastAsia="zh-CN"/>
              </w:rPr>
              <w:t>人</w:t>
            </w:r>
            <w:r>
              <w:rPr>
                <w:rFonts w:hint="eastAsia" w:ascii="Times New Roman" w:hAnsi="Times New Roman" w:eastAsia="宋体" w:cs="Times New Roman"/>
                <w:color w:val="auto"/>
                <w:sz w:val="24"/>
                <w:szCs w:val="24"/>
                <w:highlight w:val="none"/>
                <w:lang w:val="zh-CN" w:eastAsia="zh-CN"/>
              </w:rPr>
              <w:t>，则</w:t>
            </w:r>
            <w:r>
              <w:rPr>
                <w:rFonts w:hint="eastAsia" w:ascii="Times New Roman" w:hAnsi="Times New Roman" w:eastAsia="宋体" w:cs="Times New Roman"/>
                <w:color w:val="auto"/>
                <w:sz w:val="24"/>
                <w:szCs w:val="24"/>
                <w:highlight w:val="none"/>
                <w:lang w:val="en-US" w:eastAsia="zh-CN"/>
              </w:rPr>
              <w:t>生活用水量为1.28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384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/a。废水产生量按用水量的80%计，则废水量为</w:t>
            </w:r>
            <w:r>
              <w:rPr>
                <w:rFonts w:hint="eastAsia" w:ascii="Times New Roman" w:hAnsi="Times New Roman" w:eastAsia="宋体" w:cs="Times New Roman"/>
                <w:color w:val="auto"/>
                <w:sz w:val="24"/>
                <w:szCs w:val="24"/>
                <w:highlight w:val="none"/>
                <w:lang w:val="en-US" w:eastAsia="zh-CN"/>
              </w:rPr>
              <w:t>1.024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en-US" w:eastAsia="zh-CN"/>
              </w:rPr>
              <w:t>307.2</w:t>
            </w:r>
            <w:r>
              <w:rPr>
                <w:rFonts w:hint="default" w:ascii="Times New Roman" w:hAnsi="Times New Roman" w:eastAsia="宋体" w:cs="Times New Roman"/>
                <w:color w:val="auto"/>
                <w:sz w:val="24"/>
                <w:szCs w:val="24"/>
                <w:highlight w:val="none"/>
                <w:lang w:val="zh-CN"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/a</w:t>
            </w:r>
            <w:r>
              <w:rPr>
                <w:rFonts w:hint="default" w:ascii="Times New Roman" w:hAnsi="Times New Roman" w:eastAsia="宋体" w:cs="Times New Roman"/>
                <w:color w:val="auto"/>
                <w:sz w:val="24"/>
                <w:szCs w:val="24"/>
                <w:highlight w:val="none"/>
                <w:lang w:val="en-US" w:eastAsia="zh-CN"/>
              </w:rPr>
              <w:t>。</w:t>
            </w:r>
          </w:p>
          <w:p w14:paraId="03397F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依托使用寻甸荣禾工贸有限公司已建容积为</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的化粪池</w:t>
            </w:r>
            <w:r>
              <w:rPr>
                <w:rFonts w:hint="eastAsia"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t>1座处理规模为</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/d的一体化污水处理站。</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生活污水经化粪池</w:t>
            </w:r>
            <w:r>
              <w:rPr>
                <w:rFonts w:hint="eastAsia" w:ascii="Times New Roman" w:hAnsi="Times New Roman" w:eastAsia="宋体" w:cs="Times New Roman"/>
                <w:color w:val="auto"/>
                <w:sz w:val="24"/>
                <w:szCs w:val="24"/>
                <w:highlight w:val="none"/>
                <w:lang w:val="en-US" w:eastAsia="zh-CN"/>
              </w:rPr>
              <w:t>预处理后至污水处理站</w:t>
            </w:r>
            <w:r>
              <w:rPr>
                <w:rFonts w:hint="default" w:ascii="Times New Roman" w:hAnsi="Times New Roman" w:eastAsia="宋体" w:cs="Times New Roman"/>
                <w:color w:val="auto"/>
                <w:sz w:val="24"/>
                <w:szCs w:val="24"/>
                <w:highlight w:val="none"/>
                <w:lang w:val="en-US" w:eastAsia="zh-CN"/>
              </w:rPr>
              <w:t>处理达到《城市污水再生利用城市杂用水水质》（GB/T18920-20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城市绿化、道路清扫、消防、建筑施工</w:t>
            </w:r>
            <w:r>
              <w:rPr>
                <w:rFonts w:hint="default" w:ascii="Times New Roman" w:hAnsi="Times New Roman" w:eastAsia="宋体" w:cs="Times New Roman"/>
                <w:color w:val="auto"/>
                <w:sz w:val="24"/>
                <w:szCs w:val="24"/>
                <w:highlight w:val="none"/>
                <w:lang w:val="en-US" w:eastAsia="zh-CN"/>
              </w:rPr>
              <w:t>标准</w:t>
            </w:r>
            <w:r>
              <w:rPr>
                <w:rFonts w:hint="eastAsia" w:ascii="Times New Roman" w:hAnsi="Times New Roman" w:eastAsia="宋体" w:cs="Times New Roman"/>
                <w:color w:val="auto"/>
                <w:sz w:val="24"/>
                <w:szCs w:val="24"/>
                <w:highlight w:val="none"/>
                <w:lang w:val="en-US" w:eastAsia="zh-CN"/>
              </w:rPr>
              <w:t>后，</w:t>
            </w:r>
            <w:r>
              <w:rPr>
                <w:rFonts w:hint="default" w:ascii="Times New Roman" w:hAnsi="Times New Roman" w:eastAsia="宋体" w:cs="Times New Roman"/>
                <w:color w:val="auto"/>
                <w:sz w:val="24"/>
                <w:szCs w:val="24"/>
                <w:highlight w:val="none"/>
                <w:lang w:val="en-US" w:eastAsia="zh-CN"/>
              </w:rPr>
              <w:t>回用于绿化</w:t>
            </w:r>
            <w:r>
              <w:rPr>
                <w:rFonts w:hint="eastAsia" w:ascii="Times New Roman" w:hAnsi="Times New Roman" w:eastAsia="宋体" w:cs="Times New Roman"/>
                <w:color w:val="auto"/>
                <w:sz w:val="24"/>
                <w:szCs w:val="24"/>
                <w:highlight w:val="none"/>
                <w:lang w:val="en-US" w:eastAsia="zh-CN"/>
              </w:rPr>
              <w:t>及道路洒水降尘，</w:t>
            </w:r>
            <w:r>
              <w:rPr>
                <w:rFonts w:hint="default" w:ascii="Times New Roman" w:hAnsi="Times New Roman" w:eastAsia="宋体" w:cs="Times New Roman"/>
                <w:color w:val="auto"/>
                <w:sz w:val="24"/>
                <w:szCs w:val="24"/>
                <w:highlight w:val="none"/>
                <w:lang w:val="en-US" w:eastAsia="zh-CN"/>
              </w:rPr>
              <w:t>不外排。</w:t>
            </w:r>
          </w:p>
          <w:p w14:paraId="6DE537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（2）生产用水</w:t>
            </w:r>
          </w:p>
          <w:p w14:paraId="76FC7B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生产用水主要为调胶用水。</w:t>
            </w:r>
          </w:p>
          <w:p w14:paraId="0AFFFE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项目浸胶时所用的成品三聚氰胺甲醛树脂胶使用时需添加生水将成品胶调配至一定浓稠度才能使用。根据建设单位提供的经验数值，三聚氰胺甲醛树脂胶和水的调配比例为1：0.6，项目成品胶的年使用量为</w:t>
            </w:r>
            <w:r>
              <w:rPr>
                <w:rFonts w:hint="eastAsia" w:cs="Times New Roman"/>
                <w:color w:val="auto"/>
                <w:sz w:val="24"/>
                <w:szCs w:val="24"/>
                <w:highlight w:val="none"/>
                <w:lang w:val="en-US" w:eastAsia="zh-CN"/>
              </w:rPr>
              <w:t>283.5</w:t>
            </w:r>
            <w:r>
              <w:rPr>
                <w:rFonts w:hint="default" w:ascii="Times New Roman" w:hAnsi="Times New Roman" w:eastAsia="宋体" w:cs="Times New Roman"/>
                <w:color w:val="auto"/>
                <w:sz w:val="24"/>
                <w:szCs w:val="24"/>
                <w:highlight w:val="none"/>
                <w:lang w:val="en-US" w:eastAsia="zh-CN"/>
              </w:rPr>
              <w:t>t，则用水量为</w:t>
            </w:r>
            <w:r>
              <w:rPr>
                <w:rFonts w:hint="eastAsia" w:cs="Times New Roman"/>
                <w:color w:val="auto"/>
                <w:sz w:val="24"/>
                <w:szCs w:val="24"/>
                <w:highlight w:val="none"/>
                <w:lang w:val="en-US" w:eastAsia="zh-CN"/>
              </w:rPr>
              <w:t>170.1</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0.567</w:t>
            </w:r>
            <w:r>
              <w:rPr>
                <w:rFonts w:hint="default" w:ascii="Times New Roman" w:hAnsi="Times New Roman" w:eastAsia="宋体" w:cs="Times New Roman"/>
                <w:color w:val="auto"/>
                <w:sz w:val="24"/>
                <w:szCs w:val="24"/>
                <w:highlight w:val="none"/>
                <w:lang w:val="en-US" w:eastAsia="zh-CN"/>
              </w:rPr>
              <w:t>t/d。</w:t>
            </w:r>
            <w:r>
              <w:rPr>
                <w:rFonts w:hint="eastAsia" w:cs="Times New Roman"/>
                <w:color w:val="auto"/>
                <w:sz w:val="24"/>
                <w:szCs w:val="24"/>
                <w:highlight w:val="none"/>
                <w:lang w:val="en-US" w:eastAsia="zh-CN"/>
              </w:rPr>
              <w:t>生产过程中</w:t>
            </w:r>
            <w:r>
              <w:rPr>
                <w:rFonts w:hint="default" w:ascii="Times New Roman" w:hAnsi="Times New Roman" w:eastAsia="宋体" w:cs="Times New Roman"/>
                <w:color w:val="auto"/>
                <w:sz w:val="24"/>
                <w:szCs w:val="24"/>
                <w:highlight w:val="none"/>
                <w:lang w:val="en-US" w:eastAsia="zh-CN"/>
              </w:rPr>
              <w:t>消耗完全，不产生废水。</w:t>
            </w:r>
          </w:p>
          <w:p w14:paraId="22DAE8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（3）绿化及道路洒水降尘用水</w:t>
            </w:r>
          </w:p>
          <w:p w14:paraId="75C67C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w:t>
            </w:r>
            <w:r>
              <w:rPr>
                <w:rFonts w:hint="eastAsia" w:ascii="Times New Roman" w:hAnsi="Times New Roman" w:eastAsia="宋体" w:cs="Times New Roman"/>
                <w:color w:val="auto"/>
                <w:sz w:val="24"/>
                <w:szCs w:val="24"/>
                <w:highlight w:val="none"/>
                <w:lang w:val="en-US" w:eastAsia="zh-CN"/>
              </w:rPr>
              <w:t>位于综合楼北侧有260m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的绿化面积，项目区道路面积</w:t>
            </w:r>
            <w:r>
              <w:rPr>
                <w:rFonts w:hint="default" w:ascii="Times New Roman" w:hAnsi="Times New Roman" w:eastAsia="宋体" w:cs="Times New Roman"/>
                <w:color w:val="auto"/>
                <w:sz w:val="24"/>
                <w:szCs w:val="24"/>
                <w:highlight w:val="none"/>
                <w:lang w:val="en-US" w:eastAsia="zh-CN"/>
              </w:rPr>
              <w:t>约为</w:t>
            </w:r>
            <w:r>
              <w:rPr>
                <w:rFonts w:hint="eastAsia" w:ascii="Times New Roman" w:hAnsi="Times New Roman" w:eastAsia="宋体" w:cs="Times New Roman"/>
                <w:color w:val="auto"/>
                <w:sz w:val="24"/>
                <w:szCs w:val="24"/>
                <w:highlight w:val="none"/>
                <w:lang w:val="en-US" w:eastAsia="zh-CN"/>
              </w:rPr>
              <w:t>760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，根据《云南省地方标准 用水定额》（DB53/168-2019），园林绿化用水定额3L/(m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·次)，场地浇洒用水定额2L/(m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·次)。项目非雨天每天浇洒一次，则项目绿化及道路洒水降尘用水量为</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460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/a（非雨天按200d计）。绿化用水使用污水处理站处理达标的中水，不够部分新鲜水补充。项目绿化及道路洒水全部被植物吸收或蒸发消耗，不产生废水。</w:t>
            </w:r>
          </w:p>
          <w:p w14:paraId="55F777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项目</w:t>
            </w:r>
            <w:r>
              <w:rPr>
                <w:rFonts w:hint="eastAsia"/>
                <w:color w:val="auto"/>
                <w:sz w:val="24"/>
                <w:szCs w:val="24"/>
                <w:highlight w:val="none"/>
                <w:lang w:val="en-US" w:eastAsia="zh-CN"/>
              </w:rPr>
              <w:t>用排水</w:t>
            </w:r>
            <w:r>
              <w:rPr>
                <w:rFonts w:hint="default"/>
                <w:color w:val="auto"/>
                <w:sz w:val="24"/>
                <w:szCs w:val="24"/>
                <w:highlight w:val="none"/>
                <w:lang w:val="en-US" w:eastAsia="zh-CN"/>
              </w:rPr>
              <w:t>情况详见表</w:t>
            </w:r>
            <w:r>
              <w:rPr>
                <w:rFonts w:hint="eastAsia"/>
                <w:color w:val="auto"/>
                <w:sz w:val="24"/>
                <w:szCs w:val="24"/>
                <w:highlight w:val="none"/>
                <w:lang w:val="en-US" w:eastAsia="zh-CN"/>
              </w:rPr>
              <w:t>2</w:t>
            </w:r>
            <w:r>
              <w:rPr>
                <w:rFonts w:hint="default"/>
                <w:color w:val="auto"/>
                <w:sz w:val="24"/>
                <w:szCs w:val="24"/>
                <w:highlight w:val="none"/>
                <w:lang w:val="en-US" w:eastAsia="zh-CN"/>
              </w:rPr>
              <w:t>-</w:t>
            </w:r>
            <w:r>
              <w:rPr>
                <w:rFonts w:hint="eastAsia"/>
                <w:color w:val="auto"/>
                <w:sz w:val="24"/>
                <w:szCs w:val="24"/>
                <w:highlight w:val="none"/>
                <w:lang w:val="en-US" w:eastAsia="zh-CN"/>
              </w:rPr>
              <w:t>7</w:t>
            </w:r>
            <w:r>
              <w:rPr>
                <w:rFonts w:hint="default"/>
                <w:color w:val="auto"/>
                <w:sz w:val="24"/>
                <w:szCs w:val="24"/>
                <w:highlight w:val="none"/>
                <w:lang w:val="en-US" w:eastAsia="zh-CN"/>
              </w:rPr>
              <w:t>，项目水量平衡图详见图</w:t>
            </w:r>
            <w:r>
              <w:rPr>
                <w:rFonts w:hint="eastAsia"/>
                <w:color w:val="auto"/>
                <w:sz w:val="24"/>
                <w:szCs w:val="24"/>
                <w:highlight w:val="none"/>
                <w:lang w:val="en-US" w:eastAsia="zh-CN"/>
              </w:rPr>
              <w:t>2</w:t>
            </w:r>
            <w:r>
              <w:rPr>
                <w:rFonts w:hint="default"/>
                <w:color w:val="auto"/>
                <w:sz w:val="24"/>
                <w:szCs w:val="24"/>
                <w:highlight w:val="none"/>
                <w:lang w:val="en-US" w:eastAsia="zh-CN"/>
              </w:rPr>
              <w:t>-</w:t>
            </w:r>
            <w:r>
              <w:rPr>
                <w:rFonts w:hint="eastAsia"/>
                <w:color w:val="auto"/>
                <w:sz w:val="24"/>
                <w:szCs w:val="24"/>
                <w:highlight w:val="none"/>
                <w:lang w:val="en-US" w:eastAsia="zh-CN"/>
              </w:rPr>
              <w:t>1</w:t>
            </w:r>
            <w:r>
              <w:rPr>
                <w:rFonts w:hint="default"/>
                <w:color w:val="auto"/>
                <w:sz w:val="24"/>
                <w:szCs w:val="24"/>
                <w:highlight w:val="none"/>
                <w:lang w:val="en-US" w:eastAsia="zh-CN"/>
              </w:rPr>
              <w:t>。</w:t>
            </w:r>
          </w:p>
          <w:p w14:paraId="25205BD0">
            <w:pPr>
              <w:keepNext w:val="0"/>
              <w:keepLines w:val="0"/>
              <w:suppressLineNumbers w:val="0"/>
              <w:bidi w:val="0"/>
              <w:spacing w:before="0" w:beforeAutospacing="0" w:after="0" w:afterAutospacing="0"/>
              <w:ind w:left="0" w:right="0"/>
              <w:jc w:val="center"/>
              <w:rPr>
                <w:rFonts w:hint="default"/>
                <w:b/>
                <w:bCs/>
                <w:color w:val="auto"/>
                <w:highlight w:val="none"/>
                <w:lang w:val="en-US" w:eastAsia="zh-CN"/>
              </w:rPr>
            </w:pPr>
            <w:r>
              <w:rPr>
                <w:rFonts w:hint="default"/>
                <w:b/>
                <w:bCs/>
                <w:color w:val="auto"/>
                <w:highlight w:val="none"/>
                <w:lang w:val="en-US" w:eastAsia="zh-CN"/>
              </w:rPr>
              <w:t>表</w:t>
            </w:r>
            <w:r>
              <w:rPr>
                <w:rFonts w:hint="eastAsia"/>
                <w:b/>
                <w:bCs/>
                <w:color w:val="auto"/>
                <w:highlight w:val="none"/>
                <w:lang w:val="en-US" w:eastAsia="zh-CN"/>
              </w:rPr>
              <w:t>2</w:t>
            </w:r>
            <w:r>
              <w:rPr>
                <w:rFonts w:hint="default"/>
                <w:b/>
                <w:bCs/>
                <w:color w:val="auto"/>
                <w:highlight w:val="none"/>
                <w:lang w:val="en-US" w:eastAsia="zh-CN"/>
              </w:rPr>
              <w:t>-</w:t>
            </w:r>
            <w:r>
              <w:rPr>
                <w:rFonts w:hint="eastAsia"/>
                <w:b/>
                <w:bCs/>
                <w:color w:val="auto"/>
                <w:highlight w:val="none"/>
                <w:lang w:val="en-US" w:eastAsia="zh-CN"/>
              </w:rPr>
              <w:t xml:space="preserve">7  </w:t>
            </w:r>
            <w:r>
              <w:rPr>
                <w:rFonts w:hint="default"/>
                <w:b/>
                <w:bCs/>
                <w:color w:val="auto"/>
                <w:highlight w:val="none"/>
                <w:lang w:val="en-US" w:eastAsia="zh-CN"/>
              </w:rPr>
              <w:t>项目</w:t>
            </w:r>
            <w:r>
              <w:rPr>
                <w:rFonts w:hint="eastAsia"/>
                <w:b/>
                <w:bCs/>
                <w:color w:val="auto"/>
                <w:highlight w:val="none"/>
                <w:lang w:val="en-US" w:eastAsia="zh-CN"/>
              </w:rPr>
              <w:t>用排水</w:t>
            </w:r>
            <w:r>
              <w:rPr>
                <w:rFonts w:hint="default"/>
                <w:b/>
                <w:bCs/>
                <w:color w:val="auto"/>
                <w:highlight w:val="none"/>
                <w:lang w:val="en-US" w:eastAsia="zh-CN"/>
              </w:rPr>
              <w:t>情况</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205"/>
              <w:gridCol w:w="1379"/>
              <w:gridCol w:w="1406"/>
              <w:gridCol w:w="713"/>
              <w:gridCol w:w="758"/>
              <w:gridCol w:w="2301"/>
            </w:tblGrid>
            <w:tr w14:paraId="6A88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8" w:type="dxa"/>
                  <w:vMerge w:val="restart"/>
                  <w:vAlign w:val="center"/>
                </w:tcPr>
                <w:p w14:paraId="28F7CB7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序号</w:t>
                  </w:r>
                </w:p>
              </w:tc>
              <w:tc>
                <w:tcPr>
                  <w:tcW w:w="1205" w:type="dxa"/>
                  <w:vMerge w:val="restart"/>
                  <w:vAlign w:val="center"/>
                </w:tcPr>
                <w:p w14:paraId="161321F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用水项目</w:t>
                  </w:r>
                </w:p>
              </w:tc>
              <w:tc>
                <w:tcPr>
                  <w:tcW w:w="2785" w:type="dxa"/>
                  <w:gridSpan w:val="2"/>
                  <w:vAlign w:val="center"/>
                </w:tcPr>
                <w:p w14:paraId="0F1DFA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用水量</w:t>
                  </w:r>
                </w:p>
              </w:tc>
              <w:tc>
                <w:tcPr>
                  <w:tcW w:w="1471" w:type="dxa"/>
                  <w:gridSpan w:val="2"/>
                  <w:vAlign w:val="center"/>
                </w:tcPr>
                <w:p w14:paraId="64717B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eastAsia="zh-CN"/>
                    </w:rPr>
                    <w:t>产生</w:t>
                  </w:r>
                  <w:r>
                    <w:rPr>
                      <w:rFonts w:hint="default" w:ascii="Times New Roman" w:hAnsi="Times New Roman" w:eastAsia="宋体" w:cs="Times New Roman"/>
                      <w:color w:val="auto"/>
                      <w:kern w:val="0"/>
                      <w:szCs w:val="21"/>
                      <w:highlight w:val="none"/>
                      <w:lang w:eastAsia="zh-CN"/>
                    </w:rPr>
                    <w:t>量</w:t>
                  </w:r>
                </w:p>
              </w:tc>
              <w:tc>
                <w:tcPr>
                  <w:tcW w:w="2301" w:type="dxa"/>
                  <w:vMerge w:val="restart"/>
                  <w:vAlign w:val="center"/>
                </w:tcPr>
                <w:p w14:paraId="275491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去向/拟采取的处置措施</w:t>
                  </w:r>
                </w:p>
              </w:tc>
            </w:tr>
            <w:tr w14:paraId="7964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28" w:type="dxa"/>
                  <w:vMerge w:val="continue"/>
                  <w:vAlign w:val="center"/>
                </w:tcPr>
                <w:p w14:paraId="0A64C8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205" w:type="dxa"/>
                  <w:vMerge w:val="continue"/>
                  <w:vAlign w:val="center"/>
                </w:tcPr>
                <w:p w14:paraId="68262B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379" w:type="dxa"/>
                  <w:vAlign w:val="center"/>
                </w:tcPr>
                <w:p w14:paraId="7E3F99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m</w:t>
                  </w:r>
                  <w:r>
                    <w:rPr>
                      <w:rFonts w:hint="default" w:ascii="Times New Roman" w:hAnsi="Times New Roman" w:eastAsia="宋体" w:cs="Times New Roman"/>
                      <w:color w:val="auto"/>
                      <w:kern w:val="0"/>
                      <w:szCs w:val="21"/>
                      <w:highlight w:val="none"/>
                      <w:vertAlign w:val="superscript"/>
                      <w:lang w:val="en-US" w:eastAsia="zh-CN"/>
                    </w:rPr>
                    <w:t>3</w:t>
                  </w:r>
                  <w:r>
                    <w:rPr>
                      <w:rFonts w:hint="default" w:ascii="Times New Roman" w:hAnsi="Times New Roman" w:eastAsia="宋体" w:cs="Times New Roman"/>
                      <w:color w:val="auto"/>
                      <w:kern w:val="0"/>
                      <w:szCs w:val="21"/>
                      <w:highlight w:val="none"/>
                      <w:lang w:val="en-US" w:eastAsia="zh-CN"/>
                    </w:rPr>
                    <w:t>/d</w:t>
                  </w:r>
                </w:p>
              </w:tc>
              <w:tc>
                <w:tcPr>
                  <w:tcW w:w="1406" w:type="dxa"/>
                  <w:vAlign w:val="center"/>
                </w:tcPr>
                <w:p w14:paraId="39B808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m</w:t>
                  </w:r>
                  <w:r>
                    <w:rPr>
                      <w:rFonts w:hint="default" w:ascii="Times New Roman" w:hAnsi="Times New Roman" w:eastAsia="宋体" w:cs="Times New Roman"/>
                      <w:color w:val="auto"/>
                      <w:kern w:val="0"/>
                      <w:szCs w:val="21"/>
                      <w:highlight w:val="none"/>
                      <w:vertAlign w:val="superscript"/>
                      <w:lang w:val="en-US" w:eastAsia="zh-CN"/>
                    </w:rPr>
                    <w:t>3</w:t>
                  </w:r>
                  <w:r>
                    <w:rPr>
                      <w:rFonts w:hint="default" w:ascii="Times New Roman" w:hAnsi="Times New Roman" w:eastAsia="宋体" w:cs="Times New Roman"/>
                      <w:color w:val="auto"/>
                      <w:kern w:val="0"/>
                      <w:szCs w:val="21"/>
                      <w:highlight w:val="none"/>
                      <w:lang w:val="en-US" w:eastAsia="zh-CN"/>
                    </w:rPr>
                    <w:t>/a</w:t>
                  </w:r>
                </w:p>
              </w:tc>
              <w:tc>
                <w:tcPr>
                  <w:tcW w:w="713" w:type="dxa"/>
                  <w:vAlign w:val="center"/>
                </w:tcPr>
                <w:p w14:paraId="4ADFEC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m</w:t>
                  </w:r>
                  <w:r>
                    <w:rPr>
                      <w:rFonts w:hint="default" w:ascii="Times New Roman" w:hAnsi="Times New Roman" w:eastAsia="宋体" w:cs="Times New Roman"/>
                      <w:color w:val="auto"/>
                      <w:kern w:val="0"/>
                      <w:szCs w:val="21"/>
                      <w:highlight w:val="none"/>
                      <w:vertAlign w:val="superscript"/>
                      <w:lang w:val="en-US" w:eastAsia="zh-CN"/>
                    </w:rPr>
                    <w:t>3</w:t>
                  </w:r>
                  <w:r>
                    <w:rPr>
                      <w:rFonts w:hint="default" w:ascii="Times New Roman" w:hAnsi="Times New Roman" w:eastAsia="宋体" w:cs="Times New Roman"/>
                      <w:color w:val="auto"/>
                      <w:kern w:val="0"/>
                      <w:szCs w:val="21"/>
                      <w:highlight w:val="none"/>
                      <w:lang w:val="en-US" w:eastAsia="zh-CN"/>
                    </w:rPr>
                    <w:t>/</w:t>
                  </w:r>
                  <w:r>
                    <w:rPr>
                      <w:rFonts w:hint="eastAsia" w:cs="Times New Roman"/>
                      <w:color w:val="auto"/>
                      <w:kern w:val="0"/>
                      <w:szCs w:val="21"/>
                      <w:highlight w:val="none"/>
                      <w:lang w:val="en-US" w:eastAsia="zh-CN"/>
                    </w:rPr>
                    <w:t>d</w:t>
                  </w:r>
                </w:p>
              </w:tc>
              <w:tc>
                <w:tcPr>
                  <w:tcW w:w="758" w:type="dxa"/>
                  <w:vAlign w:val="center"/>
                </w:tcPr>
                <w:p w14:paraId="20BFCF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m</w:t>
                  </w:r>
                  <w:r>
                    <w:rPr>
                      <w:rFonts w:hint="default" w:ascii="Times New Roman" w:hAnsi="Times New Roman" w:eastAsia="宋体" w:cs="Times New Roman"/>
                      <w:color w:val="auto"/>
                      <w:kern w:val="0"/>
                      <w:szCs w:val="21"/>
                      <w:highlight w:val="none"/>
                      <w:vertAlign w:val="superscript"/>
                      <w:lang w:val="en-US" w:eastAsia="zh-CN"/>
                    </w:rPr>
                    <w:t>3</w:t>
                  </w:r>
                  <w:r>
                    <w:rPr>
                      <w:rFonts w:hint="default" w:ascii="Times New Roman" w:hAnsi="Times New Roman" w:eastAsia="宋体" w:cs="Times New Roman"/>
                      <w:color w:val="auto"/>
                      <w:kern w:val="0"/>
                      <w:szCs w:val="21"/>
                      <w:highlight w:val="none"/>
                      <w:lang w:val="en-US" w:eastAsia="zh-CN"/>
                    </w:rPr>
                    <w:t>/a</w:t>
                  </w:r>
                </w:p>
              </w:tc>
              <w:tc>
                <w:tcPr>
                  <w:tcW w:w="2301" w:type="dxa"/>
                  <w:vMerge w:val="continue"/>
                  <w:vAlign w:val="center"/>
                </w:tcPr>
                <w:p w14:paraId="7E8719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p>
              </w:tc>
            </w:tr>
            <w:tr w14:paraId="0A88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28" w:type="dxa"/>
                  <w:vAlign w:val="center"/>
                </w:tcPr>
                <w:p w14:paraId="7CF3AB4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w:t>
                  </w:r>
                </w:p>
              </w:tc>
              <w:tc>
                <w:tcPr>
                  <w:tcW w:w="1205" w:type="dxa"/>
                  <w:vAlign w:val="center"/>
                </w:tcPr>
                <w:p w14:paraId="0D224AA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highlight w:val="none"/>
                      <w:lang w:eastAsia="zh-CN"/>
                    </w:rPr>
                  </w:pPr>
                  <w:r>
                    <w:rPr>
                      <w:rFonts w:hint="eastAsia" w:cs="Times New Roman"/>
                      <w:color w:val="auto"/>
                      <w:kern w:val="0"/>
                      <w:szCs w:val="21"/>
                      <w:highlight w:val="none"/>
                      <w:lang w:val="en-US" w:eastAsia="zh-CN"/>
                    </w:rPr>
                    <w:t>生活用水</w:t>
                  </w:r>
                </w:p>
              </w:tc>
              <w:tc>
                <w:tcPr>
                  <w:tcW w:w="1379" w:type="dxa"/>
                  <w:vAlign w:val="center"/>
                </w:tcPr>
                <w:p w14:paraId="56756D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1.28</w:t>
                  </w:r>
                </w:p>
              </w:tc>
              <w:tc>
                <w:tcPr>
                  <w:tcW w:w="1406" w:type="dxa"/>
                  <w:vAlign w:val="center"/>
                </w:tcPr>
                <w:p w14:paraId="00369F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384</w:t>
                  </w:r>
                </w:p>
              </w:tc>
              <w:tc>
                <w:tcPr>
                  <w:tcW w:w="713" w:type="dxa"/>
                  <w:vAlign w:val="center"/>
                </w:tcPr>
                <w:p w14:paraId="7439A9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1.024</w:t>
                  </w:r>
                </w:p>
              </w:tc>
              <w:tc>
                <w:tcPr>
                  <w:tcW w:w="758" w:type="dxa"/>
                  <w:vAlign w:val="center"/>
                </w:tcPr>
                <w:p w14:paraId="1DDB2F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307.2</w:t>
                  </w:r>
                </w:p>
              </w:tc>
              <w:tc>
                <w:tcPr>
                  <w:tcW w:w="2301" w:type="dxa"/>
                  <w:vAlign w:val="center"/>
                </w:tcPr>
                <w:p w14:paraId="580917DF">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生活污水经化粪池预处理后排至污水处理站处理后回用于绿化及道路洒水降尘。</w:t>
                  </w:r>
                </w:p>
              </w:tc>
            </w:tr>
            <w:tr w14:paraId="0E85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28" w:type="dxa"/>
                  <w:vAlign w:val="center"/>
                </w:tcPr>
                <w:p w14:paraId="268DA9E6">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w:t>
                  </w:r>
                </w:p>
              </w:tc>
              <w:tc>
                <w:tcPr>
                  <w:tcW w:w="1205" w:type="dxa"/>
                  <w:vAlign w:val="center"/>
                </w:tcPr>
                <w:p w14:paraId="6365E6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调胶用水</w:t>
                  </w:r>
                </w:p>
              </w:tc>
              <w:tc>
                <w:tcPr>
                  <w:tcW w:w="1379" w:type="dxa"/>
                  <w:vAlign w:val="center"/>
                </w:tcPr>
                <w:p w14:paraId="5669E5EA">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0.567</w:t>
                  </w:r>
                </w:p>
              </w:tc>
              <w:tc>
                <w:tcPr>
                  <w:tcW w:w="1406" w:type="dxa"/>
                  <w:vAlign w:val="center"/>
                </w:tcPr>
                <w:p w14:paraId="1A89521E">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170.1</w:t>
                  </w:r>
                </w:p>
              </w:tc>
              <w:tc>
                <w:tcPr>
                  <w:tcW w:w="713" w:type="dxa"/>
                  <w:vAlign w:val="center"/>
                </w:tcPr>
                <w:p w14:paraId="6AC1B693">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758" w:type="dxa"/>
                  <w:vAlign w:val="center"/>
                </w:tcPr>
                <w:p w14:paraId="4937469B">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2301" w:type="dxa"/>
                  <w:vAlign w:val="center"/>
                </w:tcPr>
                <w:p w14:paraId="1726537E">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4A52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28" w:type="dxa"/>
                  <w:vAlign w:val="center"/>
                </w:tcPr>
                <w:p w14:paraId="396DE10D">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3</w:t>
                  </w:r>
                </w:p>
              </w:tc>
              <w:tc>
                <w:tcPr>
                  <w:tcW w:w="1205" w:type="dxa"/>
                  <w:vAlign w:val="center"/>
                </w:tcPr>
                <w:p w14:paraId="72A331E1">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绿化、道路浇洒用水</w:t>
                  </w:r>
                </w:p>
              </w:tc>
              <w:tc>
                <w:tcPr>
                  <w:tcW w:w="1379" w:type="dxa"/>
                  <w:vAlign w:val="center"/>
                </w:tcPr>
                <w:p w14:paraId="6E3CB932">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2.3（1.276）</w:t>
                  </w:r>
                </w:p>
              </w:tc>
              <w:tc>
                <w:tcPr>
                  <w:tcW w:w="1406" w:type="dxa"/>
                  <w:vAlign w:val="center"/>
                </w:tcPr>
                <w:p w14:paraId="6F345FE0">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460(152.8)</w:t>
                  </w:r>
                </w:p>
              </w:tc>
              <w:tc>
                <w:tcPr>
                  <w:tcW w:w="713" w:type="dxa"/>
                  <w:vAlign w:val="center"/>
                </w:tcPr>
                <w:p w14:paraId="108543E2">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758" w:type="dxa"/>
                  <w:vAlign w:val="center"/>
                </w:tcPr>
                <w:p w14:paraId="0A799C99">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c>
                <w:tcPr>
                  <w:tcW w:w="2301" w:type="dxa"/>
                  <w:vAlign w:val="center"/>
                </w:tcPr>
                <w:p w14:paraId="07FFAD71">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全部被植物吸收或蒸发消耗</w:t>
                  </w:r>
                </w:p>
              </w:tc>
            </w:tr>
            <w:tr w14:paraId="3FD0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33" w:type="dxa"/>
                  <w:gridSpan w:val="2"/>
                  <w:vAlign w:val="center"/>
                </w:tcPr>
                <w:p w14:paraId="165BE6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合计</w:t>
                  </w:r>
                </w:p>
              </w:tc>
              <w:tc>
                <w:tcPr>
                  <w:tcW w:w="1379" w:type="dxa"/>
                  <w:vAlign w:val="center"/>
                </w:tcPr>
                <w:p w14:paraId="3615BC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4.147（3.123)</w:t>
                  </w:r>
                </w:p>
              </w:tc>
              <w:tc>
                <w:tcPr>
                  <w:tcW w:w="1406" w:type="dxa"/>
                  <w:vAlign w:val="center"/>
                </w:tcPr>
                <w:p w14:paraId="4AC9CFBF">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1014.1(566.9)</w:t>
                  </w:r>
                </w:p>
              </w:tc>
              <w:tc>
                <w:tcPr>
                  <w:tcW w:w="713" w:type="dxa"/>
                  <w:vAlign w:val="center"/>
                </w:tcPr>
                <w:p w14:paraId="72050B4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1.024</w:t>
                  </w:r>
                </w:p>
              </w:tc>
              <w:tc>
                <w:tcPr>
                  <w:tcW w:w="758" w:type="dxa"/>
                  <w:vAlign w:val="center"/>
                </w:tcPr>
                <w:p w14:paraId="7019CA6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307.2</w:t>
                  </w:r>
                </w:p>
              </w:tc>
              <w:tc>
                <w:tcPr>
                  <w:tcW w:w="2301" w:type="dxa"/>
                  <w:vAlign w:val="center"/>
                </w:tcPr>
                <w:p w14:paraId="48B7CC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w:t>
                  </w:r>
                </w:p>
              </w:tc>
            </w:tr>
            <w:tr w14:paraId="34A1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90" w:type="dxa"/>
                  <w:gridSpan w:val="7"/>
                  <w:vAlign w:val="center"/>
                </w:tcPr>
                <w:p w14:paraId="0FF21D10">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注：（）内为新鲜水用量</w:t>
                  </w:r>
                </w:p>
              </w:tc>
            </w:tr>
          </w:tbl>
          <w:p w14:paraId="57A5547F">
            <w:pPr>
              <w:pStyle w:val="3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highlight w:val="none"/>
              </w:rPr>
            </w:pPr>
            <w:bookmarkStart w:id="4" w:name="_Toc14957218"/>
            <w:bookmarkEnd w:id="4"/>
            <w:r>
              <w:rPr>
                <w:rFonts w:hint="default" w:ascii="Times New Roman" w:hAnsi="Times New Roman" w:eastAsia="宋体" w:cs="Times New Roman"/>
                <w:b w:val="0"/>
                <w:bCs w:val="0"/>
                <w:color w:val="auto"/>
                <w:sz w:val="24"/>
                <w:szCs w:val="24"/>
                <w:highlight w:val="none"/>
                <w:lang w:eastAsia="zh-CN"/>
              </w:rPr>
              <w:object>
                <v:shape id="_x0000_i1025" o:spt="75" type="#_x0000_t75" style="height:209.55pt;width:303.15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14:paraId="5C4B572A">
            <w:pPr>
              <w:keepNext w:val="0"/>
              <w:keepLines w:val="0"/>
              <w:suppressLineNumbers w:val="0"/>
              <w:spacing w:before="0" w:beforeAutospacing="0" w:after="0" w:afterAutospacing="0"/>
              <w:ind w:left="0" w:right="0"/>
              <w:jc w:val="center"/>
              <w:rPr>
                <w:rFonts w:hint="default" w:ascii="Times New Roman" w:hAnsi="Times New Roman" w:eastAsia="宋体"/>
                <w:color w:val="auto"/>
                <w:sz w:val="24"/>
                <w:szCs w:val="24"/>
                <w:lang w:val="en-US" w:eastAsia="zh-CN"/>
              </w:rPr>
            </w:pPr>
            <w:r>
              <w:rPr>
                <w:rFonts w:hint="default" w:hAnsi="Times New Roman"/>
                <w:b/>
                <w:bCs/>
                <w:color w:val="auto"/>
                <w:szCs w:val="24"/>
                <w:highlight w:val="none"/>
              </w:rPr>
              <w:t>图2-1  项目</w:t>
            </w:r>
            <w:r>
              <w:rPr>
                <w:rFonts w:hint="eastAsia" w:hAnsi="Times New Roman"/>
                <w:b/>
                <w:bCs/>
                <w:color w:val="auto"/>
                <w:szCs w:val="24"/>
                <w:highlight w:val="none"/>
              </w:rPr>
              <w:t>水</w:t>
            </w:r>
            <w:r>
              <w:rPr>
                <w:rFonts w:hint="default" w:hAnsi="Times New Roman"/>
                <w:b/>
                <w:bCs/>
                <w:color w:val="auto"/>
                <w:szCs w:val="24"/>
                <w:highlight w:val="none"/>
              </w:rPr>
              <w:t>平衡图</w:t>
            </w:r>
            <w:r>
              <w:rPr>
                <w:rFonts w:hint="default" w:ascii="Times New Roman" w:hAnsi="Times New Roman" w:eastAsia="宋体" w:cs="Times New Roman"/>
                <w:b/>
                <w:bCs/>
                <w:color w:val="auto"/>
                <w:sz w:val="21"/>
                <w:szCs w:val="24"/>
                <w:highlight w:val="none"/>
                <w:lang w:eastAsia="zh-CN"/>
              </w:rPr>
              <w:t>（</w:t>
            </w:r>
            <w:r>
              <w:rPr>
                <w:rFonts w:hint="default" w:ascii="Times New Roman" w:hAnsi="Times New Roman" w:eastAsia="宋体" w:cs="Times New Roman"/>
                <w:b/>
                <w:bCs/>
                <w:color w:val="auto"/>
                <w:sz w:val="21"/>
                <w:szCs w:val="24"/>
                <w:highlight w:val="none"/>
                <w:lang w:val="en-US" w:eastAsia="zh-CN"/>
              </w:rPr>
              <w:t>m</w:t>
            </w:r>
            <w:r>
              <w:rPr>
                <w:rFonts w:hint="default" w:ascii="Times New Roman" w:hAnsi="Times New Roman" w:eastAsia="宋体" w:cs="Times New Roman"/>
                <w:b/>
                <w:bCs/>
                <w:color w:val="auto"/>
                <w:sz w:val="21"/>
                <w:szCs w:val="24"/>
                <w:highlight w:val="none"/>
                <w:vertAlign w:val="superscript"/>
                <w:lang w:val="en-US" w:eastAsia="zh-CN"/>
              </w:rPr>
              <w:t>3</w:t>
            </w:r>
            <w:r>
              <w:rPr>
                <w:rFonts w:hint="default" w:ascii="Times New Roman" w:hAnsi="Times New Roman" w:eastAsia="宋体" w:cs="Times New Roman"/>
                <w:b/>
                <w:bCs/>
                <w:color w:val="auto"/>
                <w:sz w:val="21"/>
                <w:szCs w:val="24"/>
                <w:highlight w:val="none"/>
                <w:lang w:val="en-US" w:eastAsia="zh-CN"/>
              </w:rPr>
              <w:t>/</w:t>
            </w:r>
            <w:r>
              <w:rPr>
                <w:rFonts w:hint="eastAsia" w:cs="Times New Roman"/>
                <w:b/>
                <w:bCs/>
                <w:color w:val="auto"/>
                <w:sz w:val="21"/>
                <w:szCs w:val="24"/>
                <w:highlight w:val="none"/>
                <w:lang w:val="en-US" w:eastAsia="zh-CN"/>
              </w:rPr>
              <w:t>d</w:t>
            </w:r>
            <w:r>
              <w:rPr>
                <w:rFonts w:hint="default" w:ascii="Times New Roman" w:hAnsi="Times New Roman" w:eastAsia="宋体" w:cs="Times New Roman"/>
                <w:b/>
                <w:bCs/>
                <w:color w:val="auto"/>
                <w:sz w:val="21"/>
                <w:szCs w:val="24"/>
                <w:highlight w:val="none"/>
                <w:lang w:eastAsia="zh-CN"/>
              </w:rPr>
              <w:t>）</w:t>
            </w:r>
          </w:p>
        </w:tc>
      </w:tr>
      <w:tr w14:paraId="75C8A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441" w:type="dxa"/>
            <w:noWrap w:val="0"/>
            <w:vAlign w:val="center"/>
          </w:tcPr>
          <w:p w14:paraId="13283398">
            <w:pPr>
              <w:pStyle w:val="2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宋体"/>
                <w:color w:val="auto"/>
                <w:sz w:val="21"/>
                <w:szCs w:val="21"/>
              </w:rPr>
            </w:pPr>
            <w:r>
              <w:rPr>
                <w:rFonts w:hint="eastAsia" w:ascii="Times New Roman" w:hAnsi="Times New Roman" w:eastAsia="宋体" w:cs="宋体"/>
                <w:color w:val="auto"/>
                <w:sz w:val="24"/>
                <w:szCs w:val="24"/>
              </w:rPr>
              <w:t>工艺流程和产排污环节</w:t>
            </w:r>
          </w:p>
        </w:tc>
        <w:tc>
          <w:tcPr>
            <w:tcW w:w="8619" w:type="dxa"/>
            <w:noWrap w:val="0"/>
            <w:vAlign w:val="top"/>
          </w:tcPr>
          <w:p w14:paraId="5A02CF59">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b/>
                <w:bCs/>
                <w:color w:val="auto"/>
                <w:spacing w:val="0"/>
                <w:w w:val="100"/>
                <w:position w:val="0"/>
                <w:sz w:val="24"/>
                <w:szCs w:val="24"/>
                <w:highlight w:val="none"/>
                <w:lang w:val="en-US" w:eastAsia="zh-CN"/>
              </w:rPr>
            </w:pPr>
            <w:r>
              <w:rPr>
                <w:rFonts w:hint="eastAsia" w:ascii="Times New Roman" w:hAnsi="Times New Roman" w:eastAsia="宋体" w:cs="Times New Roman"/>
                <w:b/>
                <w:bCs/>
                <w:color w:val="auto"/>
                <w:spacing w:val="0"/>
                <w:w w:val="100"/>
                <w:position w:val="0"/>
                <w:sz w:val="24"/>
                <w:szCs w:val="24"/>
                <w:highlight w:val="none"/>
                <w:lang w:val="en-US" w:eastAsia="zh-CN"/>
              </w:rPr>
              <w:t>主要流程简述（图示）：</w:t>
            </w:r>
          </w:p>
          <w:p w14:paraId="0C4DD9A7">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b/>
                <w:bCs/>
                <w:color w:val="auto"/>
                <w:spacing w:val="0"/>
                <w:w w:val="100"/>
                <w:position w:val="0"/>
                <w:sz w:val="24"/>
                <w:szCs w:val="24"/>
                <w:highlight w:val="none"/>
                <w:lang w:val="en-US" w:eastAsia="zh-CN"/>
              </w:rPr>
            </w:pPr>
            <w:r>
              <w:rPr>
                <w:rFonts w:hint="eastAsia" w:ascii="Times New Roman" w:hAnsi="Times New Roman" w:eastAsia="宋体" w:cs="Times New Roman"/>
                <w:b/>
                <w:bCs/>
                <w:color w:val="auto"/>
                <w:spacing w:val="0"/>
                <w:w w:val="100"/>
                <w:position w:val="0"/>
                <w:sz w:val="24"/>
                <w:szCs w:val="24"/>
                <w:highlight w:val="none"/>
                <w:lang w:val="en-US" w:eastAsia="zh-CN"/>
              </w:rPr>
              <w:t>一、施工期工艺流程</w:t>
            </w:r>
          </w:p>
          <w:p w14:paraId="08C5A947">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b/>
                <w:bCs/>
                <w:color w:val="auto"/>
                <w:spacing w:val="0"/>
                <w:w w:val="100"/>
                <w:position w:val="0"/>
                <w:sz w:val="24"/>
                <w:szCs w:val="24"/>
                <w:highlight w:val="none"/>
                <w:lang w:val="en-US" w:eastAsia="zh-CN"/>
              </w:rPr>
            </w:pPr>
            <w:r>
              <w:rPr>
                <w:rFonts w:hint="eastAsia" w:cs="Times New Roman"/>
                <w:b/>
                <w:bCs/>
                <w:color w:val="auto"/>
                <w:spacing w:val="0"/>
                <w:w w:val="100"/>
                <w:position w:val="0"/>
                <w:sz w:val="24"/>
                <w:szCs w:val="24"/>
                <w:highlight w:val="none"/>
                <w:lang w:val="en-US" w:eastAsia="zh-CN"/>
              </w:rPr>
              <w:t>1、</w:t>
            </w:r>
            <w:r>
              <w:rPr>
                <w:rFonts w:hint="eastAsia" w:ascii="Times New Roman" w:hAnsi="Times New Roman" w:eastAsia="宋体" w:cs="Times New Roman"/>
                <w:b/>
                <w:bCs/>
                <w:color w:val="auto"/>
                <w:spacing w:val="0"/>
                <w:w w:val="100"/>
                <w:position w:val="0"/>
                <w:sz w:val="24"/>
                <w:szCs w:val="24"/>
                <w:highlight w:val="none"/>
                <w:lang w:val="en-US" w:eastAsia="zh-CN"/>
              </w:rPr>
              <w:t>工艺流程简述</w:t>
            </w:r>
          </w:p>
          <w:p w14:paraId="61C56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color w:val="auto"/>
                <w:sz w:val="24"/>
                <w:szCs w:val="24"/>
              </w:rPr>
            </w:pPr>
            <w:r>
              <w:rPr>
                <w:rFonts w:hint="default"/>
                <w:color w:val="auto"/>
                <w:sz w:val="24"/>
                <w:szCs w:val="24"/>
              </w:rPr>
              <w:t>本项目租用</w:t>
            </w:r>
            <w:r>
              <w:rPr>
                <w:rFonts w:hint="eastAsia"/>
                <w:color w:val="auto"/>
                <w:sz w:val="24"/>
                <w:szCs w:val="24"/>
                <w:lang w:val="en-US" w:eastAsia="zh-CN"/>
              </w:rPr>
              <w:t>羊街片</w:t>
            </w:r>
            <w:r>
              <w:rPr>
                <w:rFonts w:hint="eastAsia"/>
                <w:color w:val="auto"/>
                <w:sz w:val="24"/>
                <w:szCs w:val="24"/>
                <w:lang w:eastAsia="zh-CN"/>
              </w:rPr>
              <w:t>区</w:t>
            </w:r>
            <w:r>
              <w:rPr>
                <w:rFonts w:hint="default"/>
                <w:color w:val="auto"/>
                <w:sz w:val="24"/>
                <w:szCs w:val="24"/>
                <w:lang w:eastAsia="zh-CN"/>
              </w:rPr>
              <w:t>工业园内</w:t>
            </w:r>
            <w:r>
              <w:rPr>
                <w:rFonts w:hint="default"/>
                <w:color w:val="auto"/>
                <w:sz w:val="24"/>
                <w:szCs w:val="24"/>
                <w:lang w:val="en-US" w:eastAsia="zh-CN"/>
              </w:rPr>
              <w:t>已建</w:t>
            </w:r>
            <w:r>
              <w:rPr>
                <w:rFonts w:hint="default"/>
                <w:color w:val="auto"/>
                <w:sz w:val="24"/>
                <w:szCs w:val="24"/>
              </w:rPr>
              <w:t>厂房</w:t>
            </w:r>
            <w:r>
              <w:rPr>
                <w:rFonts w:hint="default"/>
                <w:color w:val="auto"/>
                <w:sz w:val="24"/>
                <w:szCs w:val="24"/>
                <w:lang w:eastAsia="zh-CN"/>
              </w:rPr>
              <w:t>，</w:t>
            </w:r>
            <w:r>
              <w:rPr>
                <w:rFonts w:hint="eastAsia"/>
                <w:color w:val="auto"/>
                <w:sz w:val="24"/>
                <w:szCs w:val="24"/>
                <w:lang w:eastAsia="zh-CN"/>
              </w:rPr>
              <w:t>经生产设备安装、环保工程</w:t>
            </w:r>
            <w:r>
              <w:rPr>
                <w:rFonts w:hint="eastAsia"/>
                <w:color w:val="auto"/>
                <w:sz w:val="24"/>
                <w:szCs w:val="24"/>
                <w:lang w:val="en-US" w:eastAsia="zh-CN"/>
              </w:rPr>
              <w:t>建设</w:t>
            </w:r>
            <w:r>
              <w:rPr>
                <w:rFonts w:hint="eastAsia"/>
                <w:color w:val="auto"/>
                <w:sz w:val="24"/>
                <w:szCs w:val="24"/>
                <w:lang w:eastAsia="zh-CN"/>
              </w:rPr>
              <w:t>后进行使用</w:t>
            </w:r>
            <w:r>
              <w:rPr>
                <w:rFonts w:hint="default"/>
                <w:color w:val="auto"/>
                <w:sz w:val="24"/>
                <w:szCs w:val="24"/>
                <w:lang w:val="en-US" w:eastAsia="zh-CN"/>
              </w:rPr>
              <w:t>。</w:t>
            </w:r>
            <w:r>
              <w:rPr>
                <w:rFonts w:hint="eastAsia"/>
                <w:color w:val="auto"/>
                <w:sz w:val="24"/>
                <w:szCs w:val="24"/>
                <w:lang w:eastAsia="zh-CN"/>
              </w:rPr>
              <w:t>项目施工期施工人员为</w:t>
            </w:r>
            <w:r>
              <w:rPr>
                <w:rFonts w:hint="eastAsia"/>
                <w:color w:val="auto"/>
                <w:sz w:val="24"/>
                <w:szCs w:val="24"/>
                <w:lang w:val="en-US" w:eastAsia="zh-CN"/>
              </w:rPr>
              <w:t>10人，聘用当地居民进行施工，项目区不设施工营地，施工人员不在项目区食宿</w:t>
            </w:r>
            <w:r>
              <w:rPr>
                <w:rFonts w:hint="default"/>
                <w:color w:val="auto"/>
                <w:sz w:val="24"/>
                <w:szCs w:val="24"/>
              </w:rPr>
              <w:t>。</w:t>
            </w:r>
          </w:p>
          <w:p w14:paraId="40990D90">
            <w:pPr>
              <w:pStyle w:val="16"/>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420" w:leftChars="200" w:right="0" w:firstLine="0" w:firstLineChars="0"/>
              <w:textAlignment w:val="auto"/>
              <w:rPr>
                <w:rFonts w:hint="eastAsia"/>
                <w:color w:val="auto"/>
                <w:sz w:val="24"/>
                <w:szCs w:val="24"/>
                <w:lang w:val="en-US" w:eastAsia="zh-CN"/>
              </w:rPr>
            </w:pPr>
            <w:r>
              <w:rPr>
                <w:rFonts w:hint="eastAsia"/>
                <w:color w:val="auto"/>
                <w:sz w:val="24"/>
                <w:szCs w:val="24"/>
                <w:lang w:eastAsia="zh-CN"/>
              </w:rPr>
              <w:t>项目施工期工艺流程</w:t>
            </w:r>
            <w:r>
              <w:rPr>
                <w:rFonts w:hint="eastAsia"/>
                <w:color w:val="auto"/>
                <w:sz w:val="24"/>
                <w:szCs w:val="24"/>
                <w:lang w:val="en-US" w:eastAsia="zh-CN"/>
              </w:rPr>
              <w:t>见</w:t>
            </w:r>
            <w:r>
              <w:rPr>
                <w:rFonts w:hint="eastAsia"/>
                <w:color w:val="auto"/>
                <w:sz w:val="24"/>
                <w:szCs w:val="24"/>
                <w:lang w:eastAsia="zh-CN"/>
              </w:rPr>
              <w:t>图</w:t>
            </w:r>
            <w:r>
              <w:rPr>
                <w:rFonts w:hint="eastAsia"/>
                <w:color w:val="auto"/>
                <w:sz w:val="24"/>
                <w:szCs w:val="24"/>
                <w:lang w:val="en-US" w:eastAsia="zh-CN"/>
              </w:rPr>
              <w:t>2-3。</w:t>
            </w:r>
          </w:p>
          <w:p w14:paraId="2BB771A3">
            <w:pPr>
              <w:keepNext w:val="0"/>
              <w:keepLines w:val="0"/>
              <w:suppressLineNumbers w:val="0"/>
              <w:adjustRightInd w:val="0"/>
              <w:snapToGrid w:val="0"/>
              <w:spacing w:before="0" w:beforeAutospacing="0" w:after="0" w:afterAutospacing="0"/>
              <w:ind w:left="0" w:leftChars="0" w:right="0" w:firstLine="0" w:firstLineChars="0"/>
              <w:jc w:val="center"/>
              <w:rPr>
                <w:rFonts w:hint="default"/>
                <w:color w:val="auto"/>
              </w:rPr>
            </w:pPr>
            <w:r>
              <w:rPr>
                <w:rFonts w:hint="default"/>
                <w:color w:val="auto"/>
              </w:rPr>
              <w:object>
                <v:shape id="_x0000_i1026" o:spt="75" type="#_x0000_t75" style="height:93.75pt;width:339.6pt;" o:ole="t" filled="f" o:preferrelative="t" stroked="f" coordsize="21600,21600">
                  <v:path/>
                  <v:fill on="f" focussize="0,0"/>
                  <v:stroke on="f"/>
                  <v:imagedata r:id="rId10" o:title=""/>
                  <o:lock v:ext="edit" aspectratio="t"/>
                  <w10:wrap type="none"/>
                  <w10:anchorlock/>
                </v:shape>
                <o:OLEObject Type="Embed" ProgID="Visio.Drawing.11" ShapeID="_x0000_i1026" DrawAspect="Content" ObjectID="_1468075726" r:id="rId9">
                  <o:LockedField>false</o:LockedField>
                </o:OLEObject>
              </w:object>
            </w:r>
          </w:p>
          <w:p w14:paraId="02F8922D">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 xml:space="preserve">  施工</w:t>
            </w:r>
            <w:r>
              <w:rPr>
                <w:rFonts w:hint="default" w:ascii="Times New Roman" w:hAnsi="Times New Roman" w:cs="Times New Roman"/>
                <w:b/>
                <w:bCs/>
                <w:color w:val="auto"/>
                <w:sz w:val="21"/>
                <w:szCs w:val="21"/>
                <w:lang w:eastAsia="zh-CN"/>
              </w:rPr>
              <w:t>期工艺</w:t>
            </w:r>
            <w:r>
              <w:rPr>
                <w:rFonts w:hint="default" w:ascii="Times New Roman" w:hAnsi="Times New Roman" w:cs="Times New Roman"/>
                <w:b/>
                <w:bCs/>
                <w:color w:val="auto"/>
                <w:sz w:val="21"/>
                <w:szCs w:val="21"/>
              </w:rPr>
              <w:t>流程图</w:t>
            </w:r>
          </w:p>
          <w:p w14:paraId="01E2771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baseline"/>
              <w:outlineLvl w:val="9"/>
              <w:rPr>
                <w:rFonts w:hint="default"/>
                <w:b/>
                <w:bCs/>
                <w:color w:val="auto"/>
                <w:sz w:val="24"/>
                <w:szCs w:val="24"/>
                <w:lang w:val="en-US" w:eastAsia="zh-CN"/>
              </w:rPr>
            </w:pPr>
            <w:r>
              <w:rPr>
                <w:rFonts w:hint="default"/>
                <w:b/>
                <w:bCs/>
                <w:color w:val="auto"/>
                <w:sz w:val="24"/>
                <w:szCs w:val="24"/>
                <w:lang w:val="en-US" w:eastAsia="zh-CN"/>
              </w:rPr>
              <w:t>2、施工期产污环节简介</w:t>
            </w:r>
          </w:p>
          <w:p w14:paraId="54C21C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olor w:val="auto"/>
                <w:sz w:val="24"/>
                <w:szCs w:val="24"/>
                <w:lang w:val="en-US" w:eastAsia="zh-CN"/>
              </w:rPr>
            </w:pPr>
            <w:r>
              <w:rPr>
                <w:rFonts w:hint="default"/>
                <w:color w:val="auto"/>
                <w:sz w:val="24"/>
                <w:szCs w:val="24"/>
                <w:lang w:val="en-US" w:eastAsia="zh-CN"/>
              </w:rPr>
              <w:t>项目施工期主要在现有厂房内进行设备的安装</w:t>
            </w:r>
            <w:r>
              <w:rPr>
                <w:rFonts w:hint="eastAsia"/>
                <w:color w:val="auto"/>
                <w:sz w:val="24"/>
                <w:szCs w:val="24"/>
                <w:lang w:val="en-US" w:eastAsia="zh-CN"/>
              </w:rPr>
              <w:t>及环保工程建设，环保工程主要为一体化污水处理站暂存池。项目施工期</w:t>
            </w:r>
            <w:r>
              <w:rPr>
                <w:rFonts w:hint="default"/>
                <w:color w:val="auto"/>
                <w:sz w:val="24"/>
                <w:szCs w:val="24"/>
                <w:lang w:val="en-US" w:eastAsia="zh-CN"/>
              </w:rPr>
              <w:t>产生的污染物主要为</w:t>
            </w:r>
            <w:r>
              <w:rPr>
                <w:rFonts w:hint="eastAsia"/>
                <w:color w:val="auto"/>
                <w:sz w:val="24"/>
                <w:szCs w:val="24"/>
                <w:lang w:val="en-US" w:eastAsia="zh-CN"/>
              </w:rPr>
              <w:t>施工废水、扬尘</w:t>
            </w:r>
            <w:r>
              <w:rPr>
                <w:rFonts w:hint="default"/>
                <w:color w:val="auto"/>
                <w:sz w:val="24"/>
                <w:szCs w:val="24"/>
                <w:lang w:val="en-US" w:eastAsia="zh-CN"/>
              </w:rPr>
              <w:t>、</w:t>
            </w:r>
            <w:r>
              <w:rPr>
                <w:rFonts w:hint="eastAsia"/>
                <w:color w:val="auto"/>
                <w:sz w:val="24"/>
                <w:szCs w:val="24"/>
                <w:lang w:val="en-US" w:eastAsia="zh-CN"/>
              </w:rPr>
              <w:t>固废、</w:t>
            </w:r>
            <w:r>
              <w:rPr>
                <w:rFonts w:hint="default"/>
                <w:color w:val="auto"/>
                <w:sz w:val="24"/>
                <w:szCs w:val="24"/>
                <w:lang w:val="en-US" w:eastAsia="zh-CN"/>
              </w:rPr>
              <w:t>噪声等</w:t>
            </w:r>
            <w:r>
              <w:rPr>
                <w:rFonts w:hint="eastAsia"/>
                <w:color w:val="auto"/>
                <w:sz w:val="24"/>
                <w:szCs w:val="24"/>
                <w:lang w:val="en-US" w:eastAsia="zh-CN"/>
              </w:rPr>
              <w:t>。</w:t>
            </w:r>
          </w:p>
          <w:p w14:paraId="5D0E263E">
            <w:pPr>
              <w:pStyle w:val="73"/>
              <w:keepNext w:val="0"/>
              <w:keepLines w:val="0"/>
              <w:suppressLineNumbers w:val="0"/>
              <w:adjustRightInd/>
              <w:spacing w:before="0" w:beforeAutospacing="0" w:after="0" w:afterAutospacing="0"/>
              <w:ind w:left="0" w:right="0"/>
              <w:rPr>
                <w:rFonts w:hint="eastAsia" w:ascii="Times New Roman" w:hAnsi="Times New Roman" w:eastAsia="宋体" w:cs="Times New Roman"/>
                <w:b/>
                <w:bCs/>
                <w:color w:val="auto"/>
                <w:spacing w:val="0"/>
                <w:w w:val="100"/>
                <w:position w:val="0"/>
                <w:sz w:val="24"/>
                <w:szCs w:val="24"/>
                <w:highlight w:val="none"/>
                <w:lang w:val="en-US" w:eastAsia="zh-CN"/>
              </w:rPr>
            </w:pPr>
            <w:r>
              <w:rPr>
                <w:rFonts w:hint="eastAsia" w:ascii="Times New Roman" w:hAnsi="Times New Roman" w:eastAsia="宋体" w:cs="Times New Roman"/>
                <w:b/>
                <w:bCs/>
                <w:color w:val="auto"/>
                <w:spacing w:val="0"/>
                <w:w w:val="100"/>
                <w:position w:val="0"/>
                <w:sz w:val="24"/>
                <w:szCs w:val="24"/>
                <w:highlight w:val="none"/>
                <w:lang w:val="en-US" w:eastAsia="zh-CN"/>
              </w:rPr>
              <w:t>二、运营期工艺流程</w:t>
            </w:r>
          </w:p>
          <w:p w14:paraId="7589E8E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pacing w:val="0"/>
                <w:w w:val="100"/>
                <w:kern w:val="2"/>
                <w:position w:val="0"/>
                <w:sz w:val="24"/>
                <w:szCs w:val="24"/>
                <w:highlight w:val="none"/>
                <w:lang w:val="en-US" w:eastAsia="zh-CN" w:bidi="ar"/>
              </w:rPr>
            </w:pPr>
            <w:r>
              <w:rPr>
                <w:rFonts w:hint="eastAsia" w:ascii="Times New Roman" w:hAnsi="Times New Roman" w:eastAsia="宋体" w:cs="Times New Roman"/>
                <w:b/>
                <w:bCs/>
                <w:color w:val="auto"/>
                <w:spacing w:val="0"/>
                <w:w w:val="100"/>
                <w:kern w:val="2"/>
                <w:position w:val="0"/>
                <w:sz w:val="24"/>
                <w:szCs w:val="24"/>
                <w:highlight w:val="none"/>
                <w:lang w:val="en-US" w:eastAsia="zh-CN" w:bidi="ar"/>
              </w:rPr>
              <w:t>（1）生产工艺流程</w:t>
            </w:r>
            <w:r>
              <w:rPr>
                <w:rFonts w:hint="eastAsia" w:cs="Times New Roman"/>
                <w:b/>
                <w:bCs/>
                <w:color w:val="auto"/>
                <w:spacing w:val="0"/>
                <w:w w:val="100"/>
                <w:kern w:val="2"/>
                <w:position w:val="0"/>
                <w:sz w:val="24"/>
                <w:szCs w:val="24"/>
                <w:highlight w:val="none"/>
                <w:lang w:val="en-US" w:eastAsia="zh-CN" w:bidi="ar"/>
              </w:rPr>
              <w:t>及产污环节分析</w:t>
            </w:r>
          </w:p>
          <w:p w14:paraId="0F45CAD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color w:val="auto"/>
                <w:lang w:val="en-US" w:eastAsia="zh-CN"/>
              </w:rPr>
            </w:pPr>
            <w:r>
              <w:rPr>
                <w:rFonts w:hint="default" w:ascii="Times New Roman" w:hAnsi="Times New Roman" w:eastAsia="宋体" w:cs="Times New Roman"/>
                <w:color w:val="auto"/>
                <w:sz w:val="24"/>
                <w:szCs w:val="24"/>
                <w:lang w:val="en-US" w:eastAsia="zh-CN"/>
              </w:rPr>
              <w:t>本项目</w:t>
            </w:r>
            <w:r>
              <w:rPr>
                <w:rFonts w:hint="eastAsia"/>
                <w:color w:val="auto"/>
                <w:lang w:val="en-US" w:eastAsia="zh-CN"/>
              </w:rPr>
              <w:t>生产工艺流程及产污节点如图2-4所示。</w:t>
            </w:r>
          </w:p>
          <w:p w14:paraId="42F645B8">
            <w:pPr>
              <w:pStyle w:val="86"/>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val="0"/>
                <w:bCs w:val="0"/>
                <w:color w:val="auto"/>
                <w:sz w:val="24"/>
                <w:vertAlign w:val="baseline"/>
                <w:lang w:val="en-US" w:eastAsia="zh-CN"/>
              </w:rPr>
            </w:pPr>
            <w:r>
              <w:rPr>
                <w:rFonts w:hint="eastAsia"/>
                <w:color w:val="auto"/>
                <w:sz w:val="24"/>
                <w:lang w:val="en-US" w:eastAsia="zh-CN"/>
              </w:rPr>
              <w:object>
                <v:shape id="_x0000_i1027" o:spt="75" type="#_x0000_t75" style="height:398pt;width:348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14:paraId="69F1E2A0">
            <w:pPr>
              <w:pStyle w:val="86"/>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eastAsia="zh-CN"/>
              </w:rPr>
              <w:t>图</w:t>
            </w:r>
            <w:r>
              <w:rPr>
                <w:rFonts w:hint="eastAsia" w:ascii="Times New Roman" w:hAnsi="Times New Roman" w:eastAsia="宋体"/>
                <w:b/>
                <w:bCs/>
                <w:color w:val="auto"/>
                <w:sz w:val="21"/>
                <w:szCs w:val="21"/>
                <w:lang w:val="en-US" w:eastAsia="zh-CN"/>
              </w:rPr>
              <w:t>2-4  项目生产工艺流程及产污环节图</w:t>
            </w:r>
          </w:p>
          <w:p w14:paraId="11FB24BA">
            <w:pPr>
              <w:pStyle w:val="86"/>
              <w:keepNext w:val="0"/>
              <w:keepLines w:val="0"/>
              <w:suppressLineNumbers w:val="0"/>
              <w:spacing w:before="0" w:beforeAutospacing="0" w:after="0" w:afterAutospacing="0" w:line="360" w:lineRule="auto"/>
              <w:ind w:left="0" w:right="0" w:firstLineChars="200"/>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主要生产工艺流程简述：</w:t>
            </w:r>
          </w:p>
          <w:p w14:paraId="6BCCBD5A">
            <w:pPr>
              <w:pStyle w:val="73"/>
              <w:keepNext w:val="0"/>
              <w:keepLines w:val="0"/>
              <w:numPr>
                <w:ilvl w:val="0"/>
                <w:numId w:val="6"/>
              </w:numPr>
              <w:suppressLineNumbers w:val="0"/>
              <w:adjustRightInd/>
              <w:spacing w:before="0" w:beforeAutospacing="0" w:after="0" w:afterAutospacing="0"/>
              <w:ind w:left="0" w:right="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调胶</w:t>
            </w:r>
          </w:p>
          <w:p w14:paraId="7B5A08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项目外购成品</w:t>
            </w:r>
            <w:r>
              <w:rPr>
                <w:rFonts w:hint="eastAsia" w:cs="Times New Roman"/>
                <w:color w:val="auto"/>
                <w:sz w:val="24"/>
                <w:szCs w:val="24"/>
                <w:lang w:val="en-US" w:eastAsia="zh-CN"/>
              </w:rPr>
              <w:t>密封包装</w:t>
            </w:r>
            <w:r>
              <w:rPr>
                <w:rFonts w:hint="default" w:ascii="Times New Roman" w:hAnsi="Times New Roman" w:cs="Times New Roman"/>
                <w:color w:val="auto"/>
                <w:sz w:val="24"/>
                <w:szCs w:val="24"/>
                <w:lang w:val="en-US" w:eastAsia="zh-CN"/>
              </w:rPr>
              <w:t>三聚氰胺甲醛树脂，拆包后根据配方要求将三聚氰胺甲醛树脂和水按一定比例</w:t>
            </w:r>
            <w:r>
              <w:rPr>
                <w:rFonts w:hint="eastAsia" w:cs="Times New Roman"/>
                <w:color w:val="auto"/>
                <w:sz w:val="24"/>
                <w:szCs w:val="24"/>
                <w:lang w:val="en-US" w:eastAsia="zh-CN"/>
              </w:rPr>
              <w:t>在搅拌罐中</w:t>
            </w:r>
            <w:r>
              <w:rPr>
                <w:rFonts w:hint="default" w:ascii="Times New Roman" w:hAnsi="Times New Roman" w:cs="Times New Roman"/>
                <w:color w:val="auto"/>
                <w:sz w:val="24"/>
                <w:szCs w:val="24"/>
                <w:lang w:val="en-US" w:eastAsia="zh-CN"/>
              </w:rPr>
              <w:t>充分混合搅拌，配得浸渍纸生产需要的树脂胶稠度，调胶过程无需加热，</w:t>
            </w:r>
            <w:r>
              <w:rPr>
                <w:rFonts w:hint="eastAsia" w:cs="Times New Roman"/>
                <w:color w:val="auto"/>
                <w:sz w:val="24"/>
                <w:szCs w:val="24"/>
                <w:lang w:val="en-US" w:eastAsia="zh-CN"/>
              </w:rPr>
              <w:t>调配好的树脂胶通过密封管道注入储胶罐中储存备用。</w:t>
            </w:r>
            <w:r>
              <w:rPr>
                <w:rFonts w:hint="default" w:ascii="Times New Roman" w:hAnsi="Times New Roman" w:cs="Times New Roman"/>
                <w:color w:val="auto"/>
                <w:sz w:val="24"/>
                <w:szCs w:val="24"/>
                <w:lang w:val="en-US" w:eastAsia="zh-CN"/>
              </w:rPr>
              <w:t>成品胶拆包后会产生废胶水桶，搅拌过程中会产生机械噪声、甲醛和VOCs。</w:t>
            </w:r>
          </w:p>
          <w:p w14:paraId="7EA847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color w:val="auto"/>
                <w:sz w:val="24"/>
                <w:szCs w:val="24"/>
                <w:lang w:val="en-US" w:eastAsia="zh-CN"/>
              </w:rPr>
            </w:pPr>
            <w:r>
              <w:rPr>
                <w:rFonts w:hint="eastAsia"/>
                <w:color w:val="auto"/>
                <w:sz w:val="24"/>
                <w:szCs w:val="24"/>
                <w:lang w:val="en-US" w:eastAsia="zh-CN"/>
              </w:rPr>
              <w:t>（2）原纸拆包</w:t>
            </w:r>
          </w:p>
          <w:p w14:paraId="36730B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将外购的原纸包装拆开后，使用叉车将原纸运送到卧式浸渍烘干一体机入纸口，此过程中会产生废包装材料和叉车噪声。</w:t>
            </w:r>
          </w:p>
          <w:p w14:paraId="3ADEFE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（3）浸胶</w:t>
            </w:r>
          </w:p>
          <w:p w14:paraId="236EB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储胶罐中储存的三聚氰胺甲醛树脂胶通过密闭管道注入卧式浸渍烘干一体化生产设备的浸胶槽中，设定温度通过电导热至生产所需的工艺温度，将原纸进行浸渍处理，浸渍过程中产生机械噪声、甲醛和</w:t>
            </w:r>
            <w:r>
              <w:rPr>
                <w:rFonts w:hint="eastAsia" w:ascii="Times New Roman" w:hAnsi="Times New Roman" w:cs="Times New Roman"/>
                <w:color w:val="auto"/>
                <w:kern w:val="2"/>
                <w:sz w:val="24"/>
                <w:szCs w:val="24"/>
                <w:lang w:val="en-US" w:eastAsia="zh-CN"/>
              </w:rPr>
              <w:t>VOCs</w:t>
            </w:r>
            <w:r>
              <w:rPr>
                <w:rFonts w:hint="eastAsia"/>
                <w:color w:val="auto"/>
                <w:sz w:val="24"/>
                <w:szCs w:val="24"/>
                <w:lang w:val="en-US" w:eastAsia="zh-CN"/>
              </w:rPr>
              <w:t>。</w:t>
            </w:r>
          </w:p>
          <w:p w14:paraId="7C4B32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（4）干燥</w:t>
            </w:r>
          </w:p>
          <w:p w14:paraId="495CF2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浸过三聚氰胺甲醛树脂胶的纸张通过传送皮带传送到设备烘干工段，使用对辊轴进行挤压把胶渍挤压出来后，通过热导热油加热压缩空气干燥器产生的空气对纸张进行烘干，被挤压出来的胶渍通过滑道流回浸胶槽中循环使用，烘干过程中产生机械噪声、甲醛和</w:t>
            </w:r>
            <w:r>
              <w:rPr>
                <w:rFonts w:hint="eastAsia" w:ascii="Times New Roman" w:hAnsi="Times New Roman" w:cs="Times New Roman"/>
                <w:color w:val="auto"/>
                <w:kern w:val="2"/>
                <w:sz w:val="24"/>
                <w:szCs w:val="24"/>
                <w:lang w:val="en-US" w:eastAsia="zh-CN"/>
              </w:rPr>
              <w:t>VOCs</w:t>
            </w:r>
            <w:r>
              <w:rPr>
                <w:rFonts w:hint="eastAsia"/>
                <w:color w:val="auto"/>
                <w:sz w:val="24"/>
                <w:szCs w:val="24"/>
                <w:lang w:val="en-US" w:eastAsia="zh-CN"/>
              </w:rPr>
              <w:t>。</w:t>
            </w:r>
          </w:p>
          <w:p w14:paraId="22B51208">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切纸</w:t>
            </w:r>
          </w:p>
          <w:p w14:paraId="5F941D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烘干处理后的产品通过传输皮带传输至设备裁切工段，经数控机床剪切成所需要的尺寸，裁剪过程中会产生机械噪声和少许废边角料。</w:t>
            </w:r>
          </w:p>
          <w:p w14:paraId="3E38303A">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检验、包装</w:t>
            </w:r>
          </w:p>
          <w:p w14:paraId="10AD54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剪切好的产品通过传送皮带传送至检验平台，经人工检验后将合格的产品进行包装入库，不合格的产品将作为固体废弃物统一收集处置，此环节会产生不合格产品和废包装材料。</w:t>
            </w:r>
          </w:p>
          <w:p w14:paraId="6E0E88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color w:val="auto"/>
                <w:sz w:val="24"/>
                <w:szCs w:val="24"/>
                <w:lang w:val="en-US" w:eastAsia="zh-CN"/>
              </w:rPr>
            </w:pPr>
            <w:r>
              <w:rPr>
                <w:rFonts w:hint="eastAsia"/>
                <w:color w:val="auto"/>
                <w:sz w:val="24"/>
                <w:szCs w:val="24"/>
                <w:lang w:val="en-US" w:eastAsia="zh-CN"/>
              </w:rPr>
              <w:t>从浸胶到裁剪整个过程皆在一体化的设备内完成。浸渍和烘干温度分</w:t>
            </w:r>
            <w:r>
              <w:rPr>
                <w:rFonts w:hint="default"/>
                <w:color w:val="auto"/>
                <w:sz w:val="24"/>
                <w:szCs w:val="24"/>
                <w:lang w:val="en-US" w:eastAsia="zh-CN"/>
              </w:rPr>
              <w:t>别约80℃和150℃，</w:t>
            </w:r>
            <w:r>
              <w:rPr>
                <w:rFonts w:hint="eastAsia"/>
                <w:color w:val="auto"/>
                <w:sz w:val="24"/>
                <w:szCs w:val="24"/>
                <w:lang w:val="en-US" w:eastAsia="zh-CN"/>
              </w:rPr>
              <w:t>浸渍保温用电加热，烘干热源由天然气燃烧加热导热油供热，天然气在模温机燃烧时会产生NOx、SO</w:t>
            </w:r>
            <w:r>
              <w:rPr>
                <w:rFonts w:hint="eastAsia"/>
                <w:color w:val="auto"/>
                <w:sz w:val="24"/>
                <w:szCs w:val="24"/>
                <w:vertAlign w:val="subscript"/>
                <w:lang w:val="en-US" w:eastAsia="zh-CN"/>
              </w:rPr>
              <w:t>2</w:t>
            </w:r>
            <w:r>
              <w:rPr>
                <w:rFonts w:hint="eastAsia"/>
                <w:color w:val="auto"/>
                <w:sz w:val="24"/>
                <w:szCs w:val="24"/>
                <w:lang w:val="en-US" w:eastAsia="zh-CN"/>
              </w:rPr>
              <w:t>和颗粒物。</w:t>
            </w:r>
          </w:p>
          <w:p w14:paraId="5233EA5D">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b/>
                <w:bCs/>
                <w:color w:val="auto"/>
                <w:sz w:val="24"/>
                <w:szCs w:val="28"/>
                <w:highlight w:val="none"/>
              </w:rPr>
            </w:pPr>
            <w:r>
              <w:rPr>
                <w:rFonts w:hint="eastAsia"/>
                <w:b/>
                <w:bCs/>
                <w:color w:val="auto"/>
                <w:sz w:val="24"/>
                <w:szCs w:val="28"/>
                <w:highlight w:val="none"/>
                <w:lang w:val="en-US" w:eastAsia="zh-CN"/>
              </w:rPr>
              <w:t>6、</w:t>
            </w:r>
            <w:r>
              <w:rPr>
                <w:rFonts w:hint="default"/>
                <w:b/>
                <w:bCs/>
                <w:color w:val="auto"/>
                <w:sz w:val="24"/>
                <w:szCs w:val="28"/>
                <w:highlight w:val="none"/>
              </w:rPr>
              <w:t>运营期主要污染工序</w:t>
            </w:r>
          </w:p>
          <w:p w14:paraId="6418BE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本项目运营期主要污染工序详见表</w:t>
            </w:r>
            <w:r>
              <w:rPr>
                <w:rFonts w:hint="eastAsia"/>
                <w:color w:val="auto"/>
                <w:sz w:val="24"/>
                <w:szCs w:val="24"/>
                <w:highlight w:val="none"/>
                <w:lang w:val="en-US" w:eastAsia="zh-CN"/>
              </w:rPr>
              <w:t>2-8。</w:t>
            </w:r>
          </w:p>
          <w:p w14:paraId="108D9D9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2"/>
                <w:sz w:val="21"/>
                <w:szCs w:val="22"/>
                <w:highlight w:val="none"/>
                <w:lang w:val="en-US" w:eastAsia="zh-CN" w:bidi="ar-SA"/>
              </w:rPr>
            </w:pPr>
            <w:r>
              <w:rPr>
                <w:rFonts w:hint="default" w:ascii="Times New Roman" w:hAnsi="Times New Roman" w:eastAsia="宋体"/>
                <w:b/>
                <w:bCs/>
                <w:color w:val="auto"/>
                <w:sz w:val="21"/>
                <w:szCs w:val="21"/>
                <w:highlight w:val="none"/>
                <w:lang w:val="en-US" w:eastAsia="zh-CN"/>
              </w:rPr>
              <w:t>表</w:t>
            </w:r>
            <w:r>
              <w:rPr>
                <w:rFonts w:hint="eastAsia" w:ascii="Times New Roman" w:hAnsi="Times New Roman" w:eastAsia="宋体"/>
                <w:b/>
                <w:bCs/>
                <w:color w:val="auto"/>
                <w:sz w:val="21"/>
                <w:szCs w:val="21"/>
                <w:highlight w:val="none"/>
                <w:lang w:val="en-US" w:eastAsia="zh-CN"/>
              </w:rPr>
              <w:t>2</w:t>
            </w:r>
            <w:r>
              <w:rPr>
                <w:rFonts w:hint="default" w:ascii="Times New Roman" w:hAnsi="Times New Roman" w:eastAsia="宋体"/>
                <w:b/>
                <w:bCs/>
                <w:color w:val="auto"/>
                <w:sz w:val="21"/>
                <w:szCs w:val="21"/>
                <w:highlight w:val="none"/>
                <w:lang w:val="en-US" w:eastAsia="zh-CN"/>
              </w:rPr>
              <w:t>-</w:t>
            </w:r>
            <w:r>
              <w:rPr>
                <w:rFonts w:hint="eastAsia"/>
                <w:b/>
                <w:bCs/>
                <w:color w:val="auto"/>
                <w:sz w:val="21"/>
                <w:szCs w:val="21"/>
                <w:highlight w:val="none"/>
                <w:lang w:val="en-US" w:eastAsia="zh-CN"/>
              </w:rPr>
              <w:t>8</w:t>
            </w:r>
            <w:r>
              <w:rPr>
                <w:rFonts w:hint="default" w:ascii="Times New Roman" w:hAnsi="Times New Roman" w:eastAsia="宋体"/>
                <w:b/>
                <w:bCs/>
                <w:color w:val="auto"/>
                <w:sz w:val="21"/>
                <w:szCs w:val="21"/>
                <w:highlight w:val="none"/>
                <w:lang w:val="en-US" w:eastAsia="zh-CN"/>
              </w:rPr>
              <w:t xml:space="preserve">  运营期主要污染工序一览</w:t>
            </w:r>
          </w:p>
          <w:tbl>
            <w:tblPr>
              <w:tblStyle w:val="3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729"/>
              <w:gridCol w:w="1724"/>
              <w:gridCol w:w="3312"/>
              <w:gridCol w:w="960"/>
            </w:tblGrid>
            <w:tr w14:paraId="3335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Borders>
                    <w:tl2br w:val="nil"/>
                    <w:tr2bl w:val="nil"/>
                  </w:tcBorders>
                  <w:noWrap w:val="0"/>
                  <w:vAlign w:val="center"/>
                </w:tcPr>
                <w:p w14:paraId="76A0B5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污染类别</w:t>
                  </w:r>
                </w:p>
              </w:tc>
              <w:tc>
                <w:tcPr>
                  <w:tcW w:w="1729" w:type="dxa"/>
                  <w:tcBorders>
                    <w:tl2br w:val="nil"/>
                    <w:tr2bl w:val="nil"/>
                  </w:tcBorders>
                  <w:noWrap w:val="0"/>
                  <w:vAlign w:val="center"/>
                </w:tcPr>
                <w:p w14:paraId="2922305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产污环节</w:t>
                  </w:r>
                </w:p>
              </w:tc>
              <w:tc>
                <w:tcPr>
                  <w:tcW w:w="1724" w:type="dxa"/>
                  <w:tcBorders>
                    <w:tl2br w:val="nil"/>
                    <w:tr2bl w:val="nil"/>
                  </w:tcBorders>
                  <w:noWrap w:val="0"/>
                  <w:vAlign w:val="center"/>
                </w:tcPr>
                <w:p w14:paraId="4F87A8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主要</w:t>
                  </w:r>
                  <w:r>
                    <w:rPr>
                      <w:rFonts w:hint="default" w:ascii="Times New Roman" w:hAnsi="Times New Roman" w:cs="Times New Roman"/>
                      <w:b/>
                      <w:bCs/>
                      <w:color w:val="auto"/>
                      <w:sz w:val="21"/>
                      <w:szCs w:val="21"/>
                      <w:highlight w:val="none"/>
                    </w:rPr>
                    <w:t>污染物</w:t>
                  </w:r>
                </w:p>
              </w:tc>
              <w:tc>
                <w:tcPr>
                  <w:tcW w:w="3312" w:type="dxa"/>
                  <w:tcBorders>
                    <w:tl2br w:val="nil"/>
                    <w:tr2bl w:val="nil"/>
                  </w:tcBorders>
                  <w:noWrap w:val="0"/>
                  <w:vAlign w:val="center"/>
                </w:tcPr>
                <w:p w14:paraId="71F4F5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治理措施</w:t>
                  </w:r>
                </w:p>
              </w:tc>
              <w:tc>
                <w:tcPr>
                  <w:tcW w:w="960" w:type="dxa"/>
                  <w:tcBorders>
                    <w:tl2br w:val="nil"/>
                    <w:tr2bl w:val="nil"/>
                  </w:tcBorders>
                  <w:noWrap w:val="0"/>
                  <w:vAlign w:val="center"/>
                </w:tcPr>
                <w:p w14:paraId="37E44C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排放方式</w:t>
                  </w:r>
                </w:p>
              </w:tc>
            </w:tr>
            <w:tr w14:paraId="0295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5" w:type="dxa"/>
                  <w:vMerge w:val="restart"/>
                  <w:tcBorders>
                    <w:tl2br w:val="nil"/>
                    <w:tr2bl w:val="nil"/>
                  </w:tcBorders>
                  <w:noWrap w:val="0"/>
                  <w:vAlign w:val="center"/>
                </w:tcPr>
                <w:p w14:paraId="3AA4DA4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1729" w:type="dxa"/>
                  <w:tcBorders>
                    <w:tl2br w:val="nil"/>
                    <w:tr2bl w:val="nil"/>
                  </w:tcBorders>
                  <w:noWrap w:val="0"/>
                  <w:vAlign w:val="center"/>
                </w:tcPr>
                <w:p w14:paraId="2DE871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天然气</w:t>
                  </w:r>
                  <w:r>
                    <w:rPr>
                      <w:rFonts w:hint="eastAsia" w:ascii="Times New Roman" w:hAnsi="Times New Roman" w:cs="Times New Roman"/>
                      <w:color w:val="auto"/>
                      <w:sz w:val="21"/>
                      <w:szCs w:val="21"/>
                      <w:highlight w:val="none"/>
                      <w:lang w:eastAsia="zh-CN"/>
                    </w:rPr>
                    <w:t>燃烧</w:t>
                  </w:r>
                </w:p>
              </w:tc>
              <w:tc>
                <w:tcPr>
                  <w:tcW w:w="1724" w:type="dxa"/>
                  <w:tcBorders>
                    <w:tl2br w:val="nil"/>
                    <w:tr2bl w:val="nil"/>
                  </w:tcBorders>
                  <w:noWrap w:val="0"/>
                  <w:vAlign w:val="center"/>
                </w:tcPr>
                <w:p w14:paraId="421996C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烟尘、</w:t>
                  </w: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3312" w:type="dxa"/>
                  <w:tcBorders>
                    <w:tl2br w:val="nil"/>
                    <w:tr2bl w:val="nil"/>
                  </w:tcBorders>
                  <w:noWrap w:val="0"/>
                  <w:vAlign w:val="center"/>
                </w:tcPr>
                <w:p w14:paraId="20A3D3C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shd w:val="clear" w:color="auto" w:fill="auto"/>
                      <w:lang w:val="en-US" w:eastAsia="zh-CN"/>
                    </w:rPr>
                    <w:t>由15</w:t>
                  </w:r>
                  <w:r>
                    <w:rPr>
                      <w:rFonts w:hint="eastAsia" w:ascii="Times New Roman" w:hAnsi="Times New Roman" w:eastAsia="宋体" w:cs="Times New Roman"/>
                      <w:color w:val="auto"/>
                      <w:szCs w:val="21"/>
                      <w:highlight w:val="none"/>
                      <w:shd w:val="clear" w:color="auto" w:fill="auto"/>
                      <w:lang w:val="en-US" w:eastAsia="zh-CN"/>
                    </w:rPr>
                    <w:t>m高排气筒（</w:t>
                  </w:r>
                  <w:r>
                    <w:rPr>
                      <w:rFonts w:hint="eastAsia" w:eastAsia="宋体" w:cs="Times New Roman"/>
                      <w:color w:val="auto"/>
                      <w:szCs w:val="21"/>
                      <w:highlight w:val="none"/>
                      <w:shd w:val="clear" w:color="auto" w:fill="auto"/>
                      <w:lang w:val="en-US" w:eastAsia="zh-CN"/>
                    </w:rPr>
                    <w:t>DA00</w:t>
                  </w:r>
                  <w:r>
                    <w:rPr>
                      <w:rFonts w:hint="eastAsia" w:cs="Times New Roman"/>
                      <w:color w:val="auto"/>
                      <w:szCs w:val="21"/>
                      <w:highlight w:val="none"/>
                      <w:shd w:val="clear" w:color="auto" w:fill="auto"/>
                      <w:lang w:val="en-US" w:eastAsia="zh-CN"/>
                    </w:rPr>
                    <w:t>2</w:t>
                  </w:r>
                  <w:r>
                    <w:rPr>
                      <w:rFonts w:hint="eastAsia" w:ascii="Times New Roman" w:hAnsi="Times New Roman" w:eastAsia="宋体" w:cs="Times New Roman"/>
                      <w:color w:val="auto"/>
                      <w:szCs w:val="21"/>
                      <w:highlight w:val="none"/>
                      <w:shd w:val="clear" w:color="auto" w:fill="auto"/>
                      <w:lang w:val="en-US" w:eastAsia="zh-CN"/>
                    </w:rPr>
                    <w:t>）</w:t>
                  </w:r>
                  <w:r>
                    <w:rPr>
                      <w:rFonts w:hint="default" w:ascii="Times New Roman" w:hAnsi="Times New Roman" w:eastAsia="宋体" w:cs="Times New Roman"/>
                      <w:color w:val="auto"/>
                      <w:szCs w:val="21"/>
                      <w:highlight w:val="none"/>
                      <w:shd w:val="clear" w:color="auto" w:fill="auto"/>
                      <w:lang w:val="en-US" w:eastAsia="zh-CN"/>
                    </w:rPr>
                    <w:t>排放</w:t>
                  </w:r>
                </w:p>
              </w:tc>
              <w:tc>
                <w:tcPr>
                  <w:tcW w:w="960" w:type="dxa"/>
                  <w:tcBorders>
                    <w:tl2br w:val="nil"/>
                    <w:tr2bl w:val="nil"/>
                  </w:tcBorders>
                  <w:noWrap w:val="0"/>
                  <w:vAlign w:val="center"/>
                </w:tcPr>
                <w:p w14:paraId="47283E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有组织</w:t>
                  </w:r>
                </w:p>
              </w:tc>
            </w:tr>
            <w:tr w14:paraId="2564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65" w:type="dxa"/>
                  <w:vMerge w:val="continue"/>
                  <w:tcBorders>
                    <w:tl2br w:val="nil"/>
                    <w:tr2bl w:val="nil"/>
                  </w:tcBorders>
                  <w:noWrap w:val="0"/>
                  <w:vAlign w:val="center"/>
                </w:tcPr>
                <w:p w14:paraId="402E13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729" w:type="dxa"/>
                  <w:tcBorders>
                    <w:tl2br w:val="nil"/>
                    <w:tr2bl w:val="nil"/>
                  </w:tcBorders>
                  <w:noWrap w:val="0"/>
                  <w:vAlign w:val="center"/>
                </w:tcPr>
                <w:p w14:paraId="7DBCC28F">
                  <w:pPr>
                    <w:pStyle w:val="17"/>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240" w:lineRule="auto"/>
                    <w:ind w:left="0" w:leftChars="0" w:right="113"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调胶、浸胶、烘干</w:t>
                  </w:r>
                </w:p>
              </w:tc>
              <w:tc>
                <w:tcPr>
                  <w:tcW w:w="1724" w:type="dxa"/>
                  <w:tcBorders>
                    <w:tl2br w:val="nil"/>
                    <w:tr2bl w:val="nil"/>
                  </w:tcBorders>
                  <w:noWrap w:val="0"/>
                  <w:vAlign w:val="center"/>
                </w:tcPr>
                <w:p w14:paraId="71ABCCAC">
                  <w:pPr>
                    <w:pStyle w:val="17"/>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240" w:lineRule="auto"/>
                    <w:ind w:left="0" w:leftChars="0" w:right="113"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甲醛、</w:t>
                  </w:r>
                  <w:r>
                    <w:rPr>
                      <w:rFonts w:hint="eastAsia" w:ascii="Times New Roman" w:hAnsi="Times New Roman" w:cs="Times New Roman"/>
                      <w:color w:val="auto"/>
                      <w:kern w:val="2"/>
                      <w:sz w:val="24"/>
                      <w:szCs w:val="24"/>
                      <w:lang w:val="en-US" w:eastAsia="zh-CN"/>
                    </w:rPr>
                    <w:t>VOCs</w:t>
                  </w:r>
                </w:p>
              </w:tc>
              <w:tc>
                <w:tcPr>
                  <w:tcW w:w="3312" w:type="dxa"/>
                  <w:tcBorders>
                    <w:tl2br w:val="nil"/>
                    <w:tr2bl w:val="nil"/>
                  </w:tcBorders>
                  <w:noWrap w:val="0"/>
                  <w:vAlign w:val="center"/>
                </w:tcPr>
                <w:p w14:paraId="64A2F4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shd w:val="clear" w:color="auto" w:fill="auto"/>
                      <w:lang w:val="en-US" w:eastAsia="zh-CN"/>
                    </w:rPr>
                    <w:t>“UV光解+三级活性炭吸附净化装置”</w:t>
                  </w:r>
                  <w:r>
                    <w:rPr>
                      <w:rFonts w:hint="default" w:ascii="Times New Roman" w:hAnsi="Times New Roman" w:eastAsia="宋体" w:cs="Times New Roman"/>
                      <w:color w:val="auto"/>
                      <w:szCs w:val="21"/>
                      <w:highlight w:val="none"/>
                      <w:shd w:val="clear" w:color="auto" w:fill="auto"/>
                      <w:lang w:val="zh-CN"/>
                    </w:rPr>
                    <w:t>处理后</w:t>
                  </w:r>
                  <w:r>
                    <w:rPr>
                      <w:rFonts w:hint="eastAsia" w:ascii="Times New Roman" w:hAnsi="Times New Roman" w:cs="Times New Roman"/>
                      <w:color w:val="auto"/>
                      <w:szCs w:val="21"/>
                      <w:highlight w:val="none"/>
                      <w:lang w:val="en-US" w:eastAsia="zh-CN"/>
                    </w:rPr>
                    <w:t>由</w:t>
                  </w:r>
                  <w:r>
                    <w:rPr>
                      <w:rFonts w:hint="eastAsia" w:cs="Times New Roman"/>
                      <w:color w:val="auto"/>
                      <w:szCs w:val="21"/>
                      <w:highlight w:val="none"/>
                      <w:lang w:val="en-US" w:eastAsia="zh-CN"/>
                    </w:rPr>
                    <w:t>15</w:t>
                  </w:r>
                  <w:r>
                    <w:rPr>
                      <w:rFonts w:hint="default" w:ascii="Times New Roman" w:hAnsi="Times New Roman" w:cs="Times New Roman"/>
                      <w:color w:val="auto"/>
                      <w:szCs w:val="21"/>
                      <w:highlight w:val="none"/>
                    </w:rPr>
                    <w:t>m高排气筒（DA00</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）排放</w:t>
                  </w:r>
                </w:p>
              </w:tc>
              <w:tc>
                <w:tcPr>
                  <w:tcW w:w="960" w:type="dxa"/>
                  <w:tcBorders>
                    <w:tl2br w:val="nil"/>
                    <w:tr2bl w:val="nil"/>
                  </w:tcBorders>
                  <w:noWrap w:val="0"/>
                  <w:vAlign w:val="center"/>
                </w:tcPr>
                <w:p w14:paraId="42FA23F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有组织</w:t>
                  </w:r>
                </w:p>
              </w:tc>
            </w:tr>
            <w:tr w14:paraId="4D10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5" w:type="dxa"/>
                  <w:tcBorders>
                    <w:tl2br w:val="nil"/>
                    <w:tr2bl w:val="nil"/>
                  </w:tcBorders>
                  <w:noWrap w:val="0"/>
                  <w:vAlign w:val="center"/>
                </w:tcPr>
                <w:p w14:paraId="09E5D50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729" w:type="dxa"/>
                  <w:tcBorders>
                    <w:tl2br w:val="nil"/>
                    <w:tr2bl w:val="nil"/>
                  </w:tcBorders>
                  <w:noWrap w:val="0"/>
                  <w:vAlign w:val="center"/>
                </w:tcPr>
                <w:p w14:paraId="74E28F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职工</w:t>
                  </w:r>
                  <w:r>
                    <w:rPr>
                      <w:rFonts w:hint="eastAsia" w:ascii="Times New Roman" w:hAnsi="Times New Roman" w:cs="Times New Roman"/>
                      <w:color w:val="auto"/>
                      <w:sz w:val="21"/>
                      <w:szCs w:val="21"/>
                      <w:highlight w:val="none"/>
                      <w:lang w:val="en-US" w:eastAsia="zh-CN"/>
                    </w:rPr>
                    <w:t>生活</w:t>
                  </w:r>
                </w:p>
              </w:tc>
              <w:tc>
                <w:tcPr>
                  <w:tcW w:w="1724" w:type="dxa"/>
                  <w:tcBorders>
                    <w:tl2br w:val="nil"/>
                    <w:tr2bl w:val="nil"/>
                  </w:tcBorders>
                  <w:noWrap w:val="0"/>
                  <w:vAlign w:val="center"/>
                </w:tcPr>
                <w:p w14:paraId="5B15D3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color w:val="auto"/>
                      <w:sz w:val="21"/>
                      <w:szCs w:val="21"/>
                      <w:highlight w:val="none"/>
                    </w:rPr>
                    <w:t>COD、BOD</w:t>
                  </w:r>
                  <w:r>
                    <w:rPr>
                      <w:rFonts w:hint="default"/>
                      <w:color w:val="auto"/>
                      <w:sz w:val="21"/>
                      <w:szCs w:val="21"/>
                      <w:highlight w:val="none"/>
                      <w:vertAlign w:val="subscript"/>
                    </w:rPr>
                    <w:t>5</w:t>
                  </w:r>
                  <w:r>
                    <w:rPr>
                      <w:rFonts w:hint="default"/>
                      <w:color w:val="auto"/>
                      <w:sz w:val="21"/>
                      <w:szCs w:val="21"/>
                      <w:highlight w:val="none"/>
                    </w:rPr>
                    <w:t>、SS、NH</w:t>
                  </w:r>
                  <w:r>
                    <w:rPr>
                      <w:rFonts w:hint="default"/>
                      <w:color w:val="auto"/>
                      <w:sz w:val="21"/>
                      <w:szCs w:val="21"/>
                      <w:highlight w:val="none"/>
                      <w:vertAlign w:val="subscript"/>
                    </w:rPr>
                    <w:t>3</w:t>
                  </w:r>
                  <w:r>
                    <w:rPr>
                      <w:rFonts w:hint="default"/>
                      <w:color w:val="auto"/>
                      <w:sz w:val="21"/>
                      <w:szCs w:val="21"/>
                      <w:highlight w:val="none"/>
                    </w:rPr>
                    <w:t>-N</w:t>
                  </w:r>
                  <w:r>
                    <w:rPr>
                      <w:rFonts w:hint="eastAsia"/>
                      <w:color w:val="auto"/>
                      <w:sz w:val="21"/>
                      <w:szCs w:val="21"/>
                      <w:highlight w:val="none"/>
                      <w:lang w:eastAsia="zh-CN"/>
                    </w:rPr>
                    <w:t>、</w:t>
                  </w:r>
                  <w:r>
                    <w:rPr>
                      <w:rFonts w:hint="eastAsia"/>
                      <w:color w:val="auto"/>
                      <w:sz w:val="21"/>
                      <w:szCs w:val="21"/>
                      <w:highlight w:val="none"/>
                      <w:lang w:val="en-US" w:eastAsia="zh-CN"/>
                    </w:rPr>
                    <w:t>TP、动植物油</w:t>
                  </w:r>
                </w:p>
              </w:tc>
              <w:tc>
                <w:tcPr>
                  <w:tcW w:w="3312" w:type="dxa"/>
                  <w:tcBorders>
                    <w:tl2br w:val="nil"/>
                    <w:tr2bl w:val="nil"/>
                  </w:tcBorders>
                  <w:noWrap w:val="0"/>
                  <w:vAlign w:val="center"/>
                </w:tcPr>
                <w:p w14:paraId="42B553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shd w:val="clear" w:color="auto" w:fill="auto"/>
                      <w:lang w:val="en-US" w:eastAsia="zh-CN"/>
                    </w:rPr>
                  </w:pPr>
                  <w:r>
                    <w:rPr>
                      <w:rFonts w:hint="eastAsia" w:cs="Times New Roman"/>
                      <w:color w:val="auto"/>
                      <w:kern w:val="0"/>
                      <w:szCs w:val="21"/>
                      <w:highlight w:val="none"/>
                      <w:lang w:val="en-US" w:eastAsia="zh-CN"/>
                    </w:rPr>
                    <w:t>经化粪池处理排入一体化污水处理站处理后回用于绿化及道路洒水降尘</w:t>
                  </w:r>
                </w:p>
              </w:tc>
              <w:tc>
                <w:tcPr>
                  <w:tcW w:w="960" w:type="dxa"/>
                  <w:tcBorders>
                    <w:tl2br w:val="nil"/>
                    <w:tr2bl w:val="nil"/>
                  </w:tcBorders>
                  <w:noWrap w:val="0"/>
                  <w:vAlign w:val="center"/>
                </w:tcPr>
                <w:p w14:paraId="5C7DA3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不外排</w:t>
                  </w:r>
                </w:p>
              </w:tc>
            </w:tr>
            <w:tr w14:paraId="3974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65" w:type="dxa"/>
                  <w:vMerge w:val="restart"/>
                  <w:tcBorders>
                    <w:tl2br w:val="nil"/>
                    <w:tr2bl w:val="nil"/>
                  </w:tcBorders>
                  <w:noWrap w:val="0"/>
                  <w:vAlign w:val="center"/>
                </w:tcPr>
                <w:p w14:paraId="496E98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729" w:type="dxa"/>
                  <w:tcBorders>
                    <w:tl2br w:val="nil"/>
                    <w:tr2bl w:val="nil"/>
                  </w:tcBorders>
                  <w:noWrap w:val="0"/>
                  <w:vAlign w:val="center"/>
                </w:tcPr>
                <w:p w14:paraId="619342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裁剪</w:t>
                  </w:r>
                </w:p>
              </w:tc>
              <w:tc>
                <w:tcPr>
                  <w:tcW w:w="1724" w:type="dxa"/>
                  <w:tcBorders>
                    <w:tl2br w:val="nil"/>
                    <w:tr2bl w:val="nil"/>
                  </w:tcBorders>
                  <w:noWrap w:val="0"/>
                  <w:vAlign w:val="center"/>
                </w:tcPr>
                <w:p w14:paraId="49A608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21"/>
                      <w:szCs w:val="21"/>
                      <w:highlight w:val="none"/>
                      <w:lang w:val="en-US" w:eastAsia="zh-CN"/>
                    </w:rPr>
                    <w:t>废边角料</w:t>
                  </w:r>
                </w:p>
              </w:tc>
              <w:tc>
                <w:tcPr>
                  <w:tcW w:w="3312" w:type="dxa"/>
                  <w:tcBorders>
                    <w:tl2br w:val="nil"/>
                    <w:tr2bl w:val="nil"/>
                  </w:tcBorders>
                  <w:noWrap w:val="0"/>
                  <w:vAlign w:val="center"/>
                </w:tcPr>
                <w:p w14:paraId="0AD90F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集中收集</w:t>
                  </w:r>
                  <w:r>
                    <w:rPr>
                      <w:rFonts w:hint="default" w:ascii="Times New Roman" w:hAnsi="Times New Roman" w:cs="Times New Roman"/>
                      <w:color w:val="auto"/>
                      <w:sz w:val="21"/>
                      <w:szCs w:val="21"/>
                      <w:highlight w:val="none"/>
                      <w:lang w:val="en-US" w:eastAsia="zh-CN"/>
                    </w:rPr>
                    <w:t>委托环卫部门定期清运处置</w:t>
                  </w:r>
                </w:p>
              </w:tc>
              <w:tc>
                <w:tcPr>
                  <w:tcW w:w="960" w:type="dxa"/>
                  <w:vMerge w:val="restart"/>
                  <w:tcBorders>
                    <w:tl2br w:val="nil"/>
                    <w:tr2bl w:val="nil"/>
                  </w:tcBorders>
                  <w:noWrap w:val="0"/>
                  <w:vAlign w:val="center"/>
                </w:tcPr>
                <w:p w14:paraId="4564D3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合理处置</w:t>
                  </w:r>
                  <w:r>
                    <w:rPr>
                      <w:rFonts w:hint="default" w:ascii="Times New Roman" w:hAnsi="Times New Roman" w:cs="Times New Roman"/>
                      <w:color w:val="auto"/>
                      <w:sz w:val="21"/>
                      <w:szCs w:val="21"/>
                      <w:highlight w:val="none"/>
                      <w:lang w:eastAsia="zh-CN"/>
                    </w:rPr>
                    <w:t>，处置率</w:t>
                  </w:r>
                  <w:r>
                    <w:rPr>
                      <w:rFonts w:hint="default" w:ascii="Times New Roman" w:hAnsi="Times New Roman" w:cs="Times New Roman"/>
                      <w:color w:val="auto"/>
                      <w:sz w:val="21"/>
                      <w:szCs w:val="21"/>
                      <w:highlight w:val="none"/>
                      <w:lang w:val="en-US" w:eastAsia="zh-CN"/>
                    </w:rPr>
                    <w:t>100%</w:t>
                  </w:r>
                </w:p>
              </w:tc>
            </w:tr>
            <w:tr w14:paraId="2B5B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5" w:type="dxa"/>
                  <w:vMerge w:val="continue"/>
                  <w:tcBorders>
                    <w:tl2br w:val="nil"/>
                    <w:tr2bl w:val="nil"/>
                  </w:tcBorders>
                  <w:noWrap w:val="0"/>
                  <w:vAlign w:val="center"/>
                </w:tcPr>
                <w:p w14:paraId="09A961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729" w:type="dxa"/>
                  <w:tcBorders>
                    <w:tl2br w:val="nil"/>
                    <w:tr2bl w:val="nil"/>
                  </w:tcBorders>
                  <w:noWrap w:val="0"/>
                  <w:vAlign w:val="center"/>
                </w:tcPr>
                <w:p w14:paraId="43960F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检验</w:t>
                  </w:r>
                </w:p>
              </w:tc>
              <w:tc>
                <w:tcPr>
                  <w:tcW w:w="1724" w:type="dxa"/>
                  <w:tcBorders>
                    <w:tl2br w:val="nil"/>
                    <w:tr2bl w:val="nil"/>
                  </w:tcBorders>
                  <w:noWrap w:val="0"/>
                  <w:vAlign w:val="center"/>
                </w:tcPr>
                <w:p w14:paraId="262B2CB4">
                  <w:pPr>
                    <w:keepNext w:val="0"/>
                    <w:keepLines w:val="0"/>
                    <w:widowControl/>
                    <w:suppressLineNumbers w:val="0"/>
                    <w:spacing w:before="0" w:beforeAutospacing="0" w:after="0" w:afterAutospacing="0"/>
                    <w:ind w:left="0" w:leftChars="0" w:right="0" w:rightChars="0"/>
                    <w:jc w:val="center"/>
                    <w:textAlignment w:val="center"/>
                    <w:rPr>
                      <w:rFonts w:hint="default"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不合格产品</w:t>
                  </w:r>
                </w:p>
              </w:tc>
              <w:tc>
                <w:tcPr>
                  <w:tcW w:w="3312" w:type="dxa"/>
                  <w:tcBorders>
                    <w:tl2br w:val="nil"/>
                    <w:tr2bl w:val="nil"/>
                  </w:tcBorders>
                  <w:noWrap w:val="0"/>
                  <w:vAlign w:val="center"/>
                </w:tcPr>
                <w:p w14:paraId="70672D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集中收集</w:t>
                  </w:r>
                  <w:r>
                    <w:rPr>
                      <w:rFonts w:hint="default" w:ascii="Times New Roman" w:hAnsi="Times New Roman" w:cs="Times New Roman"/>
                      <w:color w:val="auto"/>
                      <w:sz w:val="21"/>
                      <w:szCs w:val="21"/>
                      <w:highlight w:val="none"/>
                      <w:lang w:val="en-US" w:eastAsia="zh-CN"/>
                    </w:rPr>
                    <w:t>委托环卫部门定期清运处置</w:t>
                  </w:r>
                </w:p>
              </w:tc>
              <w:tc>
                <w:tcPr>
                  <w:tcW w:w="960" w:type="dxa"/>
                  <w:vMerge w:val="continue"/>
                  <w:tcBorders>
                    <w:tl2br w:val="nil"/>
                    <w:tr2bl w:val="nil"/>
                  </w:tcBorders>
                  <w:noWrap w:val="0"/>
                  <w:vAlign w:val="center"/>
                </w:tcPr>
                <w:p w14:paraId="1DF81C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2C62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5" w:type="dxa"/>
                  <w:vMerge w:val="continue"/>
                  <w:tcBorders>
                    <w:tl2br w:val="nil"/>
                    <w:tr2bl w:val="nil"/>
                  </w:tcBorders>
                  <w:noWrap w:val="0"/>
                  <w:vAlign w:val="center"/>
                </w:tcPr>
                <w:p w14:paraId="3908C3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729" w:type="dxa"/>
                  <w:tcBorders>
                    <w:tl2br w:val="nil"/>
                    <w:tr2bl w:val="nil"/>
                  </w:tcBorders>
                  <w:noWrap w:val="0"/>
                  <w:vAlign w:val="center"/>
                </w:tcPr>
                <w:p w14:paraId="1EBB90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员工生活</w:t>
                  </w:r>
                </w:p>
              </w:tc>
              <w:tc>
                <w:tcPr>
                  <w:tcW w:w="1724" w:type="dxa"/>
                  <w:tcBorders>
                    <w:tl2br w:val="nil"/>
                    <w:tr2bl w:val="nil"/>
                  </w:tcBorders>
                  <w:noWrap w:val="0"/>
                  <w:vAlign w:val="center"/>
                </w:tcPr>
                <w:p w14:paraId="1098238C">
                  <w:pPr>
                    <w:keepNext w:val="0"/>
                    <w:keepLines w:val="0"/>
                    <w:widowControl/>
                    <w:suppressLineNumbers w:val="0"/>
                    <w:spacing w:before="0" w:beforeAutospacing="0" w:after="0" w:afterAutospacing="0"/>
                    <w:ind w:left="0" w:leftChars="0" w:right="0" w:rightChars="0"/>
                    <w:jc w:val="center"/>
                    <w:textAlignment w:val="center"/>
                    <w:rPr>
                      <w:rFonts w:hint="default"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生活垃圾</w:t>
                  </w:r>
                </w:p>
              </w:tc>
              <w:tc>
                <w:tcPr>
                  <w:tcW w:w="3312" w:type="dxa"/>
                  <w:tcBorders>
                    <w:tl2br w:val="nil"/>
                    <w:tr2bl w:val="nil"/>
                  </w:tcBorders>
                  <w:noWrap w:val="0"/>
                  <w:vAlign w:val="center"/>
                </w:tcPr>
                <w:p w14:paraId="61F519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集中收集</w:t>
                  </w:r>
                  <w:r>
                    <w:rPr>
                      <w:rFonts w:hint="default" w:ascii="Times New Roman" w:hAnsi="Times New Roman" w:cs="Times New Roman"/>
                      <w:color w:val="auto"/>
                      <w:sz w:val="21"/>
                      <w:szCs w:val="21"/>
                      <w:highlight w:val="none"/>
                      <w:lang w:val="en-US" w:eastAsia="zh-CN"/>
                    </w:rPr>
                    <w:t>委托环卫部门定期清运处置</w:t>
                  </w:r>
                </w:p>
              </w:tc>
              <w:tc>
                <w:tcPr>
                  <w:tcW w:w="960" w:type="dxa"/>
                  <w:vMerge w:val="continue"/>
                  <w:tcBorders>
                    <w:tl2br w:val="nil"/>
                    <w:tr2bl w:val="nil"/>
                  </w:tcBorders>
                  <w:noWrap w:val="0"/>
                  <w:vAlign w:val="center"/>
                </w:tcPr>
                <w:p w14:paraId="4964CA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67DE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Merge w:val="continue"/>
                  <w:tcBorders>
                    <w:tl2br w:val="nil"/>
                    <w:tr2bl w:val="nil"/>
                  </w:tcBorders>
                  <w:noWrap w:val="0"/>
                  <w:vAlign w:val="center"/>
                </w:tcPr>
                <w:p w14:paraId="12C3C8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729" w:type="dxa"/>
                  <w:tcBorders>
                    <w:tl2br w:val="nil"/>
                    <w:tr2bl w:val="nil"/>
                  </w:tcBorders>
                  <w:noWrap w:val="0"/>
                  <w:vAlign w:val="center"/>
                </w:tcPr>
                <w:p w14:paraId="3DB50B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化粪池、一体化污水处理站</w:t>
                  </w:r>
                </w:p>
              </w:tc>
              <w:tc>
                <w:tcPr>
                  <w:tcW w:w="1724" w:type="dxa"/>
                  <w:tcBorders>
                    <w:tl2br w:val="nil"/>
                    <w:tr2bl w:val="nil"/>
                  </w:tcBorders>
                  <w:noWrap w:val="0"/>
                  <w:vAlign w:val="center"/>
                </w:tcPr>
                <w:p w14:paraId="0B9836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3312" w:type="dxa"/>
                  <w:tcBorders>
                    <w:tl2br w:val="nil"/>
                    <w:tr2bl w:val="nil"/>
                  </w:tcBorders>
                  <w:noWrap w:val="0"/>
                  <w:vAlign w:val="center"/>
                </w:tcPr>
                <w:p w14:paraId="575356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委托环卫部门清掏清运处置</w:t>
                  </w:r>
                </w:p>
              </w:tc>
              <w:tc>
                <w:tcPr>
                  <w:tcW w:w="960" w:type="dxa"/>
                  <w:vMerge w:val="continue"/>
                  <w:tcBorders>
                    <w:tl2br w:val="nil"/>
                    <w:tr2bl w:val="nil"/>
                  </w:tcBorders>
                  <w:noWrap w:val="0"/>
                  <w:vAlign w:val="center"/>
                </w:tcPr>
                <w:p w14:paraId="070B8B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48A7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5" w:type="dxa"/>
                  <w:vMerge w:val="continue"/>
                  <w:tcBorders>
                    <w:tl2br w:val="nil"/>
                    <w:tr2bl w:val="nil"/>
                  </w:tcBorders>
                  <w:noWrap w:val="0"/>
                  <w:vAlign w:val="center"/>
                </w:tcPr>
                <w:p w14:paraId="7E9E88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729" w:type="dxa"/>
                  <w:tcBorders>
                    <w:tl2br w:val="nil"/>
                    <w:tr2bl w:val="nil"/>
                  </w:tcBorders>
                  <w:noWrap w:val="0"/>
                  <w:vAlign w:val="center"/>
                </w:tcPr>
                <w:p w14:paraId="08E48E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机修</w:t>
                  </w:r>
                </w:p>
              </w:tc>
              <w:tc>
                <w:tcPr>
                  <w:tcW w:w="1724" w:type="dxa"/>
                  <w:tcBorders>
                    <w:tl2br w:val="nil"/>
                    <w:tr2bl w:val="nil"/>
                  </w:tcBorders>
                  <w:noWrap w:val="0"/>
                  <w:vAlign w:val="center"/>
                </w:tcPr>
                <w:p w14:paraId="022F606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snapToGrid w:val="0"/>
                      <w:color w:val="auto"/>
                      <w:kern w:val="21"/>
                      <w:szCs w:val="21"/>
                      <w:highlight w:val="none"/>
                      <w:lang w:val="en-US" w:eastAsia="zh-CN"/>
                    </w:rPr>
                    <w:t>废机油</w:t>
                  </w:r>
                </w:p>
              </w:tc>
              <w:tc>
                <w:tcPr>
                  <w:tcW w:w="3312" w:type="dxa"/>
                  <w:vMerge w:val="restart"/>
                  <w:tcBorders>
                    <w:tl2br w:val="nil"/>
                    <w:tr2bl w:val="nil"/>
                  </w:tcBorders>
                  <w:noWrap w:val="0"/>
                  <w:vAlign w:val="center"/>
                </w:tcPr>
                <w:p w14:paraId="71FA34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定期委托有资质的单位进行清运、处置</w:t>
                  </w:r>
                </w:p>
              </w:tc>
              <w:tc>
                <w:tcPr>
                  <w:tcW w:w="960" w:type="dxa"/>
                  <w:vMerge w:val="continue"/>
                  <w:tcBorders>
                    <w:tl2br w:val="nil"/>
                    <w:tr2bl w:val="nil"/>
                  </w:tcBorders>
                  <w:noWrap w:val="0"/>
                  <w:vAlign w:val="center"/>
                </w:tcPr>
                <w:p w14:paraId="4B8827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3FF0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5" w:type="dxa"/>
                  <w:vMerge w:val="continue"/>
                  <w:tcBorders>
                    <w:tl2br w:val="nil"/>
                    <w:tr2bl w:val="nil"/>
                  </w:tcBorders>
                  <w:noWrap w:val="0"/>
                  <w:vAlign w:val="center"/>
                </w:tcPr>
                <w:p w14:paraId="742386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729" w:type="dxa"/>
                  <w:tcBorders>
                    <w:tl2br w:val="nil"/>
                    <w:tr2bl w:val="nil"/>
                  </w:tcBorders>
                  <w:noWrap w:val="0"/>
                  <w:vAlign w:val="center"/>
                </w:tcPr>
                <w:p w14:paraId="79CB12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调胶</w:t>
                  </w:r>
                </w:p>
              </w:tc>
              <w:tc>
                <w:tcPr>
                  <w:tcW w:w="1724" w:type="dxa"/>
                  <w:tcBorders>
                    <w:tl2br w:val="nil"/>
                    <w:tr2bl w:val="nil"/>
                  </w:tcBorders>
                  <w:noWrap w:val="0"/>
                  <w:vAlign w:val="center"/>
                </w:tcPr>
                <w:p w14:paraId="2833F290">
                  <w:pPr>
                    <w:keepNext w:val="0"/>
                    <w:keepLines w:val="0"/>
                    <w:widowControl/>
                    <w:suppressLineNumbers w:val="0"/>
                    <w:spacing w:before="0" w:beforeAutospacing="0" w:after="0" w:afterAutospacing="0"/>
                    <w:ind w:left="0" w:right="0"/>
                    <w:jc w:val="center"/>
                    <w:textAlignment w:val="center"/>
                    <w:rPr>
                      <w:rFonts w:hint="eastAsia"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废胶水桶</w:t>
                  </w:r>
                </w:p>
              </w:tc>
              <w:tc>
                <w:tcPr>
                  <w:tcW w:w="3312" w:type="dxa"/>
                  <w:vMerge w:val="continue"/>
                  <w:tcBorders>
                    <w:tl2br w:val="nil"/>
                    <w:tr2bl w:val="nil"/>
                  </w:tcBorders>
                  <w:noWrap w:val="0"/>
                  <w:vAlign w:val="center"/>
                </w:tcPr>
                <w:p w14:paraId="1115BF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60" w:type="dxa"/>
                  <w:vMerge w:val="continue"/>
                  <w:tcBorders>
                    <w:tl2br w:val="nil"/>
                    <w:tr2bl w:val="nil"/>
                  </w:tcBorders>
                  <w:noWrap w:val="0"/>
                  <w:vAlign w:val="center"/>
                </w:tcPr>
                <w:p w14:paraId="102CA87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2D6D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5" w:type="dxa"/>
                  <w:vMerge w:val="continue"/>
                  <w:tcBorders>
                    <w:tl2br w:val="nil"/>
                    <w:tr2bl w:val="nil"/>
                  </w:tcBorders>
                  <w:noWrap w:val="0"/>
                  <w:vAlign w:val="center"/>
                </w:tcPr>
                <w:p w14:paraId="1E5B6C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729" w:type="dxa"/>
                  <w:tcBorders>
                    <w:tl2br w:val="nil"/>
                    <w:tr2bl w:val="nil"/>
                  </w:tcBorders>
                  <w:noWrap w:val="0"/>
                  <w:vAlign w:val="center"/>
                </w:tcPr>
                <w:p w14:paraId="74B041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供热</w:t>
                  </w:r>
                </w:p>
              </w:tc>
              <w:tc>
                <w:tcPr>
                  <w:tcW w:w="1724" w:type="dxa"/>
                  <w:tcBorders>
                    <w:tl2br w:val="nil"/>
                    <w:tr2bl w:val="nil"/>
                  </w:tcBorders>
                  <w:noWrap w:val="0"/>
                  <w:vAlign w:val="center"/>
                </w:tcPr>
                <w:p w14:paraId="021D4C01">
                  <w:pPr>
                    <w:keepNext w:val="0"/>
                    <w:keepLines w:val="0"/>
                    <w:widowControl/>
                    <w:suppressLineNumbers w:val="0"/>
                    <w:spacing w:before="0" w:beforeAutospacing="0" w:after="0" w:afterAutospacing="0"/>
                    <w:ind w:left="0" w:right="0"/>
                    <w:jc w:val="center"/>
                    <w:textAlignment w:val="center"/>
                    <w:rPr>
                      <w:rFonts w:hint="default"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废导热油</w:t>
                  </w:r>
                </w:p>
              </w:tc>
              <w:tc>
                <w:tcPr>
                  <w:tcW w:w="3312" w:type="dxa"/>
                  <w:vMerge w:val="continue"/>
                  <w:tcBorders>
                    <w:tl2br w:val="nil"/>
                    <w:tr2bl w:val="nil"/>
                  </w:tcBorders>
                  <w:noWrap w:val="0"/>
                  <w:vAlign w:val="center"/>
                </w:tcPr>
                <w:p w14:paraId="73E74A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960" w:type="dxa"/>
                  <w:vMerge w:val="continue"/>
                  <w:tcBorders>
                    <w:tl2br w:val="nil"/>
                    <w:tr2bl w:val="nil"/>
                  </w:tcBorders>
                  <w:noWrap w:val="0"/>
                  <w:vAlign w:val="center"/>
                </w:tcPr>
                <w:p w14:paraId="087FAD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3224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65" w:type="dxa"/>
                  <w:vMerge w:val="continue"/>
                  <w:tcBorders>
                    <w:tl2br w:val="nil"/>
                    <w:tr2bl w:val="nil"/>
                  </w:tcBorders>
                  <w:noWrap w:val="0"/>
                  <w:vAlign w:val="center"/>
                </w:tcPr>
                <w:p w14:paraId="11D203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729" w:type="dxa"/>
                  <w:vMerge w:val="restart"/>
                  <w:tcBorders>
                    <w:tl2br w:val="nil"/>
                    <w:tr2bl w:val="nil"/>
                  </w:tcBorders>
                  <w:noWrap w:val="0"/>
                  <w:vAlign w:val="center"/>
                </w:tcPr>
                <w:p w14:paraId="391E9A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w:t>
                  </w:r>
                </w:p>
              </w:tc>
              <w:tc>
                <w:tcPr>
                  <w:tcW w:w="1724" w:type="dxa"/>
                  <w:tcBorders>
                    <w:tl2br w:val="nil"/>
                    <w:tr2bl w:val="nil"/>
                  </w:tcBorders>
                  <w:noWrap w:val="0"/>
                  <w:vAlign w:val="center"/>
                </w:tcPr>
                <w:p w14:paraId="726DDE9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napToGrid w:val="0"/>
                      <w:color w:val="auto"/>
                      <w:kern w:val="21"/>
                      <w:szCs w:val="21"/>
                      <w:highlight w:val="none"/>
                      <w:lang w:val="en-US" w:eastAsia="zh-CN"/>
                    </w:rPr>
                    <w:t>废弃活性炭</w:t>
                  </w:r>
                </w:p>
              </w:tc>
              <w:tc>
                <w:tcPr>
                  <w:tcW w:w="3312" w:type="dxa"/>
                  <w:vMerge w:val="continue"/>
                  <w:tcBorders>
                    <w:tl2br w:val="nil"/>
                    <w:tr2bl w:val="nil"/>
                  </w:tcBorders>
                  <w:noWrap w:val="0"/>
                  <w:vAlign w:val="center"/>
                </w:tcPr>
                <w:p w14:paraId="7350DD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c>
                <w:tcPr>
                  <w:tcW w:w="960" w:type="dxa"/>
                  <w:vMerge w:val="continue"/>
                  <w:tcBorders>
                    <w:tl2br w:val="nil"/>
                    <w:tr2bl w:val="nil"/>
                  </w:tcBorders>
                  <w:noWrap w:val="0"/>
                  <w:vAlign w:val="center"/>
                </w:tcPr>
                <w:p w14:paraId="217CF6E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4A68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65" w:type="dxa"/>
                  <w:vMerge w:val="continue"/>
                  <w:tcBorders>
                    <w:tl2br w:val="nil"/>
                    <w:tr2bl w:val="nil"/>
                  </w:tcBorders>
                  <w:noWrap w:val="0"/>
                  <w:vAlign w:val="center"/>
                </w:tcPr>
                <w:p w14:paraId="1A6FDE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729" w:type="dxa"/>
                  <w:vMerge w:val="continue"/>
                  <w:tcBorders>
                    <w:tl2br w:val="nil"/>
                    <w:tr2bl w:val="nil"/>
                  </w:tcBorders>
                  <w:noWrap w:val="0"/>
                  <w:vAlign w:val="center"/>
                </w:tcPr>
                <w:p w14:paraId="518821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24" w:type="dxa"/>
                  <w:tcBorders>
                    <w:tl2br w:val="nil"/>
                    <w:tr2bl w:val="nil"/>
                  </w:tcBorders>
                  <w:noWrap w:val="0"/>
                  <w:vAlign w:val="center"/>
                </w:tcPr>
                <w:p w14:paraId="73340A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废UV灯管</w:t>
                  </w:r>
                </w:p>
              </w:tc>
              <w:tc>
                <w:tcPr>
                  <w:tcW w:w="3312" w:type="dxa"/>
                  <w:vMerge w:val="continue"/>
                  <w:tcBorders>
                    <w:tl2br w:val="nil"/>
                    <w:tr2bl w:val="nil"/>
                  </w:tcBorders>
                  <w:noWrap w:val="0"/>
                  <w:vAlign w:val="center"/>
                </w:tcPr>
                <w:p w14:paraId="228D62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c>
                <w:tcPr>
                  <w:tcW w:w="960" w:type="dxa"/>
                  <w:vMerge w:val="continue"/>
                  <w:tcBorders>
                    <w:tl2br w:val="nil"/>
                    <w:tr2bl w:val="nil"/>
                  </w:tcBorders>
                  <w:noWrap w:val="0"/>
                  <w:vAlign w:val="center"/>
                </w:tcPr>
                <w:p w14:paraId="07E876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0FF7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65" w:type="dxa"/>
                  <w:tcBorders>
                    <w:tl2br w:val="nil"/>
                    <w:tr2bl w:val="nil"/>
                  </w:tcBorders>
                  <w:noWrap w:val="0"/>
                  <w:vAlign w:val="center"/>
                </w:tcPr>
                <w:p w14:paraId="66EBA6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729" w:type="dxa"/>
                  <w:tcBorders>
                    <w:tl2br w:val="nil"/>
                    <w:tr2bl w:val="nil"/>
                  </w:tcBorders>
                  <w:noWrap w:val="0"/>
                  <w:vAlign w:val="center"/>
                </w:tcPr>
                <w:p w14:paraId="7CE9474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生产工序</w:t>
                  </w:r>
                </w:p>
              </w:tc>
              <w:tc>
                <w:tcPr>
                  <w:tcW w:w="1724" w:type="dxa"/>
                  <w:tcBorders>
                    <w:tl2br w:val="nil"/>
                    <w:tr2bl w:val="nil"/>
                  </w:tcBorders>
                  <w:noWrap w:val="0"/>
                  <w:vAlign w:val="center"/>
                </w:tcPr>
                <w:p w14:paraId="0DE659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设备噪声</w:t>
                  </w:r>
                </w:p>
              </w:tc>
              <w:tc>
                <w:tcPr>
                  <w:tcW w:w="3312" w:type="dxa"/>
                  <w:tcBorders>
                    <w:tl2br w:val="nil"/>
                    <w:tr2bl w:val="nil"/>
                  </w:tcBorders>
                  <w:noWrap w:val="0"/>
                  <w:vAlign w:val="center"/>
                </w:tcPr>
                <w:p w14:paraId="22A13E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基础</w:t>
                  </w:r>
                  <w:r>
                    <w:rPr>
                      <w:rFonts w:hint="eastAsia" w:cs="Times New Roman"/>
                      <w:color w:val="auto"/>
                      <w:sz w:val="21"/>
                      <w:szCs w:val="21"/>
                      <w:highlight w:val="none"/>
                      <w:lang w:val="en-US" w:eastAsia="zh-CN"/>
                    </w:rPr>
                    <w:t>减震</w:t>
                  </w:r>
                  <w:r>
                    <w:rPr>
                      <w:rFonts w:hint="eastAsia" w:ascii="Times New Roman" w:hAnsi="Times New Roman" w:cs="Times New Roman"/>
                      <w:color w:val="auto"/>
                      <w:sz w:val="21"/>
                      <w:szCs w:val="21"/>
                      <w:highlight w:val="none"/>
                      <w:lang w:val="en-US" w:eastAsia="zh-CN"/>
                    </w:rPr>
                    <w:t>+厂房隔声</w:t>
                  </w:r>
                </w:p>
              </w:tc>
              <w:tc>
                <w:tcPr>
                  <w:tcW w:w="960" w:type="dxa"/>
                  <w:tcBorders>
                    <w:tl2br w:val="nil"/>
                    <w:tr2bl w:val="nil"/>
                  </w:tcBorders>
                  <w:noWrap w:val="0"/>
                  <w:vAlign w:val="center"/>
                </w:tcPr>
                <w:p w14:paraId="519155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间断</w:t>
                  </w:r>
                </w:p>
              </w:tc>
            </w:tr>
          </w:tbl>
          <w:p w14:paraId="0EB83BB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宋体"/>
                <w:bCs/>
                <w:color w:val="auto"/>
                <w:szCs w:val="21"/>
                <w:vertAlign w:val="baseline"/>
                <w:lang w:val="en-US" w:eastAsia="zh-CN"/>
              </w:rPr>
            </w:pPr>
          </w:p>
        </w:tc>
      </w:tr>
      <w:tr w14:paraId="1A43F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441" w:type="dxa"/>
            <w:noWrap w:val="0"/>
            <w:vAlign w:val="center"/>
          </w:tcPr>
          <w:p w14:paraId="6CF4E21F">
            <w:pPr>
              <w:pStyle w:val="28"/>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宋体"/>
                <w:color w:val="auto"/>
                <w:sz w:val="21"/>
                <w:szCs w:val="21"/>
              </w:rPr>
            </w:pPr>
            <w:r>
              <w:rPr>
                <w:rFonts w:hint="eastAsia" w:ascii="Times New Roman" w:hAnsi="Times New Roman" w:eastAsia="宋体" w:cs="宋体"/>
                <w:bCs/>
                <w:color w:val="auto"/>
                <w:kern w:val="2"/>
                <w:sz w:val="24"/>
                <w:szCs w:val="24"/>
              </w:rPr>
              <w:t>与项目有关的原有环境污染问题</w:t>
            </w:r>
          </w:p>
        </w:tc>
        <w:tc>
          <w:tcPr>
            <w:tcW w:w="8619" w:type="dxa"/>
            <w:noWrap w:val="0"/>
            <w:vAlign w:val="center"/>
          </w:tcPr>
          <w:p w14:paraId="01415E3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eastAsia" w:cs="Times New Roman"/>
                <w:bCs/>
                <w:color w:val="auto"/>
                <w:sz w:val="24"/>
                <w:szCs w:val="24"/>
                <w:highlight w:val="none"/>
                <w:lang w:val="en-US" w:eastAsia="zh-CN"/>
              </w:rPr>
              <w:t>本项目为新建项目，项目租用</w:t>
            </w:r>
            <w:r>
              <w:rPr>
                <w:rFonts w:hint="eastAsia" w:cs="Times New Roman"/>
                <w:color w:val="auto"/>
                <w:sz w:val="24"/>
                <w:szCs w:val="24"/>
                <w:highlight w:val="none"/>
                <w:lang w:val="en-US" w:eastAsia="zh-CN"/>
              </w:rPr>
              <w:t>寻甸荣禾工贸有限公司</w:t>
            </w:r>
            <w:r>
              <w:rPr>
                <w:rFonts w:hint="eastAsia" w:ascii="Times New Roman" w:hAnsi="Times New Roman" w:cs="Times New Roman"/>
                <w:color w:val="auto"/>
                <w:sz w:val="24"/>
                <w:szCs w:val="24"/>
                <w:highlight w:val="none"/>
                <w:lang w:val="en-US" w:eastAsia="zh-CN"/>
              </w:rPr>
              <w:t>位</w:t>
            </w:r>
            <w:r>
              <w:rPr>
                <w:rFonts w:hint="eastAsia" w:ascii="Times New Roman" w:hAnsi="Times New Roman" w:eastAsia="宋体" w:cs="宋体"/>
                <w:color w:val="auto"/>
                <w:sz w:val="24"/>
                <w:szCs w:val="24"/>
                <w:lang w:val="en-US" w:eastAsia="zh-CN"/>
              </w:rPr>
              <w:t>于寻甸县羊街镇</w:t>
            </w:r>
            <w:r>
              <w:rPr>
                <w:rFonts w:hint="eastAsia" w:cs="宋体"/>
                <w:color w:val="auto"/>
                <w:sz w:val="24"/>
                <w:szCs w:val="24"/>
                <w:lang w:val="en-US" w:eastAsia="zh-CN"/>
              </w:rPr>
              <w:t>中国昆明国际林业产业园3-12号</w:t>
            </w:r>
            <w:r>
              <w:rPr>
                <w:rFonts w:hint="eastAsia" w:ascii="Times New Roman" w:hAnsi="Times New Roman" w:eastAsia="宋体" w:cs="宋体"/>
                <w:color w:val="auto"/>
                <w:sz w:val="24"/>
                <w:szCs w:val="24"/>
                <w:lang w:val="en-US" w:eastAsia="zh-CN"/>
              </w:rPr>
              <w:t>的1栋生产厂房、1栋综合楼</w:t>
            </w:r>
            <w:r>
              <w:rPr>
                <w:rFonts w:hint="eastAsia" w:cs="宋体"/>
                <w:color w:val="auto"/>
                <w:sz w:val="24"/>
                <w:szCs w:val="24"/>
                <w:lang w:val="en-US" w:eastAsia="zh-CN"/>
              </w:rPr>
              <w:t>，简单装修后进行生产。</w:t>
            </w:r>
            <w:r>
              <w:rPr>
                <w:rFonts w:hint="eastAsia" w:cs="Times New Roman"/>
                <w:color w:val="auto"/>
                <w:sz w:val="24"/>
                <w:szCs w:val="24"/>
                <w:highlight w:val="none"/>
                <w:lang w:val="en-US" w:eastAsia="zh-CN"/>
              </w:rPr>
              <w:t>厂房及</w:t>
            </w:r>
            <w:r>
              <w:rPr>
                <w:rFonts w:hint="eastAsia" w:ascii="Times New Roman" w:hAnsi="Times New Roman" w:eastAsia="宋体" w:cs="宋体"/>
                <w:color w:val="auto"/>
                <w:sz w:val="24"/>
                <w:szCs w:val="24"/>
                <w:lang w:val="en-US" w:eastAsia="zh-CN"/>
              </w:rPr>
              <w:t>综合楼</w:t>
            </w:r>
            <w:r>
              <w:rPr>
                <w:rFonts w:hint="eastAsia" w:cs="Times New Roman"/>
                <w:color w:val="auto"/>
                <w:sz w:val="24"/>
                <w:szCs w:val="24"/>
                <w:highlight w:val="none"/>
                <w:lang w:val="en-US" w:eastAsia="zh-CN"/>
              </w:rPr>
              <w:t>在项目租用前为闲置</w:t>
            </w:r>
            <w:r>
              <w:rPr>
                <w:rFonts w:hint="eastAsia" w:cs="Times New Roman"/>
                <w:bCs/>
                <w:color w:val="auto"/>
                <w:sz w:val="24"/>
                <w:szCs w:val="24"/>
                <w:highlight w:val="none"/>
                <w:lang w:val="en-US" w:eastAsia="zh-CN"/>
              </w:rPr>
              <w:t>状态</w:t>
            </w:r>
            <w:r>
              <w:rPr>
                <w:rFonts w:hint="default" w:ascii="Times New Roman" w:hAnsi="Times New Roman" w:cs="Times New Roman"/>
                <w:bCs/>
                <w:color w:val="auto"/>
                <w:sz w:val="24"/>
                <w:szCs w:val="24"/>
                <w:highlight w:val="none"/>
              </w:rPr>
              <w:t>，无遗留</w:t>
            </w:r>
            <w:r>
              <w:rPr>
                <w:rFonts w:hint="eastAsia" w:cs="Times New Roman"/>
                <w:bCs/>
                <w:color w:val="auto"/>
                <w:sz w:val="24"/>
                <w:szCs w:val="24"/>
                <w:highlight w:val="none"/>
                <w:lang w:val="en-US" w:eastAsia="zh-CN"/>
              </w:rPr>
              <w:t>环境</w:t>
            </w:r>
            <w:r>
              <w:rPr>
                <w:rFonts w:hint="default" w:ascii="Times New Roman" w:hAnsi="Times New Roman" w:cs="Times New Roman"/>
                <w:bCs/>
                <w:color w:val="auto"/>
                <w:sz w:val="24"/>
                <w:szCs w:val="24"/>
                <w:highlight w:val="none"/>
              </w:rPr>
              <w:t>问题</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没有与项目有关的原有环境污染问题</w:t>
            </w:r>
            <w:r>
              <w:rPr>
                <w:rFonts w:hint="default" w:ascii="Times New Roman" w:hAnsi="Times New Roman" w:cs="Times New Roman"/>
                <w:bCs/>
                <w:color w:val="auto"/>
                <w:sz w:val="24"/>
                <w:szCs w:val="24"/>
                <w:highlight w:val="none"/>
              </w:rPr>
              <w:t>。</w:t>
            </w:r>
          </w:p>
          <w:p w14:paraId="0CF1CBC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bCs/>
                <w:color w:val="auto"/>
                <w:szCs w:val="21"/>
                <w:lang w:val="en-US" w:eastAsia="zh-CN"/>
              </w:rPr>
            </w:pPr>
            <w:r>
              <w:rPr>
                <w:rFonts w:hint="eastAsia" w:cs="Times New Roman"/>
                <w:color w:val="auto"/>
                <w:sz w:val="24"/>
                <w:szCs w:val="24"/>
                <w:highlight w:val="none"/>
                <w:lang w:val="en-US" w:eastAsia="zh-CN"/>
              </w:rPr>
              <w:t>寻甸荣禾工贸有限公司</w:t>
            </w:r>
            <w:r>
              <w:rPr>
                <w:rFonts w:hint="eastAsia" w:ascii="Times New Roman" w:hAnsi="宋体"/>
                <w:color w:val="auto"/>
                <w:spacing w:val="-2"/>
                <w:kern w:val="0"/>
                <w:sz w:val="24"/>
                <w:highlight w:val="none"/>
                <w:lang w:val="en-US" w:eastAsia="zh-CN"/>
              </w:rPr>
              <w:t>委托北京文华东方环境科技有限公司于2019年</w:t>
            </w:r>
            <w:r>
              <w:rPr>
                <w:rFonts w:hint="eastAsia" w:hAnsi="宋体"/>
                <w:color w:val="auto"/>
                <w:spacing w:val="-2"/>
                <w:kern w:val="0"/>
                <w:sz w:val="24"/>
                <w:highlight w:val="none"/>
                <w:lang w:val="en-US" w:eastAsia="zh-CN"/>
              </w:rPr>
              <w:t>8</w:t>
            </w:r>
            <w:r>
              <w:rPr>
                <w:rFonts w:hint="eastAsia" w:ascii="Times New Roman" w:hAnsi="宋体"/>
                <w:color w:val="auto"/>
                <w:spacing w:val="-2"/>
                <w:kern w:val="0"/>
                <w:sz w:val="24"/>
                <w:highlight w:val="none"/>
                <w:lang w:val="en-US" w:eastAsia="zh-CN"/>
              </w:rPr>
              <w:t>月编制完成了《</w:t>
            </w:r>
            <w:bookmarkStart w:id="5" w:name="OLE_LINK3"/>
            <w:bookmarkStart w:id="6" w:name="OLE_LINK6"/>
            <w:r>
              <w:rPr>
                <w:rFonts w:hint="default" w:ascii="Times New Roman" w:hAnsi="宋体"/>
                <w:color w:val="auto"/>
                <w:spacing w:val="-2"/>
                <w:kern w:val="0"/>
                <w:sz w:val="24"/>
                <w:highlight w:val="none"/>
              </w:rPr>
              <w:t>寻甸荣禾家居制品、建材、纺织品生产线及配套设施新建项目</w:t>
            </w:r>
            <w:r>
              <w:rPr>
                <w:rFonts w:hint="eastAsia" w:ascii="Times New Roman" w:hAnsi="宋体"/>
                <w:color w:val="auto"/>
                <w:spacing w:val="-2"/>
                <w:kern w:val="0"/>
                <w:sz w:val="24"/>
                <w:highlight w:val="none"/>
                <w:lang w:val="en-US" w:eastAsia="zh-CN"/>
              </w:rPr>
              <w:t>环境影响报告表</w:t>
            </w:r>
            <w:bookmarkEnd w:id="5"/>
            <w:bookmarkEnd w:id="6"/>
            <w:r>
              <w:rPr>
                <w:rFonts w:hint="eastAsia" w:ascii="Times New Roman" w:hAnsi="宋体"/>
                <w:color w:val="auto"/>
                <w:spacing w:val="-2"/>
                <w:kern w:val="0"/>
                <w:sz w:val="24"/>
                <w:highlight w:val="none"/>
                <w:lang w:val="en-US" w:eastAsia="zh-CN"/>
              </w:rPr>
              <w:t>》，并于2019年</w:t>
            </w:r>
            <w:r>
              <w:rPr>
                <w:rFonts w:hint="eastAsia" w:hAnsi="宋体"/>
                <w:color w:val="auto"/>
                <w:spacing w:val="-2"/>
                <w:kern w:val="0"/>
                <w:sz w:val="24"/>
                <w:highlight w:val="none"/>
                <w:lang w:val="en-US" w:eastAsia="zh-CN"/>
              </w:rPr>
              <w:t>10</w:t>
            </w:r>
            <w:r>
              <w:rPr>
                <w:rFonts w:hint="eastAsia" w:ascii="Times New Roman" w:hAnsi="宋体"/>
                <w:color w:val="auto"/>
                <w:spacing w:val="-2"/>
                <w:kern w:val="0"/>
                <w:sz w:val="24"/>
                <w:highlight w:val="none"/>
                <w:lang w:val="en-US" w:eastAsia="zh-CN"/>
              </w:rPr>
              <w:t>月取得了《昆明市生态环境局寻甸分局关于&lt;</w:t>
            </w:r>
            <w:r>
              <w:rPr>
                <w:rFonts w:hint="default" w:ascii="Times New Roman" w:hAnsi="宋体"/>
                <w:color w:val="auto"/>
                <w:spacing w:val="-2"/>
                <w:kern w:val="0"/>
                <w:sz w:val="24"/>
                <w:highlight w:val="none"/>
              </w:rPr>
              <w:t>寻甸荣禾家居制品、建材、纺织品生产线及配套设施新建项目</w:t>
            </w:r>
            <w:r>
              <w:rPr>
                <w:rFonts w:hint="eastAsia" w:ascii="Times New Roman" w:hAnsi="宋体"/>
                <w:color w:val="auto"/>
                <w:spacing w:val="-2"/>
                <w:kern w:val="0"/>
                <w:sz w:val="24"/>
                <w:highlight w:val="none"/>
                <w:lang w:val="en-US" w:eastAsia="zh-CN"/>
              </w:rPr>
              <w:t>环境影响报告表&gt;的批复》（昆生环寻[2019]10</w:t>
            </w:r>
            <w:r>
              <w:rPr>
                <w:rFonts w:hint="eastAsia" w:hAnsi="宋体"/>
                <w:color w:val="auto"/>
                <w:spacing w:val="-2"/>
                <w:kern w:val="0"/>
                <w:sz w:val="24"/>
                <w:highlight w:val="none"/>
                <w:lang w:val="en-US" w:eastAsia="zh-CN"/>
              </w:rPr>
              <w:t>1</w:t>
            </w:r>
            <w:r>
              <w:rPr>
                <w:rFonts w:hint="eastAsia" w:ascii="Times New Roman" w:hAnsi="宋体"/>
                <w:color w:val="auto"/>
                <w:spacing w:val="-2"/>
                <w:kern w:val="0"/>
                <w:sz w:val="24"/>
                <w:highlight w:val="none"/>
                <w:lang w:val="en-US" w:eastAsia="zh-CN"/>
              </w:rPr>
              <w:t>号）</w:t>
            </w:r>
            <w:r>
              <w:rPr>
                <w:rFonts w:hint="eastAsia" w:hAnsi="宋体"/>
                <w:color w:val="auto"/>
                <w:spacing w:val="-2"/>
                <w:kern w:val="0"/>
                <w:sz w:val="24"/>
                <w:highlight w:val="none"/>
                <w:lang w:val="en-US" w:eastAsia="zh-CN"/>
              </w:rPr>
              <w:t>。根据</w:t>
            </w:r>
            <w:r>
              <w:rPr>
                <w:rFonts w:hint="eastAsia" w:ascii="Times New Roman" w:hAnsi="宋体"/>
                <w:color w:val="auto"/>
                <w:spacing w:val="-2"/>
                <w:kern w:val="0"/>
                <w:sz w:val="24"/>
                <w:highlight w:val="none"/>
                <w:lang w:val="en-US" w:eastAsia="zh-CN"/>
              </w:rPr>
              <w:t>《</w:t>
            </w:r>
            <w:r>
              <w:rPr>
                <w:rFonts w:hint="default" w:ascii="Times New Roman" w:hAnsi="宋体"/>
                <w:color w:val="auto"/>
                <w:spacing w:val="-2"/>
                <w:kern w:val="0"/>
                <w:sz w:val="24"/>
                <w:highlight w:val="none"/>
              </w:rPr>
              <w:t>寻甸荣禾家居制品、建材、纺织品生产线及配套设施新建项目</w:t>
            </w:r>
            <w:r>
              <w:rPr>
                <w:rFonts w:hint="eastAsia" w:ascii="Times New Roman" w:hAnsi="宋体"/>
                <w:color w:val="auto"/>
                <w:spacing w:val="-2"/>
                <w:kern w:val="0"/>
                <w:sz w:val="24"/>
                <w:highlight w:val="none"/>
                <w:lang w:val="en-US" w:eastAsia="zh-CN"/>
              </w:rPr>
              <w:t>环境影响报告表》，</w:t>
            </w:r>
            <w:r>
              <w:rPr>
                <w:rFonts w:hint="default" w:ascii="Times New Roman" w:hAnsi="宋体"/>
                <w:color w:val="auto"/>
                <w:spacing w:val="-2"/>
                <w:kern w:val="0"/>
                <w:sz w:val="24"/>
                <w:highlight w:val="none"/>
              </w:rPr>
              <w:t>寻甸荣禾家居制品、建材、纺织品生产线及配套设施新建项目</w:t>
            </w:r>
            <w:r>
              <w:rPr>
                <w:rFonts w:hint="eastAsia" w:hAnsi="宋体"/>
                <w:color w:val="auto"/>
                <w:spacing w:val="-2"/>
                <w:kern w:val="0"/>
                <w:sz w:val="24"/>
                <w:highlight w:val="none"/>
                <w:lang w:val="en-US" w:eastAsia="zh-CN"/>
              </w:rPr>
              <w:t>建设内容主要包括</w:t>
            </w:r>
            <w:r>
              <w:rPr>
                <w:rFonts w:hint="eastAsia" w:ascii="Times New Roman" w:hAnsi="Times New Roman" w:eastAsia="宋体" w:cs="宋体"/>
                <w:color w:val="auto"/>
                <w:sz w:val="24"/>
                <w:szCs w:val="24"/>
                <w:lang w:val="en-US" w:eastAsia="zh-CN"/>
              </w:rPr>
              <w:t>1栋生产厂房、1栋综合楼，并配套建设公用工程和环保工程，年产</w:t>
            </w:r>
            <w:r>
              <w:rPr>
                <w:rFonts w:hint="eastAsia" w:cs="宋体"/>
                <w:color w:val="auto"/>
                <w:sz w:val="24"/>
                <w:szCs w:val="24"/>
                <w:lang w:val="en-US" w:eastAsia="zh-CN"/>
              </w:rPr>
              <w:t>20万套钢制家具</w:t>
            </w:r>
            <w:r>
              <w:rPr>
                <w:rFonts w:hint="eastAsia" w:ascii="Times New Roman" w:hAnsi="Times New Roman" w:eastAsia="宋体" w:cs="宋体"/>
                <w:color w:val="auto"/>
                <w:sz w:val="24"/>
                <w:szCs w:val="24"/>
                <w:highlight w:val="none"/>
                <w:lang w:val="en-US" w:eastAsia="zh-CN"/>
              </w:rPr>
              <w:t>。</w:t>
            </w:r>
            <w:r>
              <w:rPr>
                <w:rFonts w:hint="eastAsia" w:hAnsi="宋体"/>
                <w:color w:val="auto"/>
                <w:spacing w:val="-2"/>
                <w:kern w:val="0"/>
                <w:sz w:val="24"/>
                <w:highlight w:val="none"/>
                <w:lang w:val="en-US" w:eastAsia="zh-CN"/>
              </w:rPr>
              <w:t>根据调查了解，</w:t>
            </w:r>
            <w:r>
              <w:rPr>
                <w:rFonts w:hint="eastAsia" w:cs="Times New Roman"/>
                <w:color w:val="auto"/>
                <w:sz w:val="24"/>
                <w:szCs w:val="24"/>
                <w:highlight w:val="none"/>
                <w:lang w:val="en-US" w:eastAsia="zh-CN"/>
              </w:rPr>
              <w:t>寻甸荣禾工贸有限公司</w:t>
            </w:r>
            <w:r>
              <w:rPr>
                <w:rFonts w:hint="eastAsia" w:ascii="Times New Roman" w:hAnsi="宋体"/>
                <w:color w:val="auto"/>
                <w:spacing w:val="-2"/>
                <w:kern w:val="0"/>
                <w:sz w:val="24"/>
                <w:highlight w:val="none"/>
                <w:lang w:val="en-US" w:eastAsia="zh-CN"/>
              </w:rPr>
              <w:t>已于2021年建设完成</w:t>
            </w:r>
            <w:r>
              <w:rPr>
                <w:rFonts w:hint="eastAsia" w:cs="Times New Roman"/>
                <w:color w:val="auto"/>
                <w:sz w:val="24"/>
                <w:szCs w:val="24"/>
                <w:highlight w:val="none"/>
                <w:lang w:val="en-US" w:eastAsia="zh-CN"/>
              </w:rPr>
              <w:t>了</w:t>
            </w:r>
            <w:r>
              <w:rPr>
                <w:rFonts w:hint="eastAsia" w:ascii="Times New Roman" w:hAnsi="Times New Roman" w:eastAsia="宋体" w:cs="宋体"/>
                <w:color w:val="auto"/>
                <w:sz w:val="24"/>
                <w:szCs w:val="24"/>
                <w:highlight w:val="none"/>
                <w:lang w:val="en-US" w:eastAsia="zh-CN"/>
              </w:rPr>
              <w:t>1栋生产</w:t>
            </w:r>
            <w:r>
              <w:rPr>
                <w:rFonts w:hint="eastAsia" w:ascii="Times New Roman" w:hAnsi="Times New Roman" w:eastAsia="宋体" w:cs="宋体"/>
                <w:color w:val="auto"/>
                <w:sz w:val="24"/>
                <w:szCs w:val="24"/>
                <w:lang w:val="en-US" w:eastAsia="zh-CN"/>
              </w:rPr>
              <w:t>厂房、1栋综合楼及绿化，</w:t>
            </w:r>
            <w:r>
              <w:rPr>
                <w:rFonts w:hint="eastAsia" w:cs="宋体"/>
                <w:color w:val="auto"/>
                <w:sz w:val="24"/>
                <w:szCs w:val="24"/>
                <w:lang w:val="en-US" w:eastAsia="zh-CN"/>
              </w:rPr>
              <w:t>并</w:t>
            </w:r>
            <w:r>
              <w:rPr>
                <w:rFonts w:hint="eastAsia" w:ascii="Times New Roman" w:hAnsi="Times New Roman" w:eastAsia="宋体" w:cs="宋体"/>
                <w:color w:val="auto"/>
                <w:sz w:val="24"/>
                <w:szCs w:val="24"/>
                <w:lang w:val="en-US" w:eastAsia="zh-CN"/>
              </w:rPr>
              <w:t>配套建设</w:t>
            </w:r>
            <w:r>
              <w:rPr>
                <w:rFonts w:hint="eastAsia" w:cs="宋体"/>
                <w:color w:val="auto"/>
                <w:sz w:val="24"/>
                <w:szCs w:val="24"/>
                <w:lang w:val="en-US" w:eastAsia="zh-CN"/>
              </w:rPr>
              <w:t>了</w:t>
            </w:r>
            <w:r>
              <w:rPr>
                <w:rFonts w:hint="eastAsia" w:ascii="Times New Roman" w:hAnsi="Times New Roman" w:eastAsia="宋体" w:cs="宋体"/>
                <w:color w:val="auto"/>
                <w:sz w:val="24"/>
                <w:szCs w:val="24"/>
                <w:lang w:val="en-US" w:eastAsia="zh-CN"/>
              </w:rPr>
              <w:t>化粪池</w:t>
            </w:r>
            <w:r>
              <w:rPr>
                <w:rFonts w:hint="eastAsia" w:cs="宋体"/>
                <w:color w:val="auto"/>
                <w:sz w:val="24"/>
                <w:szCs w:val="24"/>
                <w:lang w:val="en-US" w:eastAsia="zh-CN"/>
              </w:rPr>
              <w:t>和</w:t>
            </w:r>
            <w:r>
              <w:rPr>
                <w:rFonts w:hint="eastAsia" w:ascii="Times New Roman" w:hAnsi="Times New Roman" w:eastAsia="宋体" w:cs="宋体"/>
                <w:color w:val="auto"/>
                <w:sz w:val="24"/>
                <w:szCs w:val="24"/>
                <w:lang w:val="en-US" w:eastAsia="zh-CN"/>
              </w:rPr>
              <w:t>污水处理站</w:t>
            </w:r>
            <w:r>
              <w:rPr>
                <w:rFonts w:hint="eastAsia" w:cs="宋体"/>
                <w:color w:val="auto"/>
                <w:sz w:val="24"/>
                <w:szCs w:val="24"/>
                <w:lang w:val="en-US" w:eastAsia="zh-CN"/>
              </w:rPr>
              <w:t>及暂存池</w:t>
            </w:r>
            <w:r>
              <w:rPr>
                <w:rFonts w:hint="eastAsia" w:ascii="Times New Roman" w:hAnsi="Times New Roman" w:eastAsia="宋体" w:cs="宋体"/>
                <w:color w:val="auto"/>
                <w:sz w:val="24"/>
                <w:szCs w:val="24"/>
                <w:lang w:val="en-US" w:eastAsia="zh-CN"/>
              </w:rPr>
              <w:t>。</w:t>
            </w:r>
            <w:r>
              <w:rPr>
                <w:rFonts w:hint="eastAsia" w:cs="Times New Roman"/>
                <w:color w:val="auto"/>
                <w:sz w:val="24"/>
                <w:szCs w:val="24"/>
                <w:highlight w:val="none"/>
                <w:lang w:val="en-US" w:eastAsia="zh-CN"/>
              </w:rPr>
              <w:t>寻甸荣禾工贸有限公司厂房及综合楼建成后一直闲置</w:t>
            </w:r>
            <w:r>
              <w:rPr>
                <w:rFonts w:hint="eastAsia" w:cs="宋体"/>
                <w:color w:val="auto"/>
                <w:sz w:val="24"/>
                <w:szCs w:val="24"/>
                <w:lang w:val="en-US" w:eastAsia="zh-CN"/>
              </w:rPr>
              <w:t>，未建设生产线，未投产运营。</w:t>
            </w:r>
            <w:r>
              <w:rPr>
                <w:rFonts w:hint="eastAsia" w:ascii="Times New Roman" w:hAnsi="Times New Roman" w:eastAsia="宋体" w:cs="宋体"/>
                <w:color w:val="auto"/>
                <w:sz w:val="24"/>
                <w:szCs w:val="24"/>
                <w:lang w:val="en-US" w:eastAsia="zh-CN"/>
              </w:rPr>
              <w:t>现为实现厂房及综合楼价值，</w:t>
            </w:r>
            <w:r>
              <w:rPr>
                <w:rFonts w:hint="eastAsia" w:cs="Times New Roman"/>
                <w:color w:val="auto"/>
                <w:sz w:val="24"/>
                <w:szCs w:val="24"/>
                <w:highlight w:val="none"/>
                <w:lang w:val="en-US" w:eastAsia="zh-CN"/>
              </w:rPr>
              <w:t>寻甸荣禾工贸有限公司</w:t>
            </w:r>
            <w:r>
              <w:rPr>
                <w:rFonts w:hint="eastAsia" w:ascii="Times New Roman" w:hAnsi="Times New Roman" w:eastAsia="宋体" w:cs="宋体"/>
                <w:color w:val="auto"/>
                <w:sz w:val="24"/>
                <w:szCs w:val="24"/>
                <w:lang w:val="en-US" w:eastAsia="zh-CN"/>
              </w:rPr>
              <w:t>将已建成的1栋生产厂房、1栋综合楼全部租赁给</w:t>
            </w:r>
            <w:r>
              <w:rPr>
                <w:rFonts w:hint="eastAsia" w:cs="宋体"/>
                <w:color w:val="auto"/>
                <w:sz w:val="24"/>
                <w:szCs w:val="24"/>
                <w:lang w:val="en-US" w:eastAsia="zh-CN"/>
              </w:rPr>
              <w:t>昆明益明天下装饰材料有限责任公司使用，无其他企业入驻。</w:t>
            </w:r>
          </w:p>
        </w:tc>
      </w:tr>
    </w:tbl>
    <w:p w14:paraId="438F7570">
      <w:pPr>
        <w:pStyle w:val="28"/>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E9CAC5A">
      <w:pPr>
        <w:pStyle w:val="28"/>
        <w:jc w:val="center"/>
        <w:outlineLvl w:val="0"/>
        <w:rPr>
          <w:rFonts w:ascii="黑体" w:hAnsi="黑体" w:eastAsia="黑体"/>
          <w:snapToGrid w:val="0"/>
          <w:color w:val="auto"/>
          <w:sz w:val="30"/>
          <w:szCs w:val="30"/>
        </w:rPr>
      </w:pPr>
      <w:bookmarkStart w:id="7" w:name="_Toc23129"/>
      <w:r>
        <w:rPr>
          <w:rFonts w:hint="eastAsia" w:ascii="黑体" w:hAnsi="黑体" w:eastAsia="黑体"/>
          <w:snapToGrid w:val="0"/>
          <w:color w:val="auto"/>
          <w:sz w:val="30"/>
          <w:szCs w:val="30"/>
        </w:rPr>
        <w:t>三、区域环境质量现状、环境保护目标及评价标准</w:t>
      </w:r>
      <w:bookmarkEnd w:id="7"/>
    </w:p>
    <w:tbl>
      <w:tblPr>
        <w:tblStyle w:val="30"/>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081"/>
      </w:tblGrid>
      <w:tr w14:paraId="7436C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14:paraId="6AE12AB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区域</w:t>
            </w:r>
          </w:p>
          <w:p w14:paraId="789D5B1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环境</w:t>
            </w:r>
          </w:p>
          <w:p w14:paraId="7CC5FC5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质量</w:t>
            </w:r>
          </w:p>
          <w:p w14:paraId="3348A8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现状</w:t>
            </w:r>
          </w:p>
        </w:tc>
        <w:tc>
          <w:tcPr>
            <w:tcW w:w="9081" w:type="dxa"/>
            <w:noWrap w:val="0"/>
            <w:vAlign w:val="center"/>
          </w:tcPr>
          <w:p w14:paraId="6CE7EFCC">
            <w:pPr>
              <w:keepNext w:val="0"/>
              <w:keepLines w:val="0"/>
              <w:pageBreakBefore w:val="0"/>
              <w:widowControl w:val="0"/>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宋体"/>
                <w:b/>
                <w:bCs/>
                <w:color w:val="auto"/>
                <w:kern w:val="0"/>
                <w:sz w:val="24"/>
                <w:szCs w:val="24"/>
              </w:rPr>
            </w:pPr>
            <w:r>
              <w:rPr>
                <w:rFonts w:hint="default" w:ascii="Times New Roman" w:hAnsi="Times New Roman" w:eastAsia="宋体" w:cs="宋体"/>
                <w:b/>
                <w:bCs/>
                <w:color w:val="auto"/>
                <w:kern w:val="0"/>
                <w:sz w:val="24"/>
                <w:szCs w:val="24"/>
              </w:rPr>
              <w:t>环境空气质量</w:t>
            </w:r>
            <w:r>
              <w:rPr>
                <w:rFonts w:hint="eastAsia" w:cs="宋体"/>
                <w:b/>
                <w:bCs/>
                <w:color w:val="auto"/>
                <w:kern w:val="0"/>
                <w:sz w:val="24"/>
                <w:szCs w:val="24"/>
                <w:lang w:eastAsia="zh-CN"/>
              </w:rPr>
              <w:t>现状</w:t>
            </w:r>
          </w:p>
          <w:p w14:paraId="4B4A7E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（1）达标区判定</w:t>
            </w:r>
          </w:p>
          <w:p w14:paraId="2B6D47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位于寻甸县羊街镇中国昆明国际林业产业园3-1</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号，</w:t>
            </w:r>
            <w:r>
              <w:rPr>
                <w:rFonts w:hint="eastAsia" w:ascii="Times New Roman" w:hAnsi="Times New Roman" w:cs="Times New Roman"/>
                <w:color w:val="auto"/>
                <w:sz w:val="24"/>
                <w:szCs w:val="24"/>
                <w:lang w:val="en-US" w:eastAsia="zh-CN"/>
              </w:rPr>
              <w:t>区域环境空气质量功能区划为二类区，执行《环境空气质量标准》（GB3095－2012）二级标准。</w:t>
            </w:r>
          </w:p>
          <w:p w14:paraId="177CB9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w:t>
            </w: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eastAsia"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w:t>
            </w:r>
            <w:r>
              <w:rPr>
                <w:rFonts w:hint="eastAsia"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zh-CN" w:eastAsia="zh-CN"/>
              </w:rPr>
              <w:t>石林县、嵩明县、富民县、宜良县、寻甸县环境空气综合污染指数有所</w:t>
            </w:r>
            <w:r>
              <w:rPr>
                <w:rFonts w:hint="eastAsia" w:cs="Times New Roman"/>
                <w:color w:val="auto"/>
                <w:sz w:val="24"/>
                <w:szCs w:val="24"/>
                <w:highlight w:val="none"/>
                <w:u w:val="none"/>
                <w:lang w:val="en-US" w:eastAsia="zh-CN"/>
              </w:rPr>
              <w:t>下降，东川区</w:t>
            </w:r>
            <w:r>
              <w:rPr>
                <w:rFonts w:hint="default" w:ascii="Times New Roman" w:hAnsi="Times New Roman" w:eastAsia="宋体" w:cs="Times New Roman"/>
                <w:color w:val="auto"/>
                <w:sz w:val="24"/>
                <w:szCs w:val="24"/>
                <w:highlight w:val="none"/>
                <w:u w:val="none"/>
                <w:lang w:val="zh-CN" w:eastAsia="zh-CN"/>
              </w:rPr>
              <w:t>环境空气综合污染指数有所上升。</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u w:val="none"/>
                <w:lang w:val="en-US" w:eastAsia="zh-CN"/>
              </w:rPr>
              <w:t>寻甸县</w:t>
            </w:r>
            <w:r>
              <w:rPr>
                <w:rFonts w:hint="default" w:ascii="Times New Roman" w:hAnsi="Times New Roman" w:eastAsia="宋体" w:cs="Times New Roman"/>
                <w:color w:val="auto"/>
                <w:sz w:val="24"/>
                <w:szCs w:val="24"/>
                <w:highlight w:val="none"/>
              </w:rPr>
              <w:t>环境空气质量均能达到《环境空气质量标准》（GB3095-2012）表1中二级标准要求，</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14:paraId="2AD3E4FC">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ascii="Times New Roman" w:hAnsi="Times New Roman" w:eastAsia="宋体" w:cs="Times New Roman"/>
                <w:b/>
                <w:bCs/>
                <w:color w:val="auto"/>
                <w:sz w:val="24"/>
                <w:szCs w:val="28"/>
                <w:lang w:val="en-US" w:eastAsia="zh-CN"/>
              </w:rPr>
            </w:pPr>
            <w:r>
              <w:rPr>
                <w:rFonts w:hint="eastAsia" w:ascii="Times New Roman" w:hAnsi="Times New Roman" w:eastAsia="宋体" w:cs="Times New Roman"/>
                <w:b/>
                <w:bCs/>
                <w:color w:val="auto"/>
                <w:sz w:val="24"/>
                <w:szCs w:val="28"/>
                <w:lang w:val="en-US" w:eastAsia="zh-CN"/>
              </w:rPr>
              <w:t>（2）特征污染物环境质量现状</w:t>
            </w:r>
          </w:p>
          <w:p w14:paraId="299645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本项目涉及的特征因子为TSP、NOx、</w:t>
            </w:r>
            <w:r>
              <w:rPr>
                <w:rFonts w:hint="eastAsia" w:ascii="Times New Roman" w:hAnsi="Times New Roman" w:cs="Times New Roman"/>
                <w:color w:val="auto"/>
                <w:sz w:val="24"/>
                <w:szCs w:val="24"/>
                <w:lang w:val="en-US" w:eastAsia="zh-CN"/>
              </w:rPr>
              <w:t>TVOC、甲醛</w:t>
            </w:r>
            <w:r>
              <w:rPr>
                <w:rFonts w:hint="default" w:ascii="Times New Roman" w:hAnsi="Times New Roman" w:cs="Times New Roman"/>
                <w:color w:val="auto"/>
                <w:sz w:val="24"/>
                <w:szCs w:val="24"/>
                <w:lang w:val="en-US" w:eastAsia="zh-CN"/>
              </w:rPr>
              <w:t>，TSP、NOx执行</w:t>
            </w:r>
            <w:r>
              <w:rPr>
                <w:rFonts w:hint="default" w:ascii="Times New Roman" w:hAnsi="Times New Roman" w:cs="Times New Roman"/>
                <w:color w:val="auto"/>
                <w:sz w:val="24"/>
                <w:szCs w:val="24"/>
                <w:lang w:val="zh-CN" w:eastAsia="zh-CN"/>
              </w:rPr>
              <w:t>《环境空气质量标准》（GB3095-2012）二级标准，</w:t>
            </w:r>
            <w:r>
              <w:rPr>
                <w:rFonts w:hint="eastAsia" w:ascii="Times New Roman" w:hAnsi="Times New Roman" w:cs="Times New Roman"/>
                <w:color w:val="auto"/>
                <w:sz w:val="24"/>
                <w:szCs w:val="24"/>
                <w:lang w:val="en-US" w:eastAsia="zh-CN"/>
              </w:rPr>
              <w:t>TVOC、甲醛</w:t>
            </w:r>
            <w:r>
              <w:rPr>
                <w:rFonts w:hint="default" w:ascii="Times New Roman" w:hAnsi="Times New Roman" w:cs="Times New Roman"/>
                <w:color w:val="auto"/>
                <w:sz w:val="24"/>
                <w:szCs w:val="24"/>
                <w:lang w:val="zh-CN" w:eastAsia="zh-CN"/>
              </w:rPr>
              <w:t>执行</w:t>
            </w:r>
            <w:r>
              <w:rPr>
                <w:rFonts w:hint="default" w:ascii="Times New Roman" w:hAnsi="Times New Roman" w:cs="Times New Roman"/>
                <w:color w:val="auto"/>
                <w:sz w:val="24"/>
                <w:szCs w:val="24"/>
                <w:lang w:val="en-US" w:eastAsia="zh-CN"/>
              </w:rPr>
              <w:t>《环境影响评价技术导则 大气环境 HJ2.2-2018》附录D中的浓度限值要求。</w:t>
            </w:r>
          </w:p>
          <w:p w14:paraId="5F6B01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lang w:val="zh-CN" w:eastAsia="zh-CN"/>
              </w:rPr>
            </w:pPr>
            <w:r>
              <w:rPr>
                <w:rFonts w:hint="default" w:ascii="Times New Roman" w:hAnsi="Times New Roman" w:cs="Times New Roman"/>
                <w:color w:val="auto"/>
                <w:sz w:val="24"/>
                <w:szCs w:val="24"/>
                <w:lang w:val="zh-CN" w:eastAsia="zh-CN"/>
              </w:rPr>
              <w:t>甲醛环境空气质量现状评价引用云南环绿环境检测技术有限公司于2022年6月9日对《云南博瑞纸业有限公司新建浸胶纸生产项目》厂界上</w:t>
            </w:r>
            <w:r>
              <w:rPr>
                <w:rFonts w:hint="eastAsia" w:cs="Times New Roman"/>
                <w:color w:val="auto"/>
                <w:sz w:val="24"/>
                <w:szCs w:val="24"/>
                <w:lang w:val="zh-CN" w:eastAsia="zh-CN"/>
              </w:rPr>
              <w:t>风向</w:t>
            </w:r>
            <w:r>
              <w:rPr>
                <w:rFonts w:hint="default" w:ascii="Times New Roman" w:hAnsi="Times New Roman" w:cs="Times New Roman"/>
                <w:color w:val="auto"/>
                <w:sz w:val="24"/>
                <w:szCs w:val="24"/>
                <w:lang w:val="zh-CN" w:eastAsia="zh-CN"/>
              </w:rPr>
              <w:t>监测</w:t>
            </w:r>
            <w:r>
              <w:rPr>
                <w:rFonts w:hint="eastAsia" w:cs="Times New Roman"/>
                <w:color w:val="auto"/>
                <w:sz w:val="24"/>
                <w:szCs w:val="24"/>
                <w:lang w:val="en-US" w:eastAsia="zh-CN"/>
              </w:rPr>
              <w:t>数据</w:t>
            </w:r>
            <w:r>
              <w:rPr>
                <w:rFonts w:hint="default" w:ascii="Times New Roman" w:hAnsi="Times New Roman" w:cs="Times New Roman"/>
                <w:color w:val="auto"/>
                <w:sz w:val="24"/>
                <w:szCs w:val="24"/>
                <w:lang w:val="zh-CN" w:eastAsia="zh-CN"/>
              </w:rPr>
              <w:t>。云南博瑞纸业有限公司新建浸胶纸生产项目位于本项目区西北侧</w:t>
            </w:r>
            <w:r>
              <w:rPr>
                <w:rFonts w:hint="eastAsia" w:cs="Times New Roman"/>
                <w:color w:val="auto"/>
                <w:sz w:val="24"/>
                <w:szCs w:val="24"/>
                <w:lang w:val="en-US" w:eastAsia="zh-CN"/>
              </w:rPr>
              <w:t>163</w:t>
            </w:r>
            <w:r>
              <w:rPr>
                <w:rFonts w:hint="default" w:ascii="Times New Roman" w:hAnsi="Times New Roman" w:cs="Times New Roman"/>
                <w:color w:val="auto"/>
                <w:sz w:val="24"/>
                <w:szCs w:val="24"/>
                <w:lang w:val="zh-CN" w:eastAsia="zh-CN"/>
              </w:rPr>
              <w:t>m，引用监测点为其项目厂界上风向，与本项目相距约</w:t>
            </w:r>
            <w:r>
              <w:rPr>
                <w:rFonts w:hint="eastAsia" w:cs="Times New Roman"/>
                <w:color w:val="auto"/>
                <w:sz w:val="24"/>
                <w:szCs w:val="24"/>
                <w:lang w:val="en-US" w:eastAsia="zh-CN"/>
              </w:rPr>
              <w:t>257</w:t>
            </w:r>
            <w:r>
              <w:rPr>
                <w:rFonts w:hint="default" w:ascii="Times New Roman" w:hAnsi="Times New Roman" w:cs="Times New Roman"/>
                <w:color w:val="auto"/>
                <w:sz w:val="24"/>
                <w:szCs w:val="24"/>
                <w:lang w:val="zh-CN" w:eastAsia="zh-CN"/>
              </w:rPr>
              <w:t>m。本项目引用的甲醛现状监测点具备类比条件，数据在技术导则要求的“近三年” 时限内，属于有效数据，故本项 目甲醛质量现状评价引用的数据具有时效性和代表性。甲醛质量现状引用监测结果见表3-</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zh-CN" w:eastAsia="zh-CN"/>
              </w:rPr>
              <w:t>。</w:t>
            </w:r>
          </w:p>
          <w:p w14:paraId="3C3C1D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TSP、</w:t>
            </w:r>
            <w:r>
              <w:rPr>
                <w:rFonts w:hint="eastAsia" w:ascii="Times New Roman" w:hAnsi="Times New Roman" w:cs="Times New Roman"/>
                <w:color w:val="auto"/>
                <w:sz w:val="24"/>
                <w:szCs w:val="24"/>
                <w:lang w:val="en-US" w:eastAsia="zh-CN"/>
              </w:rPr>
              <w:t>TVOC</w:t>
            </w:r>
            <w:r>
              <w:rPr>
                <w:rFonts w:hint="default" w:ascii="Times New Roman" w:hAnsi="Times New Roman" w:cs="Times New Roman"/>
                <w:color w:val="auto"/>
                <w:sz w:val="24"/>
                <w:szCs w:val="24"/>
                <w:lang w:val="en-US" w:eastAsia="zh-CN"/>
              </w:rPr>
              <w:t>环境空气质量现状评价</w:t>
            </w:r>
            <w:r>
              <w:rPr>
                <w:rFonts w:hint="default" w:ascii="Times New Roman" w:hAnsi="Times New Roman" w:cs="Times New Roman"/>
                <w:color w:val="auto"/>
                <w:sz w:val="24"/>
                <w:szCs w:val="24"/>
                <w:lang w:val="zh-CN" w:eastAsia="zh-CN"/>
              </w:rPr>
              <w:t>引用云南天博环境检测有限公司</w:t>
            </w:r>
            <w:r>
              <w:rPr>
                <w:rFonts w:hint="default" w:ascii="Times New Roman" w:hAnsi="Times New Roman" w:cs="Times New Roman"/>
                <w:color w:val="auto"/>
                <w:sz w:val="24"/>
                <w:szCs w:val="24"/>
                <w:lang w:val="en-US" w:eastAsia="zh-CN"/>
              </w:rPr>
              <w:t>于2021年6月22日-2021年6月29日、2021年9月21日-2021年9月27日对</w:t>
            </w:r>
            <w:r>
              <w:rPr>
                <w:rFonts w:hint="default" w:ascii="Times New Roman" w:hAnsi="Times New Roman" w:cs="Times New Roman"/>
                <w:color w:val="auto"/>
                <w:sz w:val="24"/>
                <w:szCs w:val="24"/>
                <w:lang w:val="zh-CN" w:eastAsia="zh-CN"/>
              </w:rPr>
              <w:t>《寻甸年加工喷涂铝板30万平方米项目环境影响报告书》</w:t>
            </w:r>
            <w:r>
              <w:rPr>
                <w:rFonts w:hint="default" w:ascii="Times New Roman" w:hAnsi="Times New Roman" w:cs="Times New Roman"/>
                <w:color w:val="auto"/>
                <w:sz w:val="24"/>
                <w:szCs w:val="24"/>
                <w:lang w:val="en-US" w:eastAsia="zh-CN"/>
              </w:rPr>
              <w:t>的</w:t>
            </w:r>
            <w:r>
              <w:rPr>
                <w:rFonts w:hint="default" w:ascii="Times New Roman" w:hAnsi="Times New Roman" w:cs="Times New Roman"/>
                <w:color w:val="auto"/>
                <w:sz w:val="24"/>
                <w:szCs w:val="24"/>
                <w:lang w:val="zh-CN" w:eastAsia="zh-CN"/>
              </w:rPr>
              <w:t>空气质量现状监测数据</w:t>
            </w:r>
            <w:r>
              <w:rPr>
                <w:rFonts w:hint="eastAsia" w:ascii="Times New Roman" w:hAnsi="Times New Roman" w:cs="Times New Roman"/>
                <w:color w:val="auto"/>
                <w:sz w:val="24"/>
                <w:szCs w:val="24"/>
                <w:lang w:val="zh-CN" w:eastAsia="zh-CN"/>
              </w:rPr>
              <w:t>。</w:t>
            </w:r>
            <w:r>
              <w:rPr>
                <w:rFonts w:hint="default" w:ascii="Times New Roman" w:hAnsi="Times New Roman" w:cs="Times New Roman"/>
                <w:color w:val="auto"/>
                <w:sz w:val="24"/>
                <w:szCs w:val="24"/>
                <w:lang w:val="zh-CN" w:eastAsia="zh-CN"/>
              </w:rPr>
              <w:t>寻甸年加工喷涂铝板30万平方米项目</w:t>
            </w:r>
            <w:r>
              <w:rPr>
                <w:rFonts w:hint="default" w:ascii="Times New Roman" w:hAnsi="Times New Roman" w:cs="Times New Roman"/>
                <w:color w:val="auto"/>
                <w:sz w:val="24"/>
                <w:szCs w:val="24"/>
                <w:lang w:val="en-US" w:eastAsia="zh-CN"/>
              </w:rPr>
              <w:t>位于</w:t>
            </w:r>
            <w:r>
              <w:rPr>
                <w:rFonts w:hint="eastAsia" w:ascii="Times New Roman" w:hAnsi="Times New Roman" w:cs="Times New Roman"/>
                <w:color w:val="auto"/>
                <w:sz w:val="24"/>
                <w:szCs w:val="24"/>
                <w:lang w:val="en-US" w:eastAsia="zh-CN"/>
              </w:rPr>
              <w:t>本</w:t>
            </w:r>
            <w:r>
              <w:rPr>
                <w:rFonts w:hint="default" w:ascii="Times New Roman" w:hAnsi="Times New Roman" w:cs="Times New Roman"/>
                <w:color w:val="auto"/>
                <w:sz w:val="24"/>
                <w:szCs w:val="24"/>
                <w:lang w:val="en-US" w:eastAsia="zh-CN"/>
              </w:rPr>
              <w:t>项目区</w:t>
            </w:r>
            <w:r>
              <w:rPr>
                <w:rFonts w:hint="eastAsia" w:ascii="Times New Roman" w:hAnsi="Times New Roman" w:cs="Times New Roman"/>
                <w:color w:val="auto"/>
                <w:sz w:val="24"/>
                <w:szCs w:val="24"/>
                <w:lang w:val="en-US" w:eastAsia="zh-CN"/>
              </w:rPr>
              <w:t>东北</w:t>
            </w:r>
            <w:r>
              <w:rPr>
                <w:rFonts w:hint="default" w:ascii="Times New Roman" w:hAnsi="Times New Roman" w:cs="Times New Roman"/>
                <w:color w:val="auto"/>
                <w:sz w:val="24"/>
                <w:szCs w:val="24"/>
                <w:lang w:val="en-US" w:eastAsia="zh-CN"/>
              </w:rPr>
              <w:t>侧</w:t>
            </w:r>
            <w:r>
              <w:rPr>
                <w:rFonts w:hint="eastAsia" w:cs="Times New Roman"/>
                <w:color w:val="auto"/>
                <w:sz w:val="24"/>
                <w:szCs w:val="24"/>
                <w:lang w:val="en-US" w:eastAsia="zh-CN"/>
              </w:rPr>
              <w:t>311</w:t>
            </w:r>
            <w:r>
              <w:rPr>
                <w:rFonts w:hint="default" w:ascii="Times New Roman" w:hAnsi="Times New Roman" w:cs="Times New Roman"/>
                <w:color w:val="auto"/>
                <w:sz w:val="24"/>
                <w:szCs w:val="24"/>
                <w:lang w:val="en-US" w:eastAsia="zh-CN"/>
              </w:rPr>
              <w:t>m，引用监测点</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为</w:t>
            </w:r>
            <w:r>
              <w:rPr>
                <w:rFonts w:hint="eastAsia" w:ascii="Times New Roman" w:hAnsi="Times New Roman" w:cs="Times New Roman"/>
                <w:color w:val="auto"/>
                <w:sz w:val="24"/>
                <w:szCs w:val="24"/>
                <w:lang w:val="en-US" w:eastAsia="zh-CN"/>
              </w:rPr>
              <w:t>其</w:t>
            </w:r>
            <w:r>
              <w:rPr>
                <w:rFonts w:hint="default" w:ascii="Times New Roman" w:hAnsi="Times New Roman" w:cs="Times New Roman"/>
                <w:color w:val="auto"/>
                <w:sz w:val="24"/>
                <w:szCs w:val="24"/>
                <w:lang w:val="en-US" w:eastAsia="zh-CN"/>
              </w:rPr>
              <w:t>项目厂址内</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与</w:t>
            </w:r>
            <w:r>
              <w:rPr>
                <w:rFonts w:hint="eastAsia" w:ascii="Times New Roman" w:hAnsi="Times New Roman" w:cs="Times New Roman"/>
                <w:color w:val="auto"/>
                <w:sz w:val="24"/>
                <w:szCs w:val="24"/>
                <w:lang w:val="en-US" w:eastAsia="zh-CN"/>
              </w:rPr>
              <w:t>本</w:t>
            </w:r>
            <w:r>
              <w:rPr>
                <w:rFonts w:hint="default" w:ascii="Times New Roman" w:hAnsi="Times New Roman" w:cs="Times New Roman"/>
                <w:color w:val="auto"/>
                <w:sz w:val="24"/>
                <w:szCs w:val="24"/>
                <w:lang w:val="en-US" w:eastAsia="zh-CN"/>
              </w:rPr>
              <w:t>项目相距约</w:t>
            </w:r>
            <w:r>
              <w:rPr>
                <w:rFonts w:hint="eastAsia" w:cs="Times New Roman"/>
                <w:color w:val="auto"/>
                <w:sz w:val="24"/>
                <w:szCs w:val="24"/>
                <w:lang w:val="en-US" w:eastAsia="zh-CN"/>
              </w:rPr>
              <w:t>403</w:t>
            </w:r>
            <w:r>
              <w:rPr>
                <w:rFonts w:hint="default"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引用监测点</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为</w:t>
            </w:r>
            <w:r>
              <w:rPr>
                <w:rFonts w:hint="eastAsia" w:ascii="Times New Roman" w:hAnsi="Times New Roman" w:cs="Times New Roman"/>
                <w:color w:val="auto"/>
                <w:sz w:val="24"/>
                <w:szCs w:val="24"/>
                <w:lang w:val="en-US" w:eastAsia="zh-CN"/>
              </w:rPr>
              <w:t>深沟</w:t>
            </w:r>
            <w:r>
              <w:rPr>
                <w:rFonts w:hint="default" w:ascii="Times New Roman" w:hAnsi="Times New Roman" w:cs="Times New Roman"/>
                <w:color w:val="auto"/>
                <w:sz w:val="24"/>
                <w:szCs w:val="24"/>
                <w:lang w:val="en-US" w:eastAsia="zh-CN"/>
              </w:rPr>
              <w:t>村</w:t>
            </w:r>
            <w:r>
              <w:rPr>
                <w:rFonts w:hint="eastAsia" w:ascii="Times New Roman" w:hAnsi="Times New Roman" w:cs="Times New Roman"/>
                <w:color w:val="auto"/>
                <w:sz w:val="24"/>
                <w:szCs w:val="24"/>
                <w:lang w:val="en-US" w:eastAsia="zh-CN"/>
              </w:rPr>
              <w:t>散户</w:t>
            </w:r>
            <w:r>
              <w:rPr>
                <w:rFonts w:hint="default" w:ascii="Times New Roman" w:hAnsi="Times New Roman" w:cs="Times New Roman"/>
                <w:color w:val="auto"/>
                <w:sz w:val="24"/>
                <w:szCs w:val="24"/>
                <w:lang w:val="en-US" w:eastAsia="zh-CN"/>
              </w:rPr>
              <w:t>，与项目相距约</w:t>
            </w:r>
            <w:r>
              <w:rPr>
                <w:rFonts w:hint="eastAsia" w:cs="Times New Roman"/>
                <w:color w:val="auto"/>
                <w:sz w:val="24"/>
                <w:szCs w:val="24"/>
                <w:lang w:val="en-US" w:eastAsia="zh-CN"/>
              </w:rPr>
              <w:t>954</w:t>
            </w:r>
            <w:r>
              <w:rPr>
                <w:rFonts w:hint="default" w:ascii="Times New Roman" w:hAnsi="Times New Roman" w:cs="Times New Roman"/>
                <w:color w:val="auto"/>
                <w:sz w:val="24"/>
                <w:szCs w:val="24"/>
                <w:lang w:val="en-US" w:eastAsia="zh-CN"/>
              </w:rPr>
              <w:t>m。本项目引用的TSP、NOx、</w:t>
            </w:r>
            <w:r>
              <w:rPr>
                <w:rFonts w:hint="eastAsia" w:ascii="Times New Roman" w:hAnsi="Times New Roman" w:cs="Times New Roman"/>
                <w:color w:val="auto"/>
                <w:sz w:val="24"/>
                <w:szCs w:val="24"/>
                <w:lang w:val="en-US" w:eastAsia="zh-CN"/>
              </w:rPr>
              <w:t>TVOC</w:t>
            </w:r>
            <w:r>
              <w:rPr>
                <w:rFonts w:hint="default" w:ascii="Times New Roman" w:hAnsi="Times New Roman" w:cs="Times New Roman"/>
                <w:color w:val="auto"/>
                <w:sz w:val="24"/>
                <w:szCs w:val="24"/>
                <w:lang w:val="en-US" w:eastAsia="zh-CN"/>
              </w:rPr>
              <w:t>现状监测点</w:t>
            </w:r>
            <w:r>
              <w:rPr>
                <w:rFonts w:hint="default" w:ascii="Times New Roman" w:hAnsi="Times New Roman" w:cs="Times New Roman"/>
                <w:color w:val="auto"/>
                <w:sz w:val="24"/>
                <w:szCs w:val="24"/>
                <w:lang w:val="zh-CN" w:eastAsia="zh-CN"/>
              </w:rPr>
              <w:t>具备类比条件，数据在技术导则要求的“近三年”时限内，属于有效数据，故本项目</w:t>
            </w:r>
            <w:r>
              <w:rPr>
                <w:rFonts w:hint="default" w:ascii="Times New Roman" w:hAnsi="Times New Roman" w:cs="Times New Roman"/>
                <w:color w:val="auto"/>
                <w:sz w:val="24"/>
                <w:szCs w:val="24"/>
                <w:lang w:val="en-US" w:eastAsia="zh-CN"/>
              </w:rPr>
              <w:t>TSP、NOx、</w:t>
            </w:r>
            <w:r>
              <w:rPr>
                <w:rFonts w:hint="eastAsia" w:ascii="Times New Roman" w:hAnsi="Times New Roman" w:cs="Times New Roman"/>
                <w:color w:val="auto"/>
                <w:sz w:val="24"/>
                <w:szCs w:val="24"/>
                <w:lang w:val="en-US" w:eastAsia="zh-CN"/>
              </w:rPr>
              <w:t>TVOC</w:t>
            </w:r>
            <w:r>
              <w:rPr>
                <w:rFonts w:hint="default" w:ascii="Times New Roman" w:hAnsi="Times New Roman" w:cs="Times New Roman"/>
                <w:color w:val="auto"/>
                <w:sz w:val="24"/>
                <w:szCs w:val="24"/>
                <w:lang w:val="zh-CN" w:eastAsia="zh-CN"/>
              </w:rPr>
              <w:t>质量现状评价引用</w:t>
            </w:r>
            <w:r>
              <w:rPr>
                <w:rFonts w:hint="default" w:ascii="Times New Roman" w:hAnsi="Times New Roman" w:cs="Times New Roman"/>
                <w:color w:val="auto"/>
                <w:sz w:val="24"/>
                <w:szCs w:val="24"/>
                <w:lang w:val="en-US" w:eastAsia="zh-CN"/>
              </w:rPr>
              <w:t>的数据具有时效性和代表性</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引用TSP、NOx、</w:t>
            </w:r>
            <w:r>
              <w:rPr>
                <w:rFonts w:hint="eastAsia" w:ascii="Times New Roman" w:hAnsi="Times New Roman" w:cs="Times New Roman"/>
                <w:color w:val="auto"/>
                <w:sz w:val="24"/>
                <w:szCs w:val="24"/>
                <w:lang w:val="en-US" w:eastAsia="zh-CN"/>
              </w:rPr>
              <w:t>TVOC</w:t>
            </w:r>
            <w:r>
              <w:rPr>
                <w:rFonts w:hint="default" w:ascii="Times New Roman" w:hAnsi="Times New Roman" w:cs="Times New Roman"/>
                <w:color w:val="auto"/>
                <w:sz w:val="24"/>
                <w:szCs w:val="24"/>
                <w:lang w:val="en-US" w:eastAsia="zh-CN"/>
              </w:rPr>
              <w:t>质量现状引用监测结果见表</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2</w:t>
            </w:r>
            <w:r>
              <w:rPr>
                <w:rFonts w:hint="eastAsia" w:ascii="Times New Roman" w:hAnsi="Times New Roman" w:cs="Times New Roman"/>
                <w:color w:val="auto"/>
                <w:sz w:val="24"/>
                <w:szCs w:val="24"/>
                <w:lang w:val="en-US" w:eastAsia="zh-CN"/>
              </w:rPr>
              <w:t>、3-</w:t>
            </w: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w:t>
            </w:r>
          </w:p>
          <w:p w14:paraId="26B1CCE5">
            <w:pPr>
              <w:pStyle w:val="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表</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1</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lang w:val="zh-CN" w:eastAsia="zh-CN"/>
              </w:rPr>
              <w:t>云南博瑞纸业有限公司新建浸胶纸生产项目</w:t>
            </w:r>
            <w:r>
              <w:rPr>
                <w:rFonts w:hint="eastAsia" w:cs="Times New Roman"/>
                <w:b/>
                <w:bCs/>
                <w:color w:val="auto"/>
                <w:szCs w:val="21"/>
                <w:highlight w:val="none"/>
                <w:lang w:val="en-US" w:eastAsia="zh-CN"/>
              </w:rPr>
              <w:t>甲醛</w:t>
            </w:r>
            <w:r>
              <w:rPr>
                <w:rFonts w:hint="eastAsia" w:ascii="Times New Roman" w:hAnsi="Times New Roman" w:eastAsia="宋体" w:cs="Times New Roman"/>
                <w:b/>
                <w:bCs/>
                <w:color w:val="auto"/>
                <w:szCs w:val="21"/>
                <w:highlight w:val="none"/>
                <w:lang w:val="en-US" w:eastAsia="zh-CN"/>
              </w:rPr>
              <w:t>检测</w:t>
            </w:r>
            <w:r>
              <w:rPr>
                <w:rFonts w:hint="default" w:ascii="Times New Roman" w:hAnsi="Times New Roman" w:eastAsia="宋体" w:cs="Times New Roman"/>
                <w:b/>
                <w:bCs/>
                <w:color w:val="auto"/>
                <w:sz w:val="21"/>
                <w:szCs w:val="21"/>
                <w:highlight w:val="none"/>
              </w:rPr>
              <w:t>结果</w:t>
            </w:r>
          </w:p>
          <w:tbl>
            <w:tblPr>
              <w:tblStyle w:val="31"/>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214"/>
              <w:gridCol w:w="2214"/>
              <w:gridCol w:w="2214"/>
            </w:tblGrid>
            <w:tr w14:paraId="492B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Align w:val="top"/>
                </w:tcPr>
                <w:p w14:paraId="1059EE9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rPr>
                    <w:t>检测点位</w:t>
                  </w:r>
                </w:p>
              </w:tc>
              <w:tc>
                <w:tcPr>
                  <w:tcW w:w="2214" w:type="dxa"/>
                  <w:vAlign w:val="top"/>
                </w:tcPr>
                <w:p w14:paraId="50B5FF3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rPr>
                    <w:t>采样日期</w:t>
                  </w:r>
                </w:p>
              </w:tc>
              <w:tc>
                <w:tcPr>
                  <w:tcW w:w="2214" w:type="dxa"/>
                  <w:vAlign w:val="top"/>
                </w:tcPr>
                <w:p w14:paraId="5A74B64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rPr>
                    <w:t>时间</w:t>
                  </w:r>
                </w:p>
              </w:tc>
              <w:tc>
                <w:tcPr>
                  <w:tcW w:w="2214" w:type="dxa"/>
                  <w:vAlign w:val="top"/>
                </w:tcPr>
                <w:p w14:paraId="049D17B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rPr>
                    <w:t>甲醛</w:t>
                  </w:r>
                </w:p>
              </w:tc>
            </w:tr>
            <w:tr w14:paraId="04EE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restart"/>
                  <w:vAlign w:val="top"/>
                </w:tcPr>
                <w:p w14:paraId="59EB87E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p w14:paraId="0230AB2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云南博瑞纸业有限公司新建浸胶纸生产项 目厂界上风向</w:t>
                  </w:r>
                </w:p>
              </w:tc>
              <w:tc>
                <w:tcPr>
                  <w:tcW w:w="2214" w:type="dxa"/>
                  <w:vMerge w:val="restart"/>
                  <w:vAlign w:val="top"/>
                </w:tcPr>
                <w:p w14:paraId="0EA09B8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p w14:paraId="69C6432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2022.6.9</w:t>
                  </w:r>
                </w:p>
              </w:tc>
              <w:tc>
                <w:tcPr>
                  <w:tcW w:w="2214" w:type="dxa"/>
                  <w:vAlign w:val="top"/>
                </w:tcPr>
                <w:p w14:paraId="1847602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08:06~08:26</w:t>
                  </w:r>
                </w:p>
              </w:tc>
              <w:tc>
                <w:tcPr>
                  <w:tcW w:w="2214" w:type="dxa"/>
                  <w:vAlign w:val="top"/>
                </w:tcPr>
                <w:p w14:paraId="3C70310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0.03</w:t>
                  </w:r>
                </w:p>
              </w:tc>
            </w:tr>
            <w:tr w14:paraId="3D54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vAlign w:val="top"/>
                </w:tcPr>
                <w:p w14:paraId="5BAABAF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p>
              </w:tc>
              <w:tc>
                <w:tcPr>
                  <w:tcW w:w="2214" w:type="dxa"/>
                  <w:vMerge w:val="continue"/>
                  <w:vAlign w:val="top"/>
                </w:tcPr>
                <w:p w14:paraId="639E888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p>
              </w:tc>
              <w:tc>
                <w:tcPr>
                  <w:tcW w:w="2214" w:type="dxa"/>
                  <w:vAlign w:val="top"/>
                </w:tcPr>
                <w:p w14:paraId="2E3AE7E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08:40~09:00</w:t>
                  </w:r>
                </w:p>
              </w:tc>
              <w:tc>
                <w:tcPr>
                  <w:tcW w:w="2214" w:type="dxa"/>
                  <w:vAlign w:val="top"/>
                </w:tcPr>
                <w:p w14:paraId="483B2E7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0.04</w:t>
                  </w:r>
                </w:p>
              </w:tc>
            </w:tr>
            <w:tr w14:paraId="2A21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vAlign w:val="top"/>
                </w:tcPr>
                <w:p w14:paraId="50763AC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p>
              </w:tc>
              <w:tc>
                <w:tcPr>
                  <w:tcW w:w="2214" w:type="dxa"/>
                  <w:vMerge w:val="continue"/>
                  <w:vAlign w:val="top"/>
                </w:tcPr>
                <w:p w14:paraId="3BE97A3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p>
              </w:tc>
              <w:tc>
                <w:tcPr>
                  <w:tcW w:w="2214" w:type="dxa"/>
                  <w:vAlign w:val="top"/>
                </w:tcPr>
                <w:p w14:paraId="5BA4CD3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09:23~09:43</w:t>
                  </w:r>
                </w:p>
              </w:tc>
              <w:tc>
                <w:tcPr>
                  <w:tcW w:w="2214" w:type="dxa"/>
                  <w:vAlign w:val="top"/>
                </w:tcPr>
                <w:p w14:paraId="6B2E6FF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0.02</w:t>
                  </w:r>
                </w:p>
              </w:tc>
            </w:tr>
            <w:tr w14:paraId="6FAF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3" w:type="dxa"/>
                  <w:vMerge w:val="continue"/>
                  <w:vAlign w:val="top"/>
                </w:tcPr>
                <w:p w14:paraId="1561816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p>
              </w:tc>
              <w:tc>
                <w:tcPr>
                  <w:tcW w:w="2214" w:type="dxa"/>
                  <w:vMerge w:val="restart"/>
                  <w:vAlign w:val="top"/>
                </w:tcPr>
                <w:p w14:paraId="3A4D056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p>
                <w:p w14:paraId="15CCA8B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2022.6.9</w:t>
                  </w:r>
                </w:p>
              </w:tc>
              <w:tc>
                <w:tcPr>
                  <w:tcW w:w="2214" w:type="dxa"/>
                  <w:vAlign w:val="top"/>
                </w:tcPr>
                <w:p w14:paraId="45E7E37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08:03~08:23</w:t>
                  </w:r>
                </w:p>
              </w:tc>
              <w:tc>
                <w:tcPr>
                  <w:tcW w:w="2214" w:type="dxa"/>
                  <w:vAlign w:val="top"/>
                </w:tcPr>
                <w:p w14:paraId="6206245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0.04</w:t>
                  </w:r>
                </w:p>
              </w:tc>
            </w:tr>
            <w:tr w14:paraId="6FF0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vAlign w:val="top"/>
                </w:tcPr>
                <w:p w14:paraId="301B43B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p>
              </w:tc>
              <w:tc>
                <w:tcPr>
                  <w:tcW w:w="2214" w:type="dxa"/>
                  <w:vMerge w:val="continue"/>
                  <w:vAlign w:val="top"/>
                </w:tcPr>
                <w:p w14:paraId="4D9AED5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p>
              </w:tc>
              <w:tc>
                <w:tcPr>
                  <w:tcW w:w="2214" w:type="dxa"/>
                  <w:vAlign w:val="top"/>
                </w:tcPr>
                <w:p w14:paraId="0DC4089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08:41~09:01</w:t>
                  </w:r>
                </w:p>
              </w:tc>
              <w:tc>
                <w:tcPr>
                  <w:tcW w:w="2214" w:type="dxa"/>
                  <w:vAlign w:val="top"/>
                </w:tcPr>
                <w:p w14:paraId="490C21D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0.03</w:t>
                  </w:r>
                </w:p>
              </w:tc>
            </w:tr>
            <w:tr w14:paraId="6A0B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dxa"/>
                  <w:vMerge w:val="continue"/>
                  <w:vAlign w:val="top"/>
                </w:tcPr>
                <w:p w14:paraId="4BE67E6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p>
              </w:tc>
              <w:tc>
                <w:tcPr>
                  <w:tcW w:w="2214" w:type="dxa"/>
                  <w:vMerge w:val="continue"/>
                  <w:vAlign w:val="top"/>
                </w:tcPr>
                <w:p w14:paraId="775336C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p>
              </w:tc>
              <w:tc>
                <w:tcPr>
                  <w:tcW w:w="2214" w:type="dxa"/>
                  <w:vAlign w:val="top"/>
                </w:tcPr>
                <w:p w14:paraId="6D152C5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09: 19~09:39</w:t>
                  </w:r>
                </w:p>
              </w:tc>
              <w:tc>
                <w:tcPr>
                  <w:tcW w:w="2214" w:type="dxa"/>
                  <w:vAlign w:val="top"/>
                </w:tcPr>
                <w:p w14:paraId="0BB10DF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0.03</w:t>
                  </w:r>
                </w:p>
              </w:tc>
            </w:tr>
            <w:tr w14:paraId="5CF3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gridSpan w:val="3"/>
                  <w:vAlign w:val="center"/>
                </w:tcPr>
                <w:p w14:paraId="56CF346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标准值</w:t>
                  </w:r>
                </w:p>
              </w:tc>
              <w:tc>
                <w:tcPr>
                  <w:tcW w:w="2214" w:type="dxa"/>
                  <w:vAlign w:val="center"/>
                </w:tcPr>
                <w:p w14:paraId="5B68FB1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r>
            <w:tr w14:paraId="1B83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1" w:type="dxa"/>
                  <w:gridSpan w:val="3"/>
                  <w:vAlign w:val="center"/>
                </w:tcPr>
                <w:p w14:paraId="2BEB0D5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达标情况</w:t>
                  </w:r>
                </w:p>
              </w:tc>
              <w:tc>
                <w:tcPr>
                  <w:tcW w:w="2214" w:type="dxa"/>
                  <w:vAlign w:val="center"/>
                </w:tcPr>
                <w:p w14:paraId="5885331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bl>
          <w:p w14:paraId="0C027C12">
            <w:pPr>
              <w:pStyle w:val="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zh-CN"/>
              </w:rPr>
              <w:t>表</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zh-CN"/>
              </w:rPr>
              <w:t>寻甸年加工喷涂铝板30万平方米项目</w:t>
            </w:r>
            <w:r>
              <w:rPr>
                <w:rFonts w:hint="default" w:ascii="Times New Roman" w:hAnsi="Times New Roman" w:eastAsia="宋体" w:cs="Times New Roman"/>
                <w:b/>
                <w:bCs/>
                <w:color w:val="auto"/>
                <w:sz w:val="21"/>
                <w:szCs w:val="21"/>
                <w:highlight w:val="none"/>
              </w:rPr>
              <w:t>厂址内</w:t>
            </w:r>
            <w:r>
              <w:rPr>
                <w:rFonts w:hint="default" w:ascii="Times New Roman" w:hAnsi="Times New Roman" w:eastAsia="宋体" w:cs="Times New Roman"/>
                <w:b/>
                <w:bCs/>
                <w:color w:val="auto"/>
                <w:sz w:val="21"/>
                <w:szCs w:val="21"/>
                <w:highlight w:val="none"/>
                <w:lang w:val="en-US" w:eastAsia="zh-CN"/>
              </w:rPr>
              <w:t>TSP、NOx、TVOC</w:t>
            </w:r>
            <w:r>
              <w:rPr>
                <w:rFonts w:hint="eastAsia" w:ascii="Times New Roman" w:hAnsi="Times New Roman" w:eastAsia="宋体" w:cs="Times New Roman"/>
                <w:b/>
                <w:bCs/>
                <w:color w:val="auto"/>
                <w:szCs w:val="21"/>
                <w:highlight w:val="none"/>
                <w:lang w:val="en-US" w:eastAsia="zh-CN"/>
              </w:rPr>
              <w:t>现状检测</w:t>
            </w:r>
            <w:r>
              <w:rPr>
                <w:rFonts w:hint="default" w:ascii="Times New Roman" w:hAnsi="Times New Roman" w:eastAsia="宋体" w:cs="Times New Roman"/>
                <w:b/>
                <w:bCs/>
                <w:color w:val="auto"/>
                <w:sz w:val="21"/>
                <w:szCs w:val="21"/>
                <w:highlight w:val="none"/>
              </w:rPr>
              <w:t>结果</w:t>
            </w:r>
          </w:p>
          <w:tbl>
            <w:tblPr>
              <w:tblStyle w:val="30"/>
              <w:tblW w:w="8846"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080"/>
              <w:gridCol w:w="1208"/>
              <w:gridCol w:w="1321"/>
              <w:gridCol w:w="2080"/>
              <w:gridCol w:w="1311"/>
            </w:tblGrid>
            <w:tr w14:paraId="7F8BB01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tcBorders>
                    <w:tl2br w:val="nil"/>
                    <w:tr2bl w:val="nil"/>
                  </w:tcBorders>
                  <w:noWrap w:val="0"/>
                  <w:vAlign w:val="center"/>
                </w:tcPr>
                <w:p w14:paraId="63F5BD9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w:t>
                  </w:r>
                </w:p>
              </w:tc>
              <w:tc>
                <w:tcPr>
                  <w:tcW w:w="2080" w:type="dxa"/>
                  <w:tcBorders>
                    <w:tl2br w:val="nil"/>
                    <w:tr2bl w:val="nil"/>
                  </w:tcBorders>
                  <w:noWrap w:val="0"/>
                  <w:vAlign w:val="center"/>
                </w:tcPr>
                <w:p w14:paraId="25956DC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采样日期</w:t>
                  </w:r>
                </w:p>
              </w:tc>
              <w:tc>
                <w:tcPr>
                  <w:tcW w:w="1208" w:type="dxa"/>
                  <w:tcBorders>
                    <w:tl2br w:val="nil"/>
                    <w:tr2bl w:val="nil"/>
                  </w:tcBorders>
                  <w:noWrap w:val="0"/>
                  <w:vAlign w:val="center"/>
                </w:tcPr>
                <w:p w14:paraId="3B7E80E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TSP（</w:t>
                  </w:r>
                  <w:r>
                    <w:rPr>
                      <w:rFonts w:hint="eastAsia" w:ascii="Times New Roman" w:hAnsi="Times New Roman" w:eastAsia="宋体" w:cs="Times New Roman"/>
                      <w:b/>
                      <w:bCs/>
                      <w:color w:val="auto"/>
                      <w:sz w:val="21"/>
                      <w:szCs w:val="21"/>
                      <w:highlight w:val="none"/>
                      <w:lang w:val="en-US" w:eastAsia="zh-CN"/>
                    </w:rPr>
                    <w:t>ug/m</w:t>
                  </w:r>
                  <w:r>
                    <w:rPr>
                      <w:rFonts w:hint="eastAsia"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rPr>
                    <w:t>）</w:t>
                  </w:r>
                </w:p>
              </w:tc>
              <w:tc>
                <w:tcPr>
                  <w:tcW w:w="1321" w:type="dxa"/>
                  <w:tcBorders>
                    <w:tl2br w:val="nil"/>
                    <w:tr2bl w:val="nil"/>
                  </w:tcBorders>
                  <w:noWrap w:val="0"/>
                  <w:vAlign w:val="center"/>
                </w:tcPr>
                <w:p w14:paraId="13B4D42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TVOC</w:t>
                  </w:r>
                  <w:r>
                    <w:rPr>
                      <w:rFonts w:hint="eastAsia"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ug/m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cs="Times New Roman"/>
                      <w:b/>
                      <w:bCs/>
                      <w:color w:val="auto"/>
                      <w:sz w:val="21"/>
                      <w:szCs w:val="21"/>
                      <w:highlight w:val="none"/>
                      <w:lang w:val="en-US" w:eastAsia="zh-CN"/>
                    </w:rPr>
                    <w:t>）</w:t>
                  </w:r>
                </w:p>
              </w:tc>
              <w:tc>
                <w:tcPr>
                  <w:tcW w:w="2080" w:type="dxa"/>
                  <w:tcBorders>
                    <w:tl2br w:val="nil"/>
                    <w:tr2bl w:val="nil"/>
                  </w:tcBorders>
                  <w:noWrap w:val="0"/>
                  <w:vAlign w:val="center"/>
                </w:tcPr>
                <w:p w14:paraId="267B62D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采样日期</w:t>
                  </w:r>
                </w:p>
              </w:tc>
              <w:tc>
                <w:tcPr>
                  <w:tcW w:w="1311" w:type="dxa"/>
                  <w:tcBorders>
                    <w:tl2br w:val="nil"/>
                    <w:tr2bl w:val="nil"/>
                  </w:tcBorders>
                  <w:noWrap w:val="0"/>
                  <w:vAlign w:val="center"/>
                </w:tcPr>
                <w:p w14:paraId="6A2792D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NOx</w:t>
                  </w:r>
                  <w:r>
                    <w:rPr>
                      <w:rFonts w:hint="eastAsia"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ug/m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cs="Times New Roman"/>
                      <w:b/>
                      <w:bCs/>
                      <w:color w:val="auto"/>
                      <w:sz w:val="21"/>
                      <w:szCs w:val="21"/>
                      <w:highlight w:val="none"/>
                      <w:lang w:val="en-US" w:eastAsia="zh-CN"/>
                    </w:rPr>
                    <w:t>）</w:t>
                  </w:r>
                </w:p>
              </w:tc>
            </w:tr>
            <w:tr w14:paraId="7FB3744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restart"/>
                  <w:tcBorders>
                    <w:tl2br w:val="nil"/>
                    <w:tr2bl w:val="nil"/>
                  </w:tcBorders>
                  <w:noWrap w:val="0"/>
                  <w:vAlign w:val="center"/>
                </w:tcPr>
                <w:p w14:paraId="343F827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zh-CN"/>
                    </w:rPr>
                    <w:t>寻甸年加工喷涂铝板30万平方米项目</w:t>
                  </w:r>
                  <w:r>
                    <w:rPr>
                      <w:rFonts w:hint="default" w:ascii="Times New Roman" w:hAnsi="Times New Roman" w:eastAsia="宋体" w:cs="Times New Roman"/>
                      <w:bCs/>
                      <w:color w:val="auto"/>
                      <w:sz w:val="21"/>
                      <w:szCs w:val="21"/>
                      <w:highlight w:val="none"/>
                    </w:rPr>
                    <w:t>厂址内（1</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w:t>
                  </w:r>
                </w:p>
              </w:tc>
              <w:tc>
                <w:tcPr>
                  <w:tcW w:w="2080" w:type="dxa"/>
                  <w:vMerge w:val="restart"/>
                  <w:tcBorders>
                    <w:tl2br w:val="nil"/>
                    <w:tr2bl w:val="nil"/>
                  </w:tcBorders>
                  <w:noWrap w:val="0"/>
                  <w:vAlign w:val="center"/>
                </w:tcPr>
                <w:p w14:paraId="226C2E3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22~</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6-23</w:t>
                  </w:r>
                </w:p>
              </w:tc>
              <w:tc>
                <w:tcPr>
                  <w:tcW w:w="1208" w:type="dxa"/>
                  <w:tcBorders>
                    <w:tl2br w:val="nil"/>
                    <w:tr2bl w:val="nil"/>
                  </w:tcBorders>
                  <w:noWrap w:val="0"/>
                  <w:vAlign w:val="center"/>
                </w:tcPr>
                <w:p w14:paraId="09B97A7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w:t>
                  </w:r>
                </w:p>
              </w:tc>
              <w:tc>
                <w:tcPr>
                  <w:tcW w:w="1321" w:type="dxa"/>
                  <w:tcBorders>
                    <w:tl2br w:val="nil"/>
                    <w:tr2bl w:val="nil"/>
                  </w:tcBorders>
                  <w:noWrap w:val="0"/>
                  <w:vAlign w:val="center"/>
                </w:tcPr>
                <w:p w14:paraId="239A275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116</w:t>
                  </w:r>
                </w:p>
              </w:tc>
              <w:tc>
                <w:tcPr>
                  <w:tcW w:w="2080" w:type="dxa"/>
                  <w:vMerge w:val="restart"/>
                  <w:tcBorders>
                    <w:tl2br w:val="nil"/>
                    <w:tr2bl w:val="nil"/>
                  </w:tcBorders>
                  <w:noWrap w:val="0"/>
                  <w:vAlign w:val="center"/>
                </w:tcPr>
                <w:p w14:paraId="06D27EE8">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20~</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9-21</w:t>
                  </w:r>
                </w:p>
              </w:tc>
              <w:tc>
                <w:tcPr>
                  <w:tcW w:w="1311" w:type="dxa"/>
                  <w:tcBorders>
                    <w:tl2br w:val="nil"/>
                    <w:tr2bl w:val="nil"/>
                  </w:tcBorders>
                  <w:noWrap w:val="0"/>
                  <w:vAlign w:val="center"/>
                </w:tcPr>
                <w:p w14:paraId="19D8252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w:t>
                  </w:r>
                </w:p>
              </w:tc>
            </w:tr>
            <w:tr w14:paraId="314CB1E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3535100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436821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restart"/>
                  <w:tcBorders>
                    <w:tl2br w:val="nil"/>
                    <w:tr2bl w:val="nil"/>
                  </w:tcBorders>
                  <w:noWrap w:val="0"/>
                  <w:vAlign w:val="center"/>
                </w:tcPr>
                <w:p w14:paraId="4B0E12B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1" w:type="dxa"/>
                  <w:tcBorders>
                    <w:tl2br w:val="nil"/>
                    <w:tr2bl w:val="nil"/>
                  </w:tcBorders>
                  <w:noWrap w:val="0"/>
                  <w:vAlign w:val="center"/>
                </w:tcPr>
                <w:p w14:paraId="476EA9A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162</w:t>
                  </w:r>
                </w:p>
              </w:tc>
              <w:tc>
                <w:tcPr>
                  <w:tcW w:w="2080" w:type="dxa"/>
                  <w:vMerge w:val="continue"/>
                  <w:tcBorders>
                    <w:tl2br w:val="nil"/>
                    <w:tr2bl w:val="nil"/>
                  </w:tcBorders>
                  <w:noWrap w:val="0"/>
                  <w:vAlign w:val="center"/>
                </w:tcPr>
                <w:p w14:paraId="2CF81FE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restart"/>
                  <w:tcBorders>
                    <w:tl2br w:val="nil"/>
                    <w:tr2bl w:val="nil"/>
                  </w:tcBorders>
                  <w:noWrap w:val="0"/>
                  <w:vAlign w:val="center"/>
                </w:tcPr>
                <w:p w14:paraId="52A4B2A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D25491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4AAF789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26759EC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074FCE5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015030D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143</w:t>
                  </w:r>
                </w:p>
              </w:tc>
              <w:tc>
                <w:tcPr>
                  <w:tcW w:w="2080" w:type="dxa"/>
                  <w:vMerge w:val="continue"/>
                  <w:tcBorders>
                    <w:tl2br w:val="nil"/>
                    <w:tr2bl w:val="nil"/>
                  </w:tcBorders>
                  <w:noWrap w:val="0"/>
                  <w:vAlign w:val="center"/>
                </w:tcPr>
                <w:p w14:paraId="5F80CD6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60B0126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2D32B4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46829E5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1E3AA9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7951DA4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51281CF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115</w:t>
                  </w:r>
                </w:p>
              </w:tc>
              <w:tc>
                <w:tcPr>
                  <w:tcW w:w="2080" w:type="dxa"/>
                  <w:vMerge w:val="continue"/>
                  <w:tcBorders>
                    <w:tl2br w:val="nil"/>
                    <w:tr2bl w:val="nil"/>
                  </w:tcBorders>
                  <w:noWrap w:val="0"/>
                  <w:vAlign w:val="center"/>
                </w:tcPr>
                <w:p w14:paraId="201E086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5159729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6129E74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65D1FD6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B850A2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56A0A03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5F92CF9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136</w:t>
                  </w:r>
                </w:p>
              </w:tc>
              <w:tc>
                <w:tcPr>
                  <w:tcW w:w="2080" w:type="dxa"/>
                  <w:vMerge w:val="continue"/>
                  <w:tcBorders>
                    <w:tl2br w:val="nil"/>
                    <w:tr2bl w:val="nil"/>
                  </w:tcBorders>
                  <w:noWrap w:val="0"/>
                  <w:vAlign w:val="center"/>
                </w:tcPr>
                <w:p w14:paraId="15A6108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274F9CE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16E6B15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6719A74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241135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717EEF0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74E1940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132</w:t>
                  </w:r>
                </w:p>
              </w:tc>
              <w:tc>
                <w:tcPr>
                  <w:tcW w:w="2080" w:type="dxa"/>
                  <w:vMerge w:val="continue"/>
                  <w:tcBorders>
                    <w:tl2br w:val="nil"/>
                    <w:tr2bl w:val="nil"/>
                  </w:tcBorders>
                  <w:noWrap w:val="0"/>
                  <w:vAlign w:val="center"/>
                </w:tcPr>
                <w:p w14:paraId="7199BEE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7B21716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087E04C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1453030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A8AA40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5E8E9B8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71A1EB8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131</w:t>
                  </w:r>
                </w:p>
              </w:tc>
              <w:tc>
                <w:tcPr>
                  <w:tcW w:w="2080" w:type="dxa"/>
                  <w:vMerge w:val="continue"/>
                  <w:tcBorders>
                    <w:tl2br w:val="nil"/>
                    <w:tr2bl w:val="nil"/>
                  </w:tcBorders>
                  <w:noWrap w:val="0"/>
                  <w:vAlign w:val="center"/>
                </w:tcPr>
                <w:p w14:paraId="0AFBC2D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3295996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4EB7001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6EBE6D2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3D97F5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74FA1E5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4766E1F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133</w:t>
                  </w:r>
                </w:p>
              </w:tc>
              <w:tc>
                <w:tcPr>
                  <w:tcW w:w="2080" w:type="dxa"/>
                  <w:vMerge w:val="continue"/>
                  <w:tcBorders>
                    <w:tl2br w:val="nil"/>
                    <w:tr2bl w:val="nil"/>
                  </w:tcBorders>
                  <w:noWrap w:val="0"/>
                  <w:vAlign w:val="center"/>
                </w:tcPr>
                <w:p w14:paraId="01154CC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3E974D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244C52B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71DB243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254CA9F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23~</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6-24</w:t>
                  </w:r>
                </w:p>
              </w:tc>
              <w:tc>
                <w:tcPr>
                  <w:tcW w:w="1208" w:type="dxa"/>
                  <w:tcBorders>
                    <w:tl2br w:val="nil"/>
                    <w:tr2bl w:val="nil"/>
                  </w:tcBorders>
                  <w:noWrap w:val="0"/>
                  <w:vAlign w:val="center"/>
                </w:tcPr>
                <w:p w14:paraId="6444CE3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w:t>
                  </w:r>
                </w:p>
              </w:tc>
              <w:tc>
                <w:tcPr>
                  <w:tcW w:w="1321" w:type="dxa"/>
                  <w:tcBorders>
                    <w:tl2br w:val="nil"/>
                    <w:tr2bl w:val="nil"/>
                  </w:tcBorders>
                  <w:noWrap w:val="0"/>
                  <w:vAlign w:val="center"/>
                </w:tcPr>
                <w:p w14:paraId="2BF4C5C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150</w:t>
                  </w:r>
                </w:p>
              </w:tc>
              <w:tc>
                <w:tcPr>
                  <w:tcW w:w="2080" w:type="dxa"/>
                  <w:vMerge w:val="restart"/>
                  <w:tcBorders>
                    <w:tl2br w:val="nil"/>
                    <w:tr2bl w:val="nil"/>
                  </w:tcBorders>
                  <w:noWrap w:val="0"/>
                  <w:vAlign w:val="center"/>
                </w:tcPr>
                <w:p w14:paraId="1AF9FD77">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21~</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9-22</w:t>
                  </w:r>
                </w:p>
              </w:tc>
              <w:tc>
                <w:tcPr>
                  <w:tcW w:w="1311" w:type="dxa"/>
                  <w:tcBorders>
                    <w:tl2br w:val="nil"/>
                    <w:tr2bl w:val="nil"/>
                  </w:tcBorders>
                  <w:noWrap w:val="0"/>
                  <w:vAlign w:val="center"/>
                </w:tcPr>
                <w:p w14:paraId="0A30DF8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r>
            <w:tr w14:paraId="0301AD3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09BFAE2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019786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restart"/>
                  <w:tcBorders>
                    <w:tl2br w:val="nil"/>
                    <w:tr2bl w:val="nil"/>
                  </w:tcBorders>
                  <w:noWrap w:val="0"/>
                  <w:vAlign w:val="center"/>
                </w:tcPr>
                <w:p w14:paraId="12F5703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1" w:type="dxa"/>
                  <w:tcBorders>
                    <w:tl2br w:val="nil"/>
                    <w:tr2bl w:val="nil"/>
                  </w:tcBorders>
                  <w:noWrap w:val="0"/>
                  <w:vAlign w:val="center"/>
                </w:tcPr>
                <w:p w14:paraId="77BA734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204</w:t>
                  </w:r>
                </w:p>
              </w:tc>
              <w:tc>
                <w:tcPr>
                  <w:tcW w:w="2080" w:type="dxa"/>
                  <w:vMerge w:val="continue"/>
                  <w:tcBorders>
                    <w:tl2br w:val="nil"/>
                    <w:tr2bl w:val="nil"/>
                  </w:tcBorders>
                  <w:noWrap w:val="0"/>
                  <w:vAlign w:val="center"/>
                </w:tcPr>
                <w:p w14:paraId="2403D94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restart"/>
                  <w:tcBorders>
                    <w:tl2br w:val="nil"/>
                    <w:tr2bl w:val="nil"/>
                  </w:tcBorders>
                  <w:noWrap w:val="0"/>
                  <w:vAlign w:val="center"/>
                </w:tcPr>
                <w:p w14:paraId="581C3D0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5A7FD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2445808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28B46C8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011966A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03A6A7E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243</w:t>
                  </w:r>
                </w:p>
              </w:tc>
              <w:tc>
                <w:tcPr>
                  <w:tcW w:w="2080" w:type="dxa"/>
                  <w:vMerge w:val="continue"/>
                  <w:tcBorders>
                    <w:tl2br w:val="nil"/>
                    <w:tr2bl w:val="nil"/>
                  </w:tcBorders>
                  <w:noWrap w:val="0"/>
                  <w:vAlign w:val="center"/>
                </w:tcPr>
                <w:p w14:paraId="0EAFE94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45CD7D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410E6A2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443F491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F5BDB7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3364A28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6769E89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196</w:t>
                  </w:r>
                </w:p>
              </w:tc>
              <w:tc>
                <w:tcPr>
                  <w:tcW w:w="2080" w:type="dxa"/>
                  <w:vMerge w:val="continue"/>
                  <w:tcBorders>
                    <w:tl2br w:val="nil"/>
                    <w:tr2bl w:val="nil"/>
                  </w:tcBorders>
                  <w:noWrap w:val="0"/>
                  <w:vAlign w:val="center"/>
                </w:tcPr>
                <w:p w14:paraId="55F3EAB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6A7043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13DD5F0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C02616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85B5CC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6358D85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763FF0B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286</w:t>
                  </w:r>
                </w:p>
              </w:tc>
              <w:tc>
                <w:tcPr>
                  <w:tcW w:w="2080" w:type="dxa"/>
                  <w:vMerge w:val="continue"/>
                  <w:tcBorders>
                    <w:tl2br w:val="nil"/>
                    <w:tr2bl w:val="nil"/>
                  </w:tcBorders>
                  <w:noWrap w:val="0"/>
                  <w:vAlign w:val="center"/>
                </w:tcPr>
                <w:p w14:paraId="5BEE038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7160D03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33AB1CF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488A8B5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6B3AFB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5261290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0F43CA9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147</w:t>
                  </w:r>
                </w:p>
              </w:tc>
              <w:tc>
                <w:tcPr>
                  <w:tcW w:w="2080" w:type="dxa"/>
                  <w:vMerge w:val="continue"/>
                  <w:tcBorders>
                    <w:tl2br w:val="nil"/>
                    <w:tr2bl w:val="nil"/>
                  </w:tcBorders>
                  <w:noWrap w:val="0"/>
                  <w:vAlign w:val="center"/>
                </w:tcPr>
                <w:p w14:paraId="220CA95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5B3A3D2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406E271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02B1F5A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B32A11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3535DF9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0D6B63B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214</w:t>
                  </w:r>
                </w:p>
              </w:tc>
              <w:tc>
                <w:tcPr>
                  <w:tcW w:w="2080" w:type="dxa"/>
                  <w:vMerge w:val="continue"/>
                  <w:tcBorders>
                    <w:tl2br w:val="nil"/>
                    <w:tr2bl w:val="nil"/>
                  </w:tcBorders>
                  <w:noWrap w:val="0"/>
                  <w:vAlign w:val="center"/>
                </w:tcPr>
                <w:p w14:paraId="6D617B5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52B7CB7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3AFDC45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E347BA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92DE7A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465E9F4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1B42130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208</w:t>
                  </w:r>
                </w:p>
              </w:tc>
              <w:tc>
                <w:tcPr>
                  <w:tcW w:w="2080" w:type="dxa"/>
                  <w:vMerge w:val="continue"/>
                  <w:tcBorders>
                    <w:tl2br w:val="nil"/>
                    <w:tr2bl w:val="nil"/>
                  </w:tcBorders>
                  <w:noWrap w:val="0"/>
                  <w:vAlign w:val="center"/>
                </w:tcPr>
                <w:p w14:paraId="3CCA4C6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2E22FC5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40AF04B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0909157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54436F8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24~</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6-25</w:t>
                  </w:r>
                </w:p>
              </w:tc>
              <w:tc>
                <w:tcPr>
                  <w:tcW w:w="1208" w:type="dxa"/>
                  <w:tcBorders>
                    <w:tl2br w:val="nil"/>
                    <w:tr2bl w:val="nil"/>
                  </w:tcBorders>
                  <w:noWrap w:val="0"/>
                  <w:vAlign w:val="center"/>
                </w:tcPr>
                <w:p w14:paraId="7FDDE6C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w:t>
                  </w:r>
                </w:p>
              </w:tc>
              <w:tc>
                <w:tcPr>
                  <w:tcW w:w="1321" w:type="dxa"/>
                  <w:tcBorders>
                    <w:tl2br w:val="nil"/>
                    <w:tr2bl w:val="nil"/>
                  </w:tcBorders>
                  <w:noWrap w:val="0"/>
                  <w:vAlign w:val="center"/>
                </w:tcPr>
                <w:p w14:paraId="297A6FA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224</w:t>
                  </w:r>
                </w:p>
              </w:tc>
              <w:tc>
                <w:tcPr>
                  <w:tcW w:w="2080" w:type="dxa"/>
                  <w:vMerge w:val="restart"/>
                  <w:tcBorders>
                    <w:tl2br w:val="nil"/>
                    <w:tr2bl w:val="nil"/>
                  </w:tcBorders>
                  <w:noWrap w:val="0"/>
                  <w:vAlign w:val="center"/>
                </w:tcPr>
                <w:p w14:paraId="31E88B6F">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22~</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9-23</w:t>
                  </w:r>
                </w:p>
              </w:tc>
              <w:tc>
                <w:tcPr>
                  <w:tcW w:w="1311" w:type="dxa"/>
                  <w:tcBorders>
                    <w:tl2br w:val="nil"/>
                    <w:tr2bl w:val="nil"/>
                  </w:tcBorders>
                  <w:noWrap w:val="0"/>
                  <w:vAlign w:val="center"/>
                </w:tcPr>
                <w:p w14:paraId="06B2F3A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r>
            <w:tr w14:paraId="6342FDC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203ECA7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7E927A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restart"/>
                  <w:tcBorders>
                    <w:tl2br w:val="nil"/>
                    <w:tr2bl w:val="nil"/>
                  </w:tcBorders>
                  <w:noWrap w:val="0"/>
                  <w:vAlign w:val="center"/>
                </w:tcPr>
                <w:p w14:paraId="3E38ABF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1" w:type="dxa"/>
                  <w:tcBorders>
                    <w:tl2br w:val="nil"/>
                    <w:tr2bl w:val="nil"/>
                  </w:tcBorders>
                  <w:noWrap w:val="0"/>
                  <w:vAlign w:val="center"/>
                </w:tcPr>
                <w:p w14:paraId="1A1A010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189</w:t>
                  </w:r>
                </w:p>
              </w:tc>
              <w:tc>
                <w:tcPr>
                  <w:tcW w:w="2080" w:type="dxa"/>
                  <w:vMerge w:val="continue"/>
                  <w:tcBorders>
                    <w:tl2br w:val="nil"/>
                    <w:tr2bl w:val="nil"/>
                  </w:tcBorders>
                  <w:noWrap w:val="0"/>
                  <w:vAlign w:val="center"/>
                </w:tcPr>
                <w:p w14:paraId="3F683F4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restart"/>
                  <w:tcBorders>
                    <w:tl2br w:val="nil"/>
                    <w:tr2bl w:val="nil"/>
                  </w:tcBorders>
                  <w:noWrap w:val="0"/>
                  <w:vAlign w:val="center"/>
                </w:tcPr>
                <w:p w14:paraId="76CE50B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EA70E0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033E089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ACE201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5A235AE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6C69D9B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185</w:t>
                  </w:r>
                </w:p>
              </w:tc>
              <w:tc>
                <w:tcPr>
                  <w:tcW w:w="2080" w:type="dxa"/>
                  <w:vMerge w:val="continue"/>
                  <w:tcBorders>
                    <w:tl2br w:val="nil"/>
                    <w:tr2bl w:val="nil"/>
                  </w:tcBorders>
                  <w:noWrap w:val="0"/>
                  <w:vAlign w:val="center"/>
                </w:tcPr>
                <w:p w14:paraId="7766F36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C6ED0C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2062592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A3DA3C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7AB20D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2299340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59EA8C0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207</w:t>
                  </w:r>
                </w:p>
              </w:tc>
              <w:tc>
                <w:tcPr>
                  <w:tcW w:w="2080" w:type="dxa"/>
                  <w:vMerge w:val="continue"/>
                  <w:tcBorders>
                    <w:tl2br w:val="nil"/>
                    <w:tr2bl w:val="nil"/>
                  </w:tcBorders>
                  <w:noWrap w:val="0"/>
                  <w:vAlign w:val="center"/>
                </w:tcPr>
                <w:p w14:paraId="1F3FE45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623BD7D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5012104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2494776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C9BFA0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6DCE6CD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789A7D2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211</w:t>
                  </w:r>
                </w:p>
              </w:tc>
              <w:tc>
                <w:tcPr>
                  <w:tcW w:w="2080" w:type="dxa"/>
                  <w:vMerge w:val="continue"/>
                  <w:tcBorders>
                    <w:tl2br w:val="nil"/>
                    <w:tr2bl w:val="nil"/>
                  </w:tcBorders>
                  <w:noWrap w:val="0"/>
                  <w:vAlign w:val="center"/>
                </w:tcPr>
                <w:p w14:paraId="4A8EB6D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E8B88B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50EB985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7137BF0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B4359E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04BBCE6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21F648D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225</w:t>
                  </w:r>
                </w:p>
              </w:tc>
              <w:tc>
                <w:tcPr>
                  <w:tcW w:w="2080" w:type="dxa"/>
                  <w:vMerge w:val="continue"/>
                  <w:tcBorders>
                    <w:tl2br w:val="nil"/>
                    <w:tr2bl w:val="nil"/>
                  </w:tcBorders>
                  <w:noWrap w:val="0"/>
                  <w:vAlign w:val="center"/>
                </w:tcPr>
                <w:p w14:paraId="6063BE5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71C150D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260F8E5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2BC2444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637A3D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54E1EF3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0AC156A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238</w:t>
                  </w:r>
                </w:p>
              </w:tc>
              <w:tc>
                <w:tcPr>
                  <w:tcW w:w="2080" w:type="dxa"/>
                  <w:vMerge w:val="continue"/>
                  <w:tcBorders>
                    <w:tl2br w:val="nil"/>
                    <w:tr2bl w:val="nil"/>
                  </w:tcBorders>
                  <w:noWrap w:val="0"/>
                  <w:vAlign w:val="center"/>
                </w:tcPr>
                <w:p w14:paraId="6C3F778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4AD3B56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17958FB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12F693B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6401D5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06C747D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7558C43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200</w:t>
                  </w:r>
                </w:p>
              </w:tc>
              <w:tc>
                <w:tcPr>
                  <w:tcW w:w="2080" w:type="dxa"/>
                  <w:vMerge w:val="continue"/>
                  <w:tcBorders>
                    <w:tl2br w:val="nil"/>
                    <w:tr2bl w:val="nil"/>
                  </w:tcBorders>
                  <w:noWrap w:val="0"/>
                  <w:vAlign w:val="center"/>
                </w:tcPr>
                <w:p w14:paraId="498F634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74926C0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0FB500B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48D38AE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608C653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6-26</w:t>
                  </w:r>
                </w:p>
              </w:tc>
              <w:tc>
                <w:tcPr>
                  <w:tcW w:w="1208" w:type="dxa"/>
                  <w:tcBorders>
                    <w:tl2br w:val="nil"/>
                    <w:tr2bl w:val="nil"/>
                  </w:tcBorders>
                  <w:noWrap w:val="0"/>
                  <w:vAlign w:val="center"/>
                </w:tcPr>
                <w:p w14:paraId="070E52B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w:t>
                  </w:r>
                </w:p>
              </w:tc>
              <w:tc>
                <w:tcPr>
                  <w:tcW w:w="1321" w:type="dxa"/>
                  <w:tcBorders>
                    <w:tl2br w:val="nil"/>
                    <w:tr2bl w:val="nil"/>
                  </w:tcBorders>
                  <w:noWrap w:val="0"/>
                  <w:vAlign w:val="center"/>
                </w:tcPr>
                <w:p w14:paraId="7554607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216</w:t>
                  </w:r>
                </w:p>
              </w:tc>
              <w:tc>
                <w:tcPr>
                  <w:tcW w:w="2080" w:type="dxa"/>
                  <w:vMerge w:val="restart"/>
                  <w:tcBorders>
                    <w:tl2br w:val="nil"/>
                    <w:tr2bl w:val="nil"/>
                  </w:tcBorders>
                  <w:noWrap w:val="0"/>
                  <w:vAlign w:val="center"/>
                </w:tcPr>
                <w:p w14:paraId="5D7541DE">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23~</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9-24</w:t>
                  </w:r>
                </w:p>
              </w:tc>
              <w:tc>
                <w:tcPr>
                  <w:tcW w:w="1311" w:type="dxa"/>
                  <w:tcBorders>
                    <w:tl2br w:val="nil"/>
                    <w:tr2bl w:val="nil"/>
                  </w:tcBorders>
                  <w:noWrap w:val="0"/>
                  <w:vAlign w:val="center"/>
                </w:tcPr>
                <w:p w14:paraId="054BAC5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w:t>
                  </w:r>
                </w:p>
              </w:tc>
            </w:tr>
            <w:tr w14:paraId="2D418F3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059CBDB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FAD35B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restart"/>
                  <w:tcBorders>
                    <w:tl2br w:val="nil"/>
                    <w:tr2bl w:val="nil"/>
                  </w:tcBorders>
                  <w:noWrap w:val="0"/>
                  <w:vAlign w:val="center"/>
                </w:tcPr>
                <w:p w14:paraId="096D18D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1" w:type="dxa"/>
                  <w:tcBorders>
                    <w:tl2br w:val="nil"/>
                    <w:tr2bl w:val="nil"/>
                  </w:tcBorders>
                  <w:noWrap w:val="0"/>
                  <w:vAlign w:val="center"/>
                </w:tcPr>
                <w:p w14:paraId="7E2662F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192</w:t>
                  </w:r>
                </w:p>
              </w:tc>
              <w:tc>
                <w:tcPr>
                  <w:tcW w:w="2080" w:type="dxa"/>
                  <w:vMerge w:val="continue"/>
                  <w:tcBorders>
                    <w:tl2br w:val="nil"/>
                    <w:tr2bl w:val="nil"/>
                  </w:tcBorders>
                  <w:noWrap w:val="0"/>
                  <w:vAlign w:val="center"/>
                </w:tcPr>
                <w:p w14:paraId="408D9E7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restart"/>
                  <w:tcBorders>
                    <w:tl2br w:val="nil"/>
                    <w:tr2bl w:val="nil"/>
                  </w:tcBorders>
                  <w:noWrap w:val="0"/>
                  <w:vAlign w:val="center"/>
                </w:tcPr>
                <w:p w14:paraId="5E2B133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6FA092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6E637E4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59909C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02E1E51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4DBC538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218</w:t>
                  </w:r>
                </w:p>
              </w:tc>
              <w:tc>
                <w:tcPr>
                  <w:tcW w:w="2080" w:type="dxa"/>
                  <w:vMerge w:val="continue"/>
                  <w:tcBorders>
                    <w:tl2br w:val="nil"/>
                    <w:tr2bl w:val="nil"/>
                  </w:tcBorders>
                  <w:noWrap w:val="0"/>
                  <w:vAlign w:val="center"/>
                </w:tcPr>
                <w:p w14:paraId="5369042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7E444BC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3D17D2F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6E3E547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446A14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167F5CC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3060B67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223</w:t>
                  </w:r>
                </w:p>
              </w:tc>
              <w:tc>
                <w:tcPr>
                  <w:tcW w:w="2080" w:type="dxa"/>
                  <w:vMerge w:val="continue"/>
                  <w:tcBorders>
                    <w:tl2br w:val="nil"/>
                    <w:tr2bl w:val="nil"/>
                  </w:tcBorders>
                  <w:noWrap w:val="0"/>
                  <w:vAlign w:val="center"/>
                </w:tcPr>
                <w:p w14:paraId="2C540AB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592EE74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7F7C509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36F547F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52FFD1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773FFD6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1360301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150</w:t>
                  </w:r>
                </w:p>
              </w:tc>
              <w:tc>
                <w:tcPr>
                  <w:tcW w:w="2080" w:type="dxa"/>
                  <w:vMerge w:val="continue"/>
                  <w:tcBorders>
                    <w:tl2br w:val="nil"/>
                    <w:tr2bl w:val="nil"/>
                  </w:tcBorders>
                  <w:noWrap w:val="0"/>
                  <w:vAlign w:val="center"/>
                </w:tcPr>
                <w:p w14:paraId="7DEB859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390B964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683A861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8C6B7C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8317B1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3A52315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3470BEF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147</w:t>
                  </w:r>
                </w:p>
              </w:tc>
              <w:tc>
                <w:tcPr>
                  <w:tcW w:w="2080" w:type="dxa"/>
                  <w:vMerge w:val="continue"/>
                  <w:tcBorders>
                    <w:tl2br w:val="nil"/>
                    <w:tr2bl w:val="nil"/>
                  </w:tcBorders>
                  <w:noWrap w:val="0"/>
                  <w:vAlign w:val="center"/>
                </w:tcPr>
                <w:p w14:paraId="21BC3C8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0DE154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720823A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3C8DE52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FAE43F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3B1A7B1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046F0BE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191</w:t>
                  </w:r>
                </w:p>
              </w:tc>
              <w:tc>
                <w:tcPr>
                  <w:tcW w:w="2080" w:type="dxa"/>
                  <w:vMerge w:val="continue"/>
                  <w:tcBorders>
                    <w:tl2br w:val="nil"/>
                    <w:tr2bl w:val="nil"/>
                  </w:tcBorders>
                  <w:noWrap w:val="0"/>
                  <w:vAlign w:val="center"/>
                </w:tcPr>
                <w:p w14:paraId="188C365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696CFB9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37A84E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7C71D70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C3276D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78D361B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1FC7FB9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132</w:t>
                  </w:r>
                </w:p>
              </w:tc>
              <w:tc>
                <w:tcPr>
                  <w:tcW w:w="2080" w:type="dxa"/>
                  <w:vMerge w:val="continue"/>
                  <w:tcBorders>
                    <w:tl2br w:val="nil"/>
                    <w:tr2bl w:val="nil"/>
                  </w:tcBorders>
                  <w:noWrap w:val="0"/>
                  <w:vAlign w:val="center"/>
                </w:tcPr>
                <w:p w14:paraId="6EF5C87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430ABA6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0E51551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17E06A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46909EF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26~</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6-27</w:t>
                  </w:r>
                </w:p>
              </w:tc>
              <w:tc>
                <w:tcPr>
                  <w:tcW w:w="1208" w:type="dxa"/>
                  <w:tcBorders>
                    <w:tl2br w:val="nil"/>
                    <w:tr2bl w:val="nil"/>
                  </w:tcBorders>
                  <w:noWrap w:val="0"/>
                  <w:vAlign w:val="center"/>
                </w:tcPr>
                <w:p w14:paraId="0B945E9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w:t>
                  </w:r>
                </w:p>
              </w:tc>
              <w:tc>
                <w:tcPr>
                  <w:tcW w:w="1321" w:type="dxa"/>
                  <w:tcBorders>
                    <w:tl2br w:val="nil"/>
                    <w:tr2bl w:val="nil"/>
                  </w:tcBorders>
                  <w:noWrap w:val="0"/>
                  <w:vAlign w:val="center"/>
                </w:tcPr>
                <w:p w14:paraId="6CCD1B3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146</w:t>
                  </w:r>
                </w:p>
              </w:tc>
              <w:tc>
                <w:tcPr>
                  <w:tcW w:w="2080" w:type="dxa"/>
                  <w:vMerge w:val="restart"/>
                  <w:tcBorders>
                    <w:tl2br w:val="nil"/>
                    <w:tr2bl w:val="nil"/>
                  </w:tcBorders>
                  <w:noWrap w:val="0"/>
                  <w:vAlign w:val="center"/>
                </w:tcPr>
                <w:p w14:paraId="67AFF69E">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24~</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9-25</w:t>
                  </w:r>
                </w:p>
              </w:tc>
              <w:tc>
                <w:tcPr>
                  <w:tcW w:w="1311" w:type="dxa"/>
                  <w:tcBorders>
                    <w:tl2br w:val="nil"/>
                    <w:tr2bl w:val="nil"/>
                  </w:tcBorders>
                  <w:noWrap w:val="0"/>
                  <w:vAlign w:val="center"/>
                </w:tcPr>
                <w:p w14:paraId="3B0D523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r>
            <w:tr w14:paraId="2470927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62C49EC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57E1C0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restart"/>
                  <w:tcBorders>
                    <w:tl2br w:val="nil"/>
                    <w:tr2bl w:val="nil"/>
                  </w:tcBorders>
                  <w:noWrap w:val="0"/>
                  <w:vAlign w:val="center"/>
                </w:tcPr>
                <w:p w14:paraId="2DEED34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1" w:type="dxa"/>
                  <w:tcBorders>
                    <w:tl2br w:val="nil"/>
                    <w:tr2bl w:val="nil"/>
                  </w:tcBorders>
                  <w:noWrap w:val="0"/>
                  <w:vAlign w:val="center"/>
                </w:tcPr>
                <w:p w14:paraId="09B537E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157</w:t>
                  </w:r>
                </w:p>
              </w:tc>
              <w:tc>
                <w:tcPr>
                  <w:tcW w:w="2080" w:type="dxa"/>
                  <w:vMerge w:val="continue"/>
                  <w:tcBorders>
                    <w:tl2br w:val="nil"/>
                    <w:tr2bl w:val="nil"/>
                  </w:tcBorders>
                  <w:noWrap w:val="0"/>
                  <w:vAlign w:val="center"/>
                </w:tcPr>
                <w:p w14:paraId="458C761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restart"/>
                  <w:tcBorders>
                    <w:tl2br w:val="nil"/>
                    <w:tr2bl w:val="nil"/>
                  </w:tcBorders>
                  <w:noWrap w:val="0"/>
                  <w:vAlign w:val="center"/>
                </w:tcPr>
                <w:p w14:paraId="320926F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9D93C4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13DF9DA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25EE7C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55B5967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5BFC371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159</w:t>
                  </w:r>
                </w:p>
              </w:tc>
              <w:tc>
                <w:tcPr>
                  <w:tcW w:w="2080" w:type="dxa"/>
                  <w:vMerge w:val="continue"/>
                  <w:tcBorders>
                    <w:tl2br w:val="nil"/>
                    <w:tr2bl w:val="nil"/>
                  </w:tcBorders>
                  <w:noWrap w:val="0"/>
                  <w:vAlign w:val="center"/>
                </w:tcPr>
                <w:p w14:paraId="11ADE67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74EA7D7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05121E4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180019B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41E602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6A3A0DC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3A84A5C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151</w:t>
                  </w:r>
                </w:p>
              </w:tc>
              <w:tc>
                <w:tcPr>
                  <w:tcW w:w="2080" w:type="dxa"/>
                  <w:vMerge w:val="continue"/>
                  <w:tcBorders>
                    <w:tl2br w:val="nil"/>
                    <w:tr2bl w:val="nil"/>
                  </w:tcBorders>
                  <w:noWrap w:val="0"/>
                  <w:vAlign w:val="center"/>
                </w:tcPr>
                <w:p w14:paraId="27B8568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454EC2D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1DED62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2B9F06A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2858761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76D6370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08E1B8E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148</w:t>
                  </w:r>
                </w:p>
              </w:tc>
              <w:tc>
                <w:tcPr>
                  <w:tcW w:w="2080" w:type="dxa"/>
                  <w:vMerge w:val="continue"/>
                  <w:tcBorders>
                    <w:tl2br w:val="nil"/>
                    <w:tr2bl w:val="nil"/>
                  </w:tcBorders>
                  <w:noWrap w:val="0"/>
                  <w:vAlign w:val="center"/>
                </w:tcPr>
                <w:p w14:paraId="73DFDDD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50EB1FB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0DDEAD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10385D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FDC2CE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3D4F08E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53B8740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136</w:t>
                  </w:r>
                </w:p>
              </w:tc>
              <w:tc>
                <w:tcPr>
                  <w:tcW w:w="2080" w:type="dxa"/>
                  <w:vMerge w:val="continue"/>
                  <w:tcBorders>
                    <w:tl2br w:val="nil"/>
                    <w:tr2bl w:val="nil"/>
                  </w:tcBorders>
                  <w:noWrap w:val="0"/>
                  <w:vAlign w:val="center"/>
                </w:tcPr>
                <w:p w14:paraId="7C54B89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4E739EC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6261EE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5D319A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5A6C34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6CEF1A4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4BAE36E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151</w:t>
                  </w:r>
                </w:p>
              </w:tc>
              <w:tc>
                <w:tcPr>
                  <w:tcW w:w="2080" w:type="dxa"/>
                  <w:vMerge w:val="continue"/>
                  <w:tcBorders>
                    <w:tl2br w:val="nil"/>
                    <w:tr2bl w:val="nil"/>
                  </w:tcBorders>
                  <w:noWrap w:val="0"/>
                  <w:vAlign w:val="center"/>
                </w:tcPr>
                <w:p w14:paraId="42D50F1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28B65DF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3498D0B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64EF7D8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95F64E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118AE5E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2AA3426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5"/>
                      <w:kern w:val="2"/>
                      <w:sz w:val="21"/>
                      <w:szCs w:val="21"/>
                      <w:highlight w:val="none"/>
                      <w:lang w:val="en-US" w:eastAsia="zh-CN" w:bidi="he-IL"/>
                    </w:rPr>
                  </w:pPr>
                  <w:r>
                    <w:rPr>
                      <w:rFonts w:hint="default" w:ascii="Times New Roman" w:hAnsi="Times New Roman" w:cs="Times New Roman"/>
                      <w:color w:val="auto"/>
                      <w:sz w:val="21"/>
                      <w:szCs w:val="21"/>
                      <w:highlight w:val="none"/>
                    </w:rPr>
                    <w:t>150</w:t>
                  </w:r>
                </w:p>
              </w:tc>
              <w:tc>
                <w:tcPr>
                  <w:tcW w:w="2080" w:type="dxa"/>
                  <w:vMerge w:val="continue"/>
                  <w:tcBorders>
                    <w:tl2br w:val="nil"/>
                    <w:tr2bl w:val="nil"/>
                  </w:tcBorders>
                  <w:noWrap w:val="0"/>
                  <w:vAlign w:val="center"/>
                </w:tcPr>
                <w:p w14:paraId="6BC7D43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B3DB8E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7AB3CF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4930827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43CEFB9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27~</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6-28</w:t>
                  </w:r>
                </w:p>
              </w:tc>
              <w:tc>
                <w:tcPr>
                  <w:tcW w:w="1208" w:type="dxa"/>
                  <w:tcBorders>
                    <w:tl2br w:val="nil"/>
                    <w:tr2bl w:val="nil"/>
                  </w:tcBorders>
                  <w:noWrap w:val="0"/>
                  <w:vAlign w:val="center"/>
                </w:tcPr>
                <w:p w14:paraId="5241B53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w:t>
                  </w:r>
                </w:p>
              </w:tc>
              <w:tc>
                <w:tcPr>
                  <w:tcW w:w="1321" w:type="dxa"/>
                  <w:tcBorders>
                    <w:tl2br w:val="nil"/>
                    <w:tr2bl w:val="nil"/>
                  </w:tcBorders>
                  <w:noWrap w:val="0"/>
                  <w:vAlign w:val="center"/>
                </w:tcPr>
                <w:p w14:paraId="21763BD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143</w:t>
                  </w:r>
                </w:p>
              </w:tc>
              <w:tc>
                <w:tcPr>
                  <w:tcW w:w="2080" w:type="dxa"/>
                  <w:vMerge w:val="restart"/>
                  <w:tcBorders>
                    <w:tl2br w:val="nil"/>
                    <w:tr2bl w:val="nil"/>
                  </w:tcBorders>
                  <w:noWrap w:val="0"/>
                  <w:vAlign w:val="center"/>
                </w:tcPr>
                <w:p w14:paraId="6DD0B4F7">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9-26</w:t>
                  </w:r>
                </w:p>
              </w:tc>
              <w:tc>
                <w:tcPr>
                  <w:tcW w:w="1311" w:type="dxa"/>
                  <w:tcBorders>
                    <w:tl2br w:val="nil"/>
                    <w:tr2bl w:val="nil"/>
                  </w:tcBorders>
                  <w:noWrap w:val="0"/>
                  <w:vAlign w:val="center"/>
                </w:tcPr>
                <w:p w14:paraId="5107A93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w:t>
                  </w:r>
                </w:p>
              </w:tc>
            </w:tr>
            <w:tr w14:paraId="13A6E4B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1CDA45A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CD0665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restart"/>
                  <w:tcBorders>
                    <w:tl2br w:val="nil"/>
                    <w:tr2bl w:val="nil"/>
                  </w:tcBorders>
                  <w:noWrap w:val="0"/>
                  <w:vAlign w:val="center"/>
                </w:tcPr>
                <w:p w14:paraId="7BD8B6A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1" w:type="dxa"/>
                  <w:tcBorders>
                    <w:tl2br w:val="nil"/>
                    <w:tr2bl w:val="nil"/>
                  </w:tcBorders>
                  <w:noWrap w:val="0"/>
                  <w:vAlign w:val="center"/>
                </w:tcPr>
                <w:p w14:paraId="69C2057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156</w:t>
                  </w:r>
                </w:p>
              </w:tc>
              <w:tc>
                <w:tcPr>
                  <w:tcW w:w="2080" w:type="dxa"/>
                  <w:vMerge w:val="continue"/>
                  <w:tcBorders>
                    <w:tl2br w:val="nil"/>
                    <w:tr2bl w:val="nil"/>
                  </w:tcBorders>
                  <w:noWrap w:val="0"/>
                  <w:vAlign w:val="center"/>
                </w:tcPr>
                <w:p w14:paraId="011636C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restart"/>
                  <w:tcBorders>
                    <w:tl2br w:val="nil"/>
                    <w:tr2bl w:val="nil"/>
                  </w:tcBorders>
                  <w:noWrap w:val="0"/>
                  <w:vAlign w:val="center"/>
                </w:tcPr>
                <w:p w14:paraId="0D9E47B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C6F723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20B070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F316AD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5608989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323D97D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150</w:t>
                  </w:r>
                </w:p>
              </w:tc>
              <w:tc>
                <w:tcPr>
                  <w:tcW w:w="2080" w:type="dxa"/>
                  <w:vMerge w:val="continue"/>
                  <w:tcBorders>
                    <w:tl2br w:val="nil"/>
                    <w:tr2bl w:val="nil"/>
                  </w:tcBorders>
                  <w:noWrap w:val="0"/>
                  <w:vAlign w:val="center"/>
                </w:tcPr>
                <w:p w14:paraId="28DF932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3615BBD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447BCC4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6024E30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520665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73C0829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55371A7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224</w:t>
                  </w:r>
                </w:p>
              </w:tc>
              <w:tc>
                <w:tcPr>
                  <w:tcW w:w="2080" w:type="dxa"/>
                  <w:vMerge w:val="continue"/>
                  <w:tcBorders>
                    <w:tl2br w:val="nil"/>
                    <w:tr2bl w:val="nil"/>
                  </w:tcBorders>
                  <w:noWrap w:val="0"/>
                  <w:vAlign w:val="center"/>
                </w:tcPr>
                <w:p w14:paraId="51EF3F7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4647C71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752BB15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4F98308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1F291B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11E5FEF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4B57D6D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241</w:t>
                  </w:r>
                </w:p>
              </w:tc>
              <w:tc>
                <w:tcPr>
                  <w:tcW w:w="2080" w:type="dxa"/>
                  <w:vMerge w:val="continue"/>
                  <w:tcBorders>
                    <w:tl2br w:val="nil"/>
                    <w:tr2bl w:val="nil"/>
                  </w:tcBorders>
                  <w:noWrap w:val="0"/>
                  <w:vAlign w:val="center"/>
                </w:tcPr>
                <w:p w14:paraId="6F6920A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41448E8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04437B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39696B6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3FD6A1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24C98A2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2285C27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210</w:t>
                  </w:r>
                </w:p>
              </w:tc>
              <w:tc>
                <w:tcPr>
                  <w:tcW w:w="2080" w:type="dxa"/>
                  <w:vMerge w:val="continue"/>
                  <w:tcBorders>
                    <w:tl2br w:val="nil"/>
                    <w:tr2bl w:val="nil"/>
                  </w:tcBorders>
                  <w:noWrap w:val="0"/>
                  <w:vAlign w:val="center"/>
                </w:tcPr>
                <w:p w14:paraId="4BE4917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2B55DCD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12188B7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3200FFC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C8734D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040A9FA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1D89840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232</w:t>
                  </w:r>
                </w:p>
              </w:tc>
              <w:tc>
                <w:tcPr>
                  <w:tcW w:w="2080" w:type="dxa"/>
                  <w:vMerge w:val="continue"/>
                  <w:tcBorders>
                    <w:tl2br w:val="nil"/>
                    <w:tr2bl w:val="nil"/>
                  </w:tcBorders>
                  <w:noWrap w:val="0"/>
                  <w:vAlign w:val="center"/>
                </w:tcPr>
                <w:p w14:paraId="7F60F26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4A29E4F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12A415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14ED7D3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2DABEC8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0F857F4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4126F34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186</w:t>
                  </w:r>
                </w:p>
              </w:tc>
              <w:tc>
                <w:tcPr>
                  <w:tcW w:w="2080" w:type="dxa"/>
                  <w:vMerge w:val="continue"/>
                  <w:tcBorders>
                    <w:tl2br w:val="nil"/>
                    <w:tr2bl w:val="nil"/>
                  </w:tcBorders>
                  <w:noWrap w:val="0"/>
                  <w:vAlign w:val="center"/>
                </w:tcPr>
                <w:p w14:paraId="68EAD51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266829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6ABCD21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1A36C27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40C10C0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28~</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6-29</w:t>
                  </w:r>
                </w:p>
              </w:tc>
              <w:tc>
                <w:tcPr>
                  <w:tcW w:w="1208" w:type="dxa"/>
                  <w:tcBorders>
                    <w:tl2br w:val="nil"/>
                    <w:tr2bl w:val="nil"/>
                  </w:tcBorders>
                  <w:noWrap w:val="0"/>
                  <w:vAlign w:val="center"/>
                </w:tcPr>
                <w:p w14:paraId="11A3516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1321" w:type="dxa"/>
                  <w:tcBorders>
                    <w:tl2br w:val="nil"/>
                    <w:tr2bl w:val="nil"/>
                  </w:tcBorders>
                  <w:noWrap w:val="0"/>
                  <w:vAlign w:val="center"/>
                </w:tcPr>
                <w:p w14:paraId="7585763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236</w:t>
                  </w:r>
                </w:p>
              </w:tc>
              <w:tc>
                <w:tcPr>
                  <w:tcW w:w="2080" w:type="dxa"/>
                  <w:vMerge w:val="restart"/>
                  <w:tcBorders>
                    <w:tl2br w:val="nil"/>
                    <w:tr2bl w:val="nil"/>
                  </w:tcBorders>
                  <w:noWrap w:val="0"/>
                  <w:vAlign w:val="center"/>
                </w:tcPr>
                <w:p w14:paraId="7A9DA235">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26~</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9-27</w:t>
                  </w:r>
                </w:p>
              </w:tc>
              <w:tc>
                <w:tcPr>
                  <w:tcW w:w="1311" w:type="dxa"/>
                  <w:tcBorders>
                    <w:tl2br w:val="nil"/>
                    <w:tr2bl w:val="nil"/>
                  </w:tcBorders>
                  <w:noWrap w:val="0"/>
                  <w:vAlign w:val="center"/>
                </w:tcPr>
                <w:p w14:paraId="70C8DCD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w:t>
                  </w:r>
                </w:p>
              </w:tc>
            </w:tr>
            <w:tr w14:paraId="3E7B67D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6E4E8C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F75D3B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restart"/>
                  <w:tcBorders>
                    <w:tl2br w:val="nil"/>
                    <w:tr2bl w:val="nil"/>
                  </w:tcBorders>
                  <w:noWrap w:val="0"/>
                  <w:vAlign w:val="center"/>
                </w:tcPr>
                <w:p w14:paraId="54E9905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321" w:type="dxa"/>
                  <w:tcBorders>
                    <w:tl2br w:val="nil"/>
                    <w:tr2bl w:val="nil"/>
                  </w:tcBorders>
                  <w:noWrap w:val="0"/>
                  <w:vAlign w:val="center"/>
                </w:tcPr>
                <w:p w14:paraId="0D9115E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202</w:t>
                  </w:r>
                </w:p>
              </w:tc>
              <w:tc>
                <w:tcPr>
                  <w:tcW w:w="2080" w:type="dxa"/>
                  <w:vMerge w:val="continue"/>
                  <w:tcBorders>
                    <w:tl2br w:val="nil"/>
                    <w:tr2bl w:val="nil"/>
                  </w:tcBorders>
                  <w:noWrap w:val="0"/>
                  <w:vAlign w:val="center"/>
                </w:tcPr>
                <w:p w14:paraId="7B487CC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restart"/>
                  <w:tcBorders>
                    <w:tl2br w:val="nil"/>
                    <w:tr2bl w:val="nil"/>
                  </w:tcBorders>
                  <w:noWrap w:val="0"/>
                  <w:vAlign w:val="center"/>
                </w:tcPr>
                <w:p w14:paraId="759D900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BBCA90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73846F0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AF4033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1EDBC10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1B5D2B9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218</w:t>
                  </w:r>
                </w:p>
              </w:tc>
              <w:tc>
                <w:tcPr>
                  <w:tcW w:w="2080" w:type="dxa"/>
                  <w:vMerge w:val="continue"/>
                  <w:tcBorders>
                    <w:tl2br w:val="nil"/>
                    <w:tr2bl w:val="nil"/>
                  </w:tcBorders>
                  <w:noWrap w:val="0"/>
                  <w:vAlign w:val="center"/>
                </w:tcPr>
                <w:p w14:paraId="5EEEE85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8BFE15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3763915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57C41CA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512AA4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46FD2B4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7F91B5D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260</w:t>
                  </w:r>
                </w:p>
              </w:tc>
              <w:tc>
                <w:tcPr>
                  <w:tcW w:w="2080" w:type="dxa"/>
                  <w:vMerge w:val="continue"/>
                  <w:tcBorders>
                    <w:tl2br w:val="nil"/>
                    <w:tr2bl w:val="nil"/>
                  </w:tcBorders>
                  <w:noWrap w:val="0"/>
                  <w:vAlign w:val="center"/>
                </w:tcPr>
                <w:p w14:paraId="3849B98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42C985F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1038BF9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6566260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6FD80D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6DE258E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22DFBCA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233</w:t>
                  </w:r>
                </w:p>
              </w:tc>
              <w:tc>
                <w:tcPr>
                  <w:tcW w:w="2080" w:type="dxa"/>
                  <w:vMerge w:val="continue"/>
                  <w:tcBorders>
                    <w:tl2br w:val="nil"/>
                    <w:tr2bl w:val="nil"/>
                  </w:tcBorders>
                  <w:noWrap w:val="0"/>
                  <w:vAlign w:val="center"/>
                </w:tcPr>
                <w:p w14:paraId="6738F37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231203E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1DD64E6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43EB99D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E5D157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2FF43B9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023B914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173</w:t>
                  </w:r>
                </w:p>
              </w:tc>
              <w:tc>
                <w:tcPr>
                  <w:tcW w:w="2080" w:type="dxa"/>
                  <w:vMerge w:val="continue"/>
                  <w:tcBorders>
                    <w:tl2br w:val="nil"/>
                    <w:tr2bl w:val="nil"/>
                  </w:tcBorders>
                  <w:noWrap w:val="0"/>
                  <w:vAlign w:val="center"/>
                </w:tcPr>
                <w:p w14:paraId="25B38B9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69E87D3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15D8CE6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0A2DE8A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BB01FD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75F7BCB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2C3B5A7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244</w:t>
                  </w:r>
                </w:p>
              </w:tc>
              <w:tc>
                <w:tcPr>
                  <w:tcW w:w="2080" w:type="dxa"/>
                  <w:vMerge w:val="continue"/>
                  <w:tcBorders>
                    <w:tl2br w:val="nil"/>
                    <w:tr2bl w:val="nil"/>
                  </w:tcBorders>
                  <w:noWrap w:val="0"/>
                  <w:vAlign w:val="center"/>
                </w:tcPr>
                <w:p w14:paraId="592FECD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3FAA228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6D49476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Merge w:val="continue"/>
                  <w:tcBorders>
                    <w:tl2br w:val="nil"/>
                    <w:tr2bl w:val="nil"/>
                  </w:tcBorders>
                  <w:noWrap w:val="0"/>
                  <w:vAlign w:val="center"/>
                </w:tcPr>
                <w:p w14:paraId="10905D4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4E8B9E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08" w:type="dxa"/>
                  <w:vMerge w:val="continue"/>
                  <w:tcBorders>
                    <w:tl2br w:val="nil"/>
                    <w:tr2bl w:val="nil"/>
                  </w:tcBorders>
                  <w:noWrap w:val="0"/>
                  <w:vAlign w:val="center"/>
                </w:tcPr>
                <w:p w14:paraId="43C2322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21" w:type="dxa"/>
                  <w:tcBorders>
                    <w:tl2br w:val="nil"/>
                    <w:tr2bl w:val="nil"/>
                  </w:tcBorders>
                  <w:noWrap w:val="0"/>
                  <w:vAlign w:val="center"/>
                </w:tcPr>
                <w:p w14:paraId="552B884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257</w:t>
                  </w:r>
                </w:p>
              </w:tc>
              <w:tc>
                <w:tcPr>
                  <w:tcW w:w="2080" w:type="dxa"/>
                  <w:vMerge w:val="continue"/>
                  <w:tcBorders>
                    <w:tl2br w:val="nil"/>
                    <w:tr2bl w:val="nil"/>
                  </w:tcBorders>
                  <w:noWrap w:val="0"/>
                  <w:vAlign w:val="center"/>
                </w:tcPr>
                <w:p w14:paraId="57A8571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63805A8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0496C13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26" w:type="dxa"/>
                  <w:gridSpan w:val="2"/>
                  <w:tcBorders>
                    <w:tl2br w:val="nil"/>
                    <w:tr2bl w:val="nil"/>
                  </w:tcBorders>
                  <w:noWrap w:val="0"/>
                  <w:vAlign w:val="center"/>
                </w:tcPr>
                <w:p w14:paraId="08216D0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208" w:type="dxa"/>
                  <w:tcBorders>
                    <w:tl2br w:val="nil"/>
                    <w:tr2bl w:val="nil"/>
                  </w:tcBorders>
                  <w:noWrap w:val="0"/>
                  <w:vAlign w:val="center"/>
                </w:tcPr>
                <w:p w14:paraId="4DD4504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00</w:t>
                  </w:r>
                </w:p>
              </w:tc>
              <w:tc>
                <w:tcPr>
                  <w:tcW w:w="1321" w:type="dxa"/>
                  <w:tcBorders>
                    <w:tl2br w:val="nil"/>
                    <w:tr2bl w:val="nil"/>
                  </w:tcBorders>
                  <w:noWrap w:val="0"/>
                  <w:vAlign w:val="center"/>
                </w:tcPr>
                <w:p w14:paraId="42162DD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2080" w:type="dxa"/>
                  <w:tcBorders>
                    <w:tl2br w:val="nil"/>
                    <w:tr2bl w:val="nil"/>
                  </w:tcBorders>
                  <w:noWrap w:val="0"/>
                  <w:vAlign w:val="center"/>
                </w:tcPr>
                <w:p w14:paraId="4AABFCD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311" w:type="dxa"/>
                  <w:tcBorders>
                    <w:tl2br w:val="nil"/>
                    <w:tr2bl w:val="nil"/>
                  </w:tcBorders>
                  <w:noWrap w:val="0"/>
                  <w:vAlign w:val="center"/>
                </w:tcPr>
                <w:p w14:paraId="2E6CC1B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r>
            <w:tr w14:paraId="54F6807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26" w:type="dxa"/>
                  <w:gridSpan w:val="2"/>
                  <w:tcBorders>
                    <w:tl2br w:val="nil"/>
                    <w:tr2bl w:val="nil"/>
                  </w:tcBorders>
                  <w:noWrap w:val="0"/>
                  <w:vAlign w:val="center"/>
                </w:tcPr>
                <w:p w14:paraId="60A3420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c>
                <w:tcPr>
                  <w:tcW w:w="1208" w:type="dxa"/>
                  <w:tcBorders>
                    <w:tl2br w:val="nil"/>
                    <w:tr2bl w:val="nil"/>
                  </w:tcBorders>
                  <w:noWrap w:val="0"/>
                  <w:vAlign w:val="center"/>
                </w:tcPr>
                <w:p w14:paraId="44EAF66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1321" w:type="dxa"/>
                  <w:tcBorders>
                    <w:tl2br w:val="nil"/>
                    <w:tr2bl w:val="nil"/>
                  </w:tcBorders>
                  <w:noWrap w:val="0"/>
                  <w:vAlign w:val="center"/>
                </w:tcPr>
                <w:p w14:paraId="00A9D72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2080" w:type="dxa"/>
                  <w:tcBorders>
                    <w:tl2br w:val="nil"/>
                    <w:tr2bl w:val="nil"/>
                  </w:tcBorders>
                  <w:noWrap w:val="0"/>
                  <w:vAlign w:val="center"/>
                </w:tcPr>
                <w:p w14:paraId="33D18F5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c>
                <w:tcPr>
                  <w:tcW w:w="1311" w:type="dxa"/>
                  <w:tcBorders>
                    <w:tl2br w:val="nil"/>
                    <w:tr2bl w:val="nil"/>
                  </w:tcBorders>
                  <w:noWrap w:val="0"/>
                  <w:vAlign w:val="center"/>
                </w:tcPr>
                <w:p w14:paraId="60BC769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6FA6E8FE">
            <w:pPr>
              <w:pStyle w:val="8"/>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zh-CN"/>
              </w:rPr>
              <w:t>表</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深沟村散户TSP、NOx、TVOC</w:t>
            </w:r>
            <w:r>
              <w:rPr>
                <w:rFonts w:hint="eastAsia" w:ascii="Times New Roman" w:hAnsi="Times New Roman" w:eastAsia="宋体" w:cs="Times New Roman"/>
                <w:b/>
                <w:bCs/>
                <w:color w:val="auto"/>
                <w:sz w:val="21"/>
                <w:szCs w:val="21"/>
                <w:highlight w:val="none"/>
                <w:lang w:val="en-US" w:eastAsia="zh-CN"/>
              </w:rPr>
              <w:t>现状检测</w:t>
            </w:r>
            <w:r>
              <w:rPr>
                <w:rFonts w:hint="default" w:ascii="Times New Roman" w:hAnsi="Times New Roman" w:eastAsia="宋体" w:cs="Times New Roman"/>
                <w:b/>
                <w:bCs/>
                <w:color w:val="auto"/>
                <w:sz w:val="21"/>
                <w:szCs w:val="21"/>
                <w:highlight w:val="none"/>
                <w:lang w:val="en-US" w:eastAsia="zh-CN"/>
              </w:rPr>
              <w:t>结果 单位</w:t>
            </w:r>
            <w:r>
              <w:rPr>
                <w:rFonts w:hint="default"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u</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p>
          <w:tbl>
            <w:tblPr>
              <w:tblStyle w:val="30"/>
              <w:tblW w:w="884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080"/>
              <w:gridCol w:w="1554"/>
              <w:gridCol w:w="1072"/>
              <w:gridCol w:w="2080"/>
              <w:gridCol w:w="1001"/>
            </w:tblGrid>
            <w:tr w14:paraId="6DE7EAB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tcBorders>
                    <w:tl2br w:val="nil"/>
                    <w:tr2bl w:val="nil"/>
                  </w:tcBorders>
                  <w:noWrap w:val="0"/>
                  <w:vAlign w:val="center"/>
                </w:tcPr>
                <w:p w14:paraId="4B3EA35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检测点位</w:t>
                  </w:r>
                </w:p>
              </w:tc>
              <w:tc>
                <w:tcPr>
                  <w:tcW w:w="2080" w:type="dxa"/>
                  <w:tcBorders>
                    <w:tl2br w:val="nil"/>
                    <w:tr2bl w:val="nil"/>
                  </w:tcBorders>
                  <w:noWrap w:val="0"/>
                  <w:vAlign w:val="center"/>
                </w:tcPr>
                <w:p w14:paraId="21B0371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采样日期</w:t>
                  </w:r>
                </w:p>
              </w:tc>
              <w:tc>
                <w:tcPr>
                  <w:tcW w:w="1554" w:type="dxa"/>
                  <w:tcBorders>
                    <w:tl2br w:val="nil"/>
                    <w:tr2bl w:val="nil"/>
                  </w:tcBorders>
                  <w:noWrap w:val="0"/>
                  <w:vAlign w:val="center"/>
                </w:tcPr>
                <w:p w14:paraId="761221C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TSP（日均值）</w:t>
                  </w:r>
                </w:p>
              </w:tc>
              <w:tc>
                <w:tcPr>
                  <w:tcW w:w="1072" w:type="dxa"/>
                  <w:tcBorders>
                    <w:tl2br w:val="nil"/>
                    <w:tr2bl w:val="nil"/>
                  </w:tcBorders>
                  <w:noWrap w:val="0"/>
                  <w:vAlign w:val="center"/>
                </w:tcPr>
                <w:p w14:paraId="5CDA57C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TVOC</w:t>
                  </w:r>
                </w:p>
              </w:tc>
              <w:tc>
                <w:tcPr>
                  <w:tcW w:w="2080" w:type="dxa"/>
                  <w:tcBorders>
                    <w:tl2br w:val="nil"/>
                    <w:tr2bl w:val="nil"/>
                  </w:tcBorders>
                  <w:noWrap w:val="0"/>
                  <w:vAlign w:val="center"/>
                </w:tcPr>
                <w:p w14:paraId="2F06969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采样日期</w:t>
                  </w:r>
                </w:p>
              </w:tc>
              <w:tc>
                <w:tcPr>
                  <w:tcW w:w="1001" w:type="dxa"/>
                  <w:tcBorders>
                    <w:tl2br w:val="nil"/>
                    <w:tr2bl w:val="nil"/>
                  </w:tcBorders>
                  <w:noWrap w:val="0"/>
                  <w:vAlign w:val="center"/>
                </w:tcPr>
                <w:p w14:paraId="777E168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NOx</w:t>
                  </w:r>
                </w:p>
              </w:tc>
            </w:tr>
            <w:tr w14:paraId="4B325B6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restart"/>
                  <w:tcBorders>
                    <w:tl2br w:val="nil"/>
                    <w:tr2bl w:val="nil"/>
                  </w:tcBorders>
                  <w:noWrap w:val="0"/>
                  <w:vAlign w:val="center"/>
                </w:tcPr>
                <w:p w14:paraId="76CB76A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深沟村散户</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w:t>
                  </w:r>
                </w:p>
              </w:tc>
              <w:tc>
                <w:tcPr>
                  <w:tcW w:w="2080" w:type="dxa"/>
                  <w:vMerge w:val="restart"/>
                  <w:tcBorders>
                    <w:tl2br w:val="nil"/>
                    <w:tr2bl w:val="nil"/>
                  </w:tcBorders>
                  <w:noWrap w:val="0"/>
                  <w:vAlign w:val="center"/>
                </w:tcPr>
                <w:p w14:paraId="3AA443F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22~</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6-23</w:t>
                  </w:r>
                </w:p>
              </w:tc>
              <w:tc>
                <w:tcPr>
                  <w:tcW w:w="1554" w:type="dxa"/>
                  <w:tcBorders>
                    <w:tl2br w:val="nil"/>
                    <w:tr2bl w:val="nil"/>
                  </w:tcBorders>
                  <w:noWrap w:val="0"/>
                  <w:vAlign w:val="center"/>
                </w:tcPr>
                <w:p w14:paraId="62A096D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w:t>
                  </w:r>
                </w:p>
              </w:tc>
              <w:tc>
                <w:tcPr>
                  <w:tcW w:w="1072" w:type="dxa"/>
                  <w:tcBorders>
                    <w:tl2br w:val="nil"/>
                    <w:tr2bl w:val="nil"/>
                  </w:tcBorders>
                  <w:noWrap w:val="0"/>
                  <w:vAlign w:val="center"/>
                </w:tcPr>
                <w:p w14:paraId="336DE5E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142</w:t>
                  </w:r>
                </w:p>
              </w:tc>
              <w:tc>
                <w:tcPr>
                  <w:tcW w:w="2080" w:type="dxa"/>
                  <w:vMerge w:val="restart"/>
                  <w:tcBorders>
                    <w:tl2br w:val="nil"/>
                    <w:tr2bl w:val="nil"/>
                  </w:tcBorders>
                  <w:noWrap w:val="0"/>
                  <w:vAlign w:val="center"/>
                </w:tcPr>
                <w:p w14:paraId="2F2FC732">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20~</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9-21</w:t>
                  </w:r>
                </w:p>
              </w:tc>
              <w:tc>
                <w:tcPr>
                  <w:tcW w:w="1001" w:type="dxa"/>
                  <w:tcBorders>
                    <w:tl2br w:val="nil"/>
                    <w:tr2bl w:val="nil"/>
                  </w:tcBorders>
                  <w:noWrap w:val="0"/>
                  <w:vAlign w:val="center"/>
                </w:tcPr>
                <w:p w14:paraId="0F34FAC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r>
            <w:tr w14:paraId="38506E8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79A49AA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7F2736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restart"/>
                  <w:tcBorders>
                    <w:tl2br w:val="nil"/>
                    <w:tr2bl w:val="nil"/>
                  </w:tcBorders>
                  <w:noWrap w:val="0"/>
                  <w:vAlign w:val="center"/>
                </w:tcPr>
                <w:p w14:paraId="36A9160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2" w:type="dxa"/>
                  <w:tcBorders>
                    <w:tl2br w:val="nil"/>
                    <w:tr2bl w:val="nil"/>
                  </w:tcBorders>
                  <w:noWrap w:val="0"/>
                  <w:vAlign w:val="center"/>
                </w:tcPr>
                <w:p w14:paraId="02D5A5B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170</w:t>
                  </w:r>
                </w:p>
              </w:tc>
              <w:tc>
                <w:tcPr>
                  <w:tcW w:w="2080" w:type="dxa"/>
                  <w:vMerge w:val="continue"/>
                  <w:tcBorders>
                    <w:tl2br w:val="nil"/>
                    <w:tr2bl w:val="nil"/>
                  </w:tcBorders>
                  <w:noWrap w:val="0"/>
                  <w:vAlign w:val="center"/>
                </w:tcPr>
                <w:p w14:paraId="26182EE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restart"/>
                  <w:tcBorders>
                    <w:tl2br w:val="nil"/>
                    <w:tr2bl w:val="nil"/>
                  </w:tcBorders>
                  <w:noWrap w:val="0"/>
                  <w:vAlign w:val="center"/>
                </w:tcPr>
                <w:p w14:paraId="3D0D08B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908AFB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54A55C1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2C5000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080A1B7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1328E35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155</w:t>
                  </w:r>
                </w:p>
              </w:tc>
              <w:tc>
                <w:tcPr>
                  <w:tcW w:w="2080" w:type="dxa"/>
                  <w:vMerge w:val="continue"/>
                  <w:tcBorders>
                    <w:tl2br w:val="nil"/>
                    <w:tr2bl w:val="nil"/>
                  </w:tcBorders>
                  <w:noWrap w:val="0"/>
                  <w:vAlign w:val="center"/>
                </w:tcPr>
                <w:p w14:paraId="31584E6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A79F6F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44EE9E0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3E28E6A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22675D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595177A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6E2C641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163</w:t>
                  </w:r>
                </w:p>
              </w:tc>
              <w:tc>
                <w:tcPr>
                  <w:tcW w:w="2080" w:type="dxa"/>
                  <w:vMerge w:val="continue"/>
                  <w:tcBorders>
                    <w:tl2br w:val="nil"/>
                    <w:tr2bl w:val="nil"/>
                  </w:tcBorders>
                  <w:noWrap w:val="0"/>
                  <w:vAlign w:val="center"/>
                </w:tcPr>
                <w:p w14:paraId="4A1AB8E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36FC7D3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246D9D6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5AEB7B5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5809E3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112A73F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406B855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137</w:t>
                  </w:r>
                </w:p>
              </w:tc>
              <w:tc>
                <w:tcPr>
                  <w:tcW w:w="2080" w:type="dxa"/>
                  <w:vMerge w:val="continue"/>
                  <w:tcBorders>
                    <w:tl2br w:val="nil"/>
                    <w:tr2bl w:val="nil"/>
                  </w:tcBorders>
                  <w:noWrap w:val="0"/>
                  <w:vAlign w:val="center"/>
                </w:tcPr>
                <w:p w14:paraId="43AA071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7627D2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6FA449D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3745CE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CE7178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2918CA1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69CCA34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146</w:t>
                  </w:r>
                </w:p>
              </w:tc>
              <w:tc>
                <w:tcPr>
                  <w:tcW w:w="2080" w:type="dxa"/>
                  <w:vMerge w:val="continue"/>
                  <w:tcBorders>
                    <w:tl2br w:val="nil"/>
                    <w:tr2bl w:val="nil"/>
                  </w:tcBorders>
                  <w:noWrap w:val="0"/>
                  <w:vAlign w:val="center"/>
                </w:tcPr>
                <w:p w14:paraId="34739DC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6020C44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5EC0205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2285D2D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4C5557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05F26E1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388FDDE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122</w:t>
                  </w:r>
                </w:p>
              </w:tc>
              <w:tc>
                <w:tcPr>
                  <w:tcW w:w="2080" w:type="dxa"/>
                  <w:vMerge w:val="continue"/>
                  <w:tcBorders>
                    <w:tl2br w:val="nil"/>
                    <w:tr2bl w:val="nil"/>
                  </w:tcBorders>
                  <w:noWrap w:val="0"/>
                  <w:vAlign w:val="center"/>
                </w:tcPr>
                <w:p w14:paraId="0F1732B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6DD05DC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6FDCD33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3F0FC25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A00B1B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115C324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272849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145</w:t>
                  </w:r>
                </w:p>
              </w:tc>
              <w:tc>
                <w:tcPr>
                  <w:tcW w:w="2080" w:type="dxa"/>
                  <w:vMerge w:val="continue"/>
                  <w:tcBorders>
                    <w:tl2br w:val="nil"/>
                    <w:tr2bl w:val="nil"/>
                  </w:tcBorders>
                  <w:noWrap w:val="0"/>
                  <w:vAlign w:val="center"/>
                </w:tcPr>
                <w:p w14:paraId="6A0FD4E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1C47510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50B6962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6999228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0DD085A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23~</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6-24</w:t>
                  </w:r>
                </w:p>
              </w:tc>
              <w:tc>
                <w:tcPr>
                  <w:tcW w:w="1554" w:type="dxa"/>
                  <w:tcBorders>
                    <w:tl2br w:val="nil"/>
                    <w:tr2bl w:val="nil"/>
                  </w:tcBorders>
                  <w:noWrap w:val="0"/>
                  <w:vAlign w:val="center"/>
                </w:tcPr>
                <w:p w14:paraId="4D8FA77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1072" w:type="dxa"/>
                  <w:tcBorders>
                    <w:tl2br w:val="nil"/>
                    <w:tr2bl w:val="nil"/>
                  </w:tcBorders>
                  <w:noWrap w:val="0"/>
                  <w:vAlign w:val="center"/>
                </w:tcPr>
                <w:p w14:paraId="54FD63C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203</w:t>
                  </w:r>
                </w:p>
              </w:tc>
              <w:tc>
                <w:tcPr>
                  <w:tcW w:w="2080" w:type="dxa"/>
                  <w:vMerge w:val="restart"/>
                  <w:tcBorders>
                    <w:tl2br w:val="nil"/>
                    <w:tr2bl w:val="nil"/>
                  </w:tcBorders>
                  <w:noWrap w:val="0"/>
                  <w:vAlign w:val="center"/>
                </w:tcPr>
                <w:p w14:paraId="72F298C8">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21~</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9-22</w:t>
                  </w:r>
                </w:p>
              </w:tc>
              <w:tc>
                <w:tcPr>
                  <w:tcW w:w="1001" w:type="dxa"/>
                  <w:tcBorders>
                    <w:tl2br w:val="nil"/>
                    <w:tr2bl w:val="nil"/>
                  </w:tcBorders>
                  <w:noWrap w:val="0"/>
                  <w:vAlign w:val="center"/>
                </w:tcPr>
                <w:p w14:paraId="5E21ADA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r>
            <w:tr w14:paraId="1A91F4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5630410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C4514A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restart"/>
                  <w:tcBorders>
                    <w:tl2br w:val="nil"/>
                    <w:tr2bl w:val="nil"/>
                  </w:tcBorders>
                  <w:noWrap w:val="0"/>
                  <w:vAlign w:val="center"/>
                </w:tcPr>
                <w:p w14:paraId="514F220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2" w:type="dxa"/>
                  <w:tcBorders>
                    <w:tl2br w:val="nil"/>
                    <w:tr2bl w:val="nil"/>
                  </w:tcBorders>
                  <w:noWrap w:val="0"/>
                  <w:vAlign w:val="center"/>
                </w:tcPr>
                <w:p w14:paraId="707DDF9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237</w:t>
                  </w:r>
                </w:p>
              </w:tc>
              <w:tc>
                <w:tcPr>
                  <w:tcW w:w="2080" w:type="dxa"/>
                  <w:vMerge w:val="continue"/>
                  <w:tcBorders>
                    <w:tl2br w:val="nil"/>
                    <w:tr2bl w:val="nil"/>
                  </w:tcBorders>
                  <w:noWrap w:val="0"/>
                  <w:vAlign w:val="center"/>
                </w:tcPr>
                <w:p w14:paraId="05F03E3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restart"/>
                  <w:tcBorders>
                    <w:tl2br w:val="nil"/>
                    <w:tr2bl w:val="nil"/>
                  </w:tcBorders>
                  <w:noWrap w:val="0"/>
                  <w:vAlign w:val="center"/>
                </w:tcPr>
                <w:p w14:paraId="4A18924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F07CD7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2E458A8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9C7655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5943F8F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394A8FE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217</w:t>
                  </w:r>
                </w:p>
              </w:tc>
              <w:tc>
                <w:tcPr>
                  <w:tcW w:w="2080" w:type="dxa"/>
                  <w:vMerge w:val="continue"/>
                  <w:tcBorders>
                    <w:tl2br w:val="nil"/>
                    <w:tr2bl w:val="nil"/>
                  </w:tcBorders>
                  <w:noWrap w:val="0"/>
                  <w:vAlign w:val="center"/>
                </w:tcPr>
                <w:p w14:paraId="193520C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21569E1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4E6DD16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6ABEADB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1EC276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252A6E7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23B67AF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180</w:t>
                  </w:r>
                </w:p>
              </w:tc>
              <w:tc>
                <w:tcPr>
                  <w:tcW w:w="2080" w:type="dxa"/>
                  <w:vMerge w:val="continue"/>
                  <w:tcBorders>
                    <w:tl2br w:val="nil"/>
                    <w:tr2bl w:val="nil"/>
                  </w:tcBorders>
                  <w:noWrap w:val="0"/>
                  <w:vAlign w:val="center"/>
                </w:tcPr>
                <w:p w14:paraId="69E8655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1B5F879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62FF572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6B709CC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EF4AA9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658FDB2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6433971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196</w:t>
                  </w:r>
                </w:p>
              </w:tc>
              <w:tc>
                <w:tcPr>
                  <w:tcW w:w="2080" w:type="dxa"/>
                  <w:vMerge w:val="continue"/>
                  <w:tcBorders>
                    <w:tl2br w:val="nil"/>
                    <w:tr2bl w:val="nil"/>
                  </w:tcBorders>
                  <w:noWrap w:val="0"/>
                  <w:vAlign w:val="center"/>
                </w:tcPr>
                <w:p w14:paraId="32D95FB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4098C97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52DC593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2795C7C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BAB98E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5AB24CD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8F645F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219</w:t>
                  </w:r>
                </w:p>
              </w:tc>
              <w:tc>
                <w:tcPr>
                  <w:tcW w:w="2080" w:type="dxa"/>
                  <w:vMerge w:val="continue"/>
                  <w:tcBorders>
                    <w:tl2br w:val="nil"/>
                    <w:tr2bl w:val="nil"/>
                  </w:tcBorders>
                  <w:noWrap w:val="0"/>
                  <w:vAlign w:val="center"/>
                </w:tcPr>
                <w:p w14:paraId="2EE05C5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4AAB3D8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52ED608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7793D9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27501A6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7380DD6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5C8908E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205</w:t>
                  </w:r>
                </w:p>
              </w:tc>
              <w:tc>
                <w:tcPr>
                  <w:tcW w:w="2080" w:type="dxa"/>
                  <w:vMerge w:val="continue"/>
                  <w:tcBorders>
                    <w:tl2br w:val="nil"/>
                    <w:tr2bl w:val="nil"/>
                  </w:tcBorders>
                  <w:noWrap w:val="0"/>
                  <w:vAlign w:val="center"/>
                </w:tcPr>
                <w:p w14:paraId="2CE31CA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32DC242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584D07E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7B6236C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5AE43C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2174C24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4F002E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202</w:t>
                  </w:r>
                </w:p>
              </w:tc>
              <w:tc>
                <w:tcPr>
                  <w:tcW w:w="2080" w:type="dxa"/>
                  <w:vMerge w:val="continue"/>
                  <w:tcBorders>
                    <w:tl2br w:val="nil"/>
                    <w:tr2bl w:val="nil"/>
                  </w:tcBorders>
                  <w:noWrap w:val="0"/>
                  <w:vAlign w:val="center"/>
                </w:tcPr>
                <w:p w14:paraId="1D6DB35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52FAE71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49EDAEC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E20D90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687C3E3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24~</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6-25</w:t>
                  </w:r>
                </w:p>
              </w:tc>
              <w:tc>
                <w:tcPr>
                  <w:tcW w:w="1554" w:type="dxa"/>
                  <w:tcBorders>
                    <w:tl2br w:val="nil"/>
                    <w:tr2bl w:val="nil"/>
                  </w:tcBorders>
                  <w:noWrap w:val="0"/>
                  <w:vAlign w:val="center"/>
                </w:tcPr>
                <w:p w14:paraId="5E6A9A1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w:t>
                  </w:r>
                </w:p>
              </w:tc>
              <w:tc>
                <w:tcPr>
                  <w:tcW w:w="1072" w:type="dxa"/>
                  <w:tcBorders>
                    <w:tl2br w:val="nil"/>
                    <w:tr2bl w:val="nil"/>
                  </w:tcBorders>
                  <w:noWrap w:val="0"/>
                  <w:vAlign w:val="center"/>
                </w:tcPr>
                <w:p w14:paraId="38D810E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189</w:t>
                  </w:r>
                </w:p>
              </w:tc>
              <w:tc>
                <w:tcPr>
                  <w:tcW w:w="2080" w:type="dxa"/>
                  <w:vMerge w:val="restart"/>
                  <w:tcBorders>
                    <w:tl2br w:val="nil"/>
                    <w:tr2bl w:val="nil"/>
                  </w:tcBorders>
                  <w:noWrap w:val="0"/>
                  <w:vAlign w:val="center"/>
                </w:tcPr>
                <w:p w14:paraId="2C02D2D2">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22~</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9-23</w:t>
                  </w:r>
                </w:p>
              </w:tc>
              <w:tc>
                <w:tcPr>
                  <w:tcW w:w="1001" w:type="dxa"/>
                  <w:tcBorders>
                    <w:tl2br w:val="nil"/>
                    <w:tr2bl w:val="nil"/>
                  </w:tcBorders>
                  <w:noWrap w:val="0"/>
                  <w:vAlign w:val="center"/>
                </w:tcPr>
                <w:p w14:paraId="5488E7F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r>
            <w:tr w14:paraId="12996A9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669368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E593B4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restart"/>
                  <w:tcBorders>
                    <w:tl2br w:val="nil"/>
                    <w:tr2bl w:val="nil"/>
                  </w:tcBorders>
                  <w:noWrap w:val="0"/>
                  <w:vAlign w:val="center"/>
                </w:tcPr>
                <w:p w14:paraId="031ECD7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2" w:type="dxa"/>
                  <w:tcBorders>
                    <w:tl2br w:val="nil"/>
                    <w:tr2bl w:val="nil"/>
                  </w:tcBorders>
                  <w:noWrap w:val="0"/>
                  <w:vAlign w:val="center"/>
                </w:tcPr>
                <w:p w14:paraId="7BB8FE4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211</w:t>
                  </w:r>
                </w:p>
              </w:tc>
              <w:tc>
                <w:tcPr>
                  <w:tcW w:w="2080" w:type="dxa"/>
                  <w:vMerge w:val="continue"/>
                  <w:tcBorders>
                    <w:tl2br w:val="nil"/>
                    <w:tr2bl w:val="nil"/>
                  </w:tcBorders>
                  <w:noWrap w:val="0"/>
                  <w:vAlign w:val="center"/>
                </w:tcPr>
                <w:p w14:paraId="1B2F51C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restart"/>
                  <w:tcBorders>
                    <w:tl2br w:val="nil"/>
                    <w:tr2bl w:val="nil"/>
                  </w:tcBorders>
                  <w:noWrap w:val="0"/>
                  <w:vAlign w:val="center"/>
                </w:tcPr>
                <w:p w14:paraId="08A557D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CBB3F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3338795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0B9295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4A74197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5D604C6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217</w:t>
                  </w:r>
                </w:p>
              </w:tc>
              <w:tc>
                <w:tcPr>
                  <w:tcW w:w="2080" w:type="dxa"/>
                  <w:vMerge w:val="continue"/>
                  <w:tcBorders>
                    <w:tl2br w:val="nil"/>
                    <w:tr2bl w:val="nil"/>
                  </w:tcBorders>
                  <w:noWrap w:val="0"/>
                  <w:vAlign w:val="center"/>
                </w:tcPr>
                <w:p w14:paraId="4981993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49C738B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6D5297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3BD1A02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F66095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4287B53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42FE287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186</w:t>
                  </w:r>
                </w:p>
              </w:tc>
              <w:tc>
                <w:tcPr>
                  <w:tcW w:w="2080" w:type="dxa"/>
                  <w:vMerge w:val="continue"/>
                  <w:tcBorders>
                    <w:tl2br w:val="nil"/>
                    <w:tr2bl w:val="nil"/>
                  </w:tcBorders>
                  <w:noWrap w:val="0"/>
                  <w:vAlign w:val="center"/>
                </w:tcPr>
                <w:p w14:paraId="28C9DF9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554B5ED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43B28D4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6E1EB4A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6C50D9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17A9C7B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16AB8D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174</w:t>
                  </w:r>
                </w:p>
              </w:tc>
              <w:tc>
                <w:tcPr>
                  <w:tcW w:w="2080" w:type="dxa"/>
                  <w:vMerge w:val="continue"/>
                  <w:tcBorders>
                    <w:tl2br w:val="nil"/>
                    <w:tr2bl w:val="nil"/>
                  </w:tcBorders>
                  <w:noWrap w:val="0"/>
                  <w:vAlign w:val="center"/>
                </w:tcPr>
                <w:p w14:paraId="6E55B0D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0FEBEC8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762C6F5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75F0A1E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3565A7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4007CEB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2D72358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166</w:t>
                  </w:r>
                </w:p>
              </w:tc>
              <w:tc>
                <w:tcPr>
                  <w:tcW w:w="2080" w:type="dxa"/>
                  <w:vMerge w:val="continue"/>
                  <w:tcBorders>
                    <w:tl2br w:val="nil"/>
                    <w:tr2bl w:val="nil"/>
                  </w:tcBorders>
                  <w:noWrap w:val="0"/>
                  <w:vAlign w:val="center"/>
                </w:tcPr>
                <w:p w14:paraId="31CA60F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EB78F9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59FD1AC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724235E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7215FA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26EE1A4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0FAE9F8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180</w:t>
                  </w:r>
                </w:p>
              </w:tc>
              <w:tc>
                <w:tcPr>
                  <w:tcW w:w="2080" w:type="dxa"/>
                  <w:vMerge w:val="continue"/>
                  <w:tcBorders>
                    <w:tl2br w:val="nil"/>
                    <w:tr2bl w:val="nil"/>
                  </w:tcBorders>
                  <w:noWrap w:val="0"/>
                  <w:vAlign w:val="center"/>
                </w:tcPr>
                <w:p w14:paraId="7A52923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3180902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7F5366F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747D285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DB89C3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0CCA0EC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5AA0237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188</w:t>
                  </w:r>
                </w:p>
              </w:tc>
              <w:tc>
                <w:tcPr>
                  <w:tcW w:w="2080" w:type="dxa"/>
                  <w:vMerge w:val="continue"/>
                  <w:tcBorders>
                    <w:tl2br w:val="nil"/>
                    <w:tr2bl w:val="nil"/>
                  </w:tcBorders>
                  <w:noWrap w:val="0"/>
                  <w:vAlign w:val="center"/>
                </w:tcPr>
                <w:p w14:paraId="702BA53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00EA3D6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4E4A109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2CAA727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44BE453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6-26</w:t>
                  </w:r>
                </w:p>
              </w:tc>
              <w:tc>
                <w:tcPr>
                  <w:tcW w:w="1554" w:type="dxa"/>
                  <w:tcBorders>
                    <w:tl2br w:val="nil"/>
                    <w:tr2bl w:val="nil"/>
                  </w:tcBorders>
                  <w:noWrap w:val="0"/>
                  <w:vAlign w:val="center"/>
                </w:tcPr>
                <w:p w14:paraId="0591CE2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1072" w:type="dxa"/>
                  <w:tcBorders>
                    <w:tl2br w:val="nil"/>
                    <w:tr2bl w:val="nil"/>
                  </w:tcBorders>
                  <w:noWrap w:val="0"/>
                  <w:vAlign w:val="center"/>
                </w:tcPr>
                <w:p w14:paraId="496CF3F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158</w:t>
                  </w:r>
                </w:p>
              </w:tc>
              <w:tc>
                <w:tcPr>
                  <w:tcW w:w="2080" w:type="dxa"/>
                  <w:vMerge w:val="restart"/>
                  <w:tcBorders>
                    <w:tl2br w:val="nil"/>
                    <w:tr2bl w:val="nil"/>
                  </w:tcBorders>
                  <w:noWrap w:val="0"/>
                  <w:vAlign w:val="center"/>
                </w:tcPr>
                <w:p w14:paraId="32E7320B">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23~</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9-24</w:t>
                  </w:r>
                </w:p>
              </w:tc>
              <w:tc>
                <w:tcPr>
                  <w:tcW w:w="1001" w:type="dxa"/>
                  <w:tcBorders>
                    <w:tl2br w:val="nil"/>
                    <w:tr2bl w:val="nil"/>
                  </w:tcBorders>
                  <w:noWrap w:val="0"/>
                  <w:vAlign w:val="center"/>
                </w:tcPr>
                <w:p w14:paraId="350B04E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r>
            <w:tr w14:paraId="700CE31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60E7883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367746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restart"/>
                  <w:tcBorders>
                    <w:tl2br w:val="nil"/>
                    <w:tr2bl w:val="nil"/>
                  </w:tcBorders>
                  <w:noWrap w:val="0"/>
                  <w:vAlign w:val="center"/>
                </w:tcPr>
                <w:p w14:paraId="19C2EC4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2" w:type="dxa"/>
                  <w:tcBorders>
                    <w:tl2br w:val="nil"/>
                    <w:tr2bl w:val="nil"/>
                  </w:tcBorders>
                  <w:noWrap w:val="0"/>
                  <w:vAlign w:val="center"/>
                </w:tcPr>
                <w:p w14:paraId="5942C13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174</w:t>
                  </w:r>
                </w:p>
              </w:tc>
              <w:tc>
                <w:tcPr>
                  <w:tcW w:w="2080" w:type="dxa"/>
                  <w:vMerge w:val="continue"/>
                  <w:tcBorders>
                    <w:tl2br w:val="nil"/>
                    <w:tr2bl w:val="nil"/>
                  </w:tcBorders>
                  <w:noWrap w:val="0"/>
                  <w:vAlign w:val="center"/>
                </w:tcPr>
                <w:p w14:paraId="2DDB7C9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restart"/>
                  <w:tcBorders>
                    <w:tl2br w:val="nil"/>
                    <w:tr2bl w:val="nil"/>
                  </w:tcBorders>
                  <w:noWrap w:val="0"/>
                  <w:vAlign w:val="center"/>
                </w:tcPr>
                <w:p w14:paraId="157F111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61407AC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ED7A0C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B9CB5F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323BC72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E045A0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156</w:t>
                  </w:r>
                </w:p>
              </w:tc>
              <w:tc>
                <w:tcPr>
                  <w:tcW w:w="2080" w:type="dxa"/>
                  <w:vMerge w:val="continue"/>
                  <w:tcBorders>
                    <w:tl2br w:val="nil"/>
                    <w:tr2bl w:val="nil"/>
                  </w:tcBorders>
                  <w:noWrap w:val="0"/>
                  <w:vAlign w:val="center"/>
                </w:tcPr>
                <w:p w14:paraId="36801C7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6865D1B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0A62764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74C3EB1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A3E29A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1847000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DB151A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156</w:t>
                  </w:r>
                </w:p>
              </w:tc>
              <w:tc>
                <w:tcPr>
                  <w:tcW w:w="2080" w:type="dxa"/>
                  <w:vMerge w:val="continue"/>
                  <w:tcBorders>
                    <w:tl2br w:val="nil"/>
                    <w:tr2bl w:val="nil"/>
                  </w:tcBorders>
                  <w:noWrap w:val="0"/>
                  <w:vAlign w:val="center"/>
                </w:tcPr>
                <w:p w14:paraId="232E705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6DC0AF2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1CA9DF7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3EEC96D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3F5555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5E484A5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312B84E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149</w:t>
                  </w:r>
                </w:p>
              </w:tc>
              <w:tc>
                <w:tcPr>
                  <w:tcW w:w="2080" w:type="dxa"/>
                  <w:vMerge w:val="continue"/>
                  <w:tcBorders>
                    <w:tl2br w:val="nil"/>
                    <w:tr2bl w:val="nil"/>
                  </w:tcBorders>
                  <w:noWrap w:val="0"/>
                  <w:vAlign w:val="center"/>
                </w:tcPr>
                <w:p w14:paraId="3391B9C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4313AD3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3EDC36D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865223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7AC726D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7BA9522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A49F8D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175</w:t>
                  </w:r>
                </w:p>
              </w:tc>
              <w:tc>
                <w:tcPr>
                  <w:tcW w:w="2080" w:type="dxa"/>
                  <w:vMerge w:val="continue"/>
                  <w:tcBorders>
                    <w:tl2br w:val="nil"/>
                    <w:tr2bl w:val="nil"/>
                  </w:tcBorders>
                  <w:noWrap w:val="0"/>
                  <w:vAlign w:val="center"/>
                </w:tcPr>
                <w:p w14:paraId="36DA757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2B2E9F2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7F2B994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3795355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29A7DB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514E50C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2DDC6FA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181</w:t>
                  </w:r>
                </w:p>
              </w:tc>
              <w:tc>
                <w:tcPr>
                  <w:tcW w:w="2080" w:type="dxa"/>
                  <w:vMerge w:val="continue"/>
                  <w:tcBorders>
                    <w:tl2br w:val="nil"/>
                    <w:tr2bl w:val="nil"/>
                  </w:tcBorders>
                  <w:noWrap w:val="0"/>
                  <w:vAlign w:val="center"/>
                </w:tcPr>
                <w:p w14:paraId="759BF66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0479F13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36DAD78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31AC194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CA1E3C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154CFCF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466064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174</w:t>
                  </w:r>
                </w:p>
              </w:tc>
              <w:tc>
                <w:tcPr>
                  <w:tcW w:w="2080" w:type="dxa"/>
                  <w:vMerge w:val="continue"/>
                  <w:tcBorders>
                    <w:tl2br w:val="nil"/>
                    <w:tr2bl w:val="nil"/>
                  </w:tcBorders>
                  <w:noWrap w:val="0"/>
                  <w:vAlign w:val="center"/>
                </w:tcPr>
                <w:p w14:paraId="5F8FED6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663C2EB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143908F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463C300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14E96EE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26~</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6-27</w:t>
                  </w:r>
                </w:p>
              </w:tc>
              <w:tc>
                <w:tcPr>
                  <w:tcW w:w="1554" w:type="dxa"/>
                  <w:tcBorders>
                    <w:tl2br w:val="nil"/>
                    <w:tr2bl w:val="nil"/>
                  </w:tcBorders>
                  <w:noWrap w:val="0"/>
                  <w:vAlign w:val="center"/>
                </w:tcPr>
                <w:p w14:paraId="3FF5941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1072" w:type="dxa"/>
                  <w:tcBorders>
                    <w:tl2br w:val="nil"/>
                    <w:tr2bl w:val="nil"/>
                  </w:tcBorders>
                  <w:noWrap w:val="0"/>
                  <w:vAlign w:val="center"/>
                </w:tcPr>
                <w:p w14:paraId="584D2E0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184</w:t>
                  </w:r>
                </w:p>
              </w:tc>
              <w:tc>
                <w:tcPr>
                  <w:tcW w:w="2080" w:type="dxa"/>
                  <w:vMerge w:val="restart"/>
                  <w:tcBorders>
                    <w:tl2br w:val="nil"/>
                    <w:tr2bl w:val="nil"/>
                  </w:tcBorders>
                  <w:noWrap w:val="0"/>
                  <w:vAlign w:val="center"/>
                </w:tcPr>
                <w:p w14:paraId="6DFE2EBA">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24~</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9-25</w:t>
                  </w:r>
                </w:p>
              </w:tc>
              <w:tc>
                <w:tcPr>
                  <w:tcW w:w="1001" w:type="dxa"/>
                  <w:tcBorders>
                    <w:tl2br w:val="nil"/>
                    <w:tr2bl w:val="nil"/>
                  </w:tcBorders>
                  <w:noWrap w:val="0"/>
                  <w:vAlign w:val="center"/>
                </w:tcPr>
                <w:p w14:paraId="7E32625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r>
            <w:tr w14:paraId="5767F4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C74FAE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EA70F7E">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restart"/>
                  <w:tcBorders>
                    <w:tl2br w:val="nil"/>
                    <w:tr2bl w:val="nil"/>
                  </w:tcBorders>
                  <w:noWrap w:val="0"/>
                  <w:vAlign w:val="center"/>
                </w:tcPr>
                <w:p w14:paraId="239BFBB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2" w:type="dxa"/>
                  <w:tcBorders>
                    <w:tl2br w:val="nil"/>
                    <w:tr2bl w:val="nil"/>
                  </w:tcBorders>
                  <w:noWrap w:val="0"/>
                  <w:vAlign w:val="center"/>
                </w:tcPr>
                <w:p w14:paraId="147B91E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206</w:t>
                  </w:r>
                </w:p>
              </w:tc>
              <w:tc>
                <w:tcPr>
                  <w:tcW w:w="2080" w:type="dxa"/>
                  <w:vMerge w:val="continue"/>
                  <w:tcBorders>
                    <w:tl2br w:val="nil"/>
                    <w:tr2bl w:val="nil"/>
                  </w:tcBorders>
                  <w:noWrap w:val="0"/>
                  <w:vAlign w:val="center"/>
                </w:tcPr>
                <w:p w14:paraId="01BA915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restart"/>
                  <w:tcBorders>
                    <w:tl2br w:val="nil"/>
                    <w:tr2bl w:val="nil"/>
                  </w:tcBorders>
                  <w:noWrap w:val="0"/>
                  <w:vAlign w:val="center"/>
                </w:tcPr>
                <w:p w14:paraId="2B7B42A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1DA66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6A86946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25833E0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191C232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AF0857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137</w:t>
                  </w:r>
                </w:p>
              </w:tc>
              <w:tc>
                <w:tcPr>
                  <w:tcW w:w="2080" w:type="dxa"/>
                  <w:vMerge w:val="continue"/>
                  <w:tcBorders>
                    <w:tl2br w:val="nil"/>
                    <w:tr2bl w:val="nil"/>
                  </w:tcBorders>
                  <w:noWrap w:val="0"/>
                  <w:vAlign w:val="center"/>
                </w:tcPr>
                <w:p w14:paraId="0CC9D4D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6B79070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5EAEDBC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446EDAD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23F5E94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0A96AAE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6880173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203</w:t>
                  </w:r>
                </w:p>
              </w:tc>
              <w:tc>
                <w:tcPr>
                  <w:tcW w:w="2080" w:type="dxa"/>
                  <w:vMerge w:val="continue"/>
                  <w:tcBorders>
                    <w:tl2br w:val="nil"/>
                    <w:tr2bl w:val="nil"/>
                  </w:tcBorders>
                  <w:noWrap w:val="0"/>
                  <w:vAlign w:val="center"/>
                </w:tcPr>
                <w:p w14:paraId="5C12609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4B2FC23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7CEE63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5F55DD1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C05FCA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501BC95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284FED6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180</w:t>
                  </w:r>
                </w:p>
              </w:tc>
              <w:tc>
                <w:tcPr>
                  <w:tcW w:w="2080" w:type="dxa"/>
                  <w:vMerge w:val="continue"/>
                  <w:tcBorders>
                    <w:tl2br w:val="nil"/>
                    <w:tr2bl w:val="nil"/>
                  </w:tcBorders>
                  <w:noWrap w:val="0"/>
                  <w:vAlign w:val="center"/>
                </w:tcPr>
                <w:p w14:paraId="0EACE57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581BFA6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4CA2221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35CEB67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088A1D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05258E2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E82A71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206</w:t>
                  </w:r>
                </w:p>
              </w:tc>
              <w:tc>
                <w:tcPr>
                  <w:tcW w:w="2080" w:type="dxa"/>
                  <w:vMerge w:val="continue"/>
                  <w:tcBorders>
                    <w:tl2br w:val="nil"/>
                    <w:tr2bl w:val="nil"/>
                  </w:tcBorders>
                  <w:noWrap w:val="0"/>
                  <w:vAlign w:val="center"/>
                </w:tcPr>
                <w:p w14:paraId="02C4069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2B42698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70F61D7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58592E5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B7D117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2CAABEC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3F2B901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199</w:t>
                  </w:r>
                </w:p>
              </w:tc>
              <w:tc>
                <w:tcPr>
                  <w:tcW w:w="2080" w:type="dxa"/>
                  <w:vMerge w:val="continue"/>
                  <w:tcBorders>
                    <w:tl2br w:val="nil"/>
                    <w:tr2bl w:val="nil"/>
                  </w:tcBorders>
                  <w:noWrap w:val="0"/>
                  <w:vAlign w:val="center"/>
                </w:tcPr>
                <w:p w14:paraId="0E1C89B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27C88CD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4402A19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0699A38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A74D98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70F57E9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113908A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204</w:t>
                  </w:r>
                </w:p>
              </w:tc>
              <w:tc>
                <w:tcPr>
                  <w:tcW w:w="2080" w:type="dxa"/>
                  <w:vMerge w:val="continue"/>
                  <w:tcBorders>
                    <w:tl2br w:val="nil"/>
                    <w:tr2bl w:val="nil"/>
                  </w:tcBorders>
                  <w:noWrap w:val="0"/>
                  <w:vAlign w:val="center"/>
                </w:tcPr>
                <w:p w14:paraId="1F6946C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2B32D1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6EF1CC9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2068148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2BF7D84C">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27~</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6-28</w:t>
                  </w:r>
                </w:p>
              </w:tc>
              <w:tc>
                <w:tcPr>
                  <w:tcW w:w="1554" w:type="dxa"/>
                  <w:tcBorders>
                    <w:tl2br w:val="nil"/>
                    <w:tr2bl w:val="nil"/>
                  </w:tcBorders>
                  <w:noWrap w:val="0"/>
                  <w:vAlign w:val="center"/>
                </w:tcPr>
                <w:p w14:paraId="39CD379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w:t>
                  </w:r>
                </w:p>
              </w:tc>
              <w:tc>
                <w:tcPr>
                  <w:tcW w:w="1072" w:type="dxa"/>
                  <w:tcBorders>
                    <w:tl2br w:val="nil"/>
                    <w:tr2bl w:val="nil"/>
                  </w:tcBorders>
                  <w:noWrap w:val="0"/>
                  <w:vAlign w:val="center"/>
                </w:tcPr>
                <w:p w14:paraId="52A7C4B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197</w:t>
                  </w:r>
                </w:p>
              </w:tc>
              <w:tc>
                <w:tcPr>
                  <w:tcW w:w="2080" w:type="dxa"/>
                  <w:vMerge w:val="restart"/>
                  <w:tcBorders>
                    <w:tl2br w:val="nil"/>
                    <w:tr2bl w:val="nil"/>
                  </w:tcBorders>
                  <w:noWrap w:val="0"/>
                  <w:vAlign w:val="center"/>
                </w:tcPr>
                <w:p w14:paraId="404A20E6">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25~</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9-26</w:t>
                  </w:r>
                </w:p>
              </w:tc>
              <w:tc>
                <w:tcPr>
                  <w:tcW w:w="1001" w:type="dxa"/>
                  <w:tcBorders>
                    <w:tl2br w:val="nil"/>
                    <w:tr2bl w:val="nil"/>
                  </w:tcBorders>
                  <w:noWrap w:val="0"/>
                  <w:vAlign w:val="center"/>
                </w:tcPr>
                <w:p w14:paraId="5CC7F52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r>
            <w:tr w14:paraId="58824A7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151724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2E4272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restart"/>
                  <w:tcBorders>
                    <w:tl2br w:val="nil"/>
                    <w:tr2bl w:val="nil"/>
                  </w:tcBorders>
                  <w:noWrap w:val="0"/>
                  <w:vAlign w:val="center"/>
                </w:tcPr>
                <w:p w14:paraId="14CE2F5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2" w:type="dxa"/>
                  <w:tcBorders>
                    <w:tl2br w:val="nil"/>
                    <w:tr2bl w:val="nil"/>
                  </w:tcBorders>
                  <w:noWrap w:val="0"/>
                  <w:vAlign w:val="center"/>
                </w:tcPr>
                <w:p w14:paraId="5474AF6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202</w:t>
                  </w:r>
                </w:p>
              </w:tc>
              <w:tc>
                <w:tcPr>
                  <w:tcW w:w="2080" w:type="dxa"/>
                  <w:vMerge w:val="continue"/>
                  <w:tcBorders>
                    <w:tl2br w:val="nil"/>
                    <w:tr2bl w:val="nil"/>
                  </w:tcBorders>
                  <w:noWrap w:val="0"/>
                  <w:vAlign w:val="center"/>
                </w:tcPr>
                <w:p w14:paraId="19CA193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restart"/>
                  <w:tcBorders>
                    <w:tl2br w:val="nil"/>
                    <w:tr2bl w:val="nil"/>
                  </w:tcBorders>
                  <w:noWrap w:val="0"/>
                  <w:vAlign w:val="center"/>
                </w:tcPr>
                <w:p w14:paraId="1370728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1C89D22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191587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5BEFE9A5">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3B2BB58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44D06F3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202</w:t>
                  </w:r>
                </w:p>
              </w:tc>
              <w:tc>
                <w:tcPr>
                  <w:tcW w:w="2080" w:type="dxa"/>
                  <w:vMerge w:val="continue"/>
                  <w:tcBorders>
                    <w:tl2br w:val="nil"/>
                    <w:tr2bl w:val="nil"/>
                  </w:tcBorders>
                  <w:noWrap w:val="0"/>
                  <w:vAlign w:val="center"/>
                </w:tcPr>
                <w:p w14:paraId="1D3A06D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4AE527C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5BFEEF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063EBC4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2E28BAB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32578D5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6342120B">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229</w:t>
                  </w:r>
                </w:p>
              </w:tc>
              <w:tc>
                <w:tcPr>
                  <w:tcW w:w="2080" w:type="dxa"/>
                  <w:vMerge w:val="continue"/>
                  <w:tcBorders>
                    <w:tl2br w:val="nil"/>
                    <w:tr2bl w:val="nil"/>
                  </w:tcBorders>
                  <w:noWrap w:val="0"/>
                  <w:vAlign w:val="center"/>
                </w:tcPr>
                <w:p w14:paraId="4439E8C1">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3D1675C0">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35623EB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09C6284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39F6F2E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318C62E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2378070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181</w:t>
                  </w:r>
                </w:p>
              </w:tc>
              <w:tc>
                <w:tcPr>
                  <w:tcW w:w="2080" w:type="dxa"/>
                  <w:vMerge w:val="continue"/>
                  <w:tcBorders>
                    <w:tl2br w:val="nil"/>
                    <w:tr2bl w:val="nil"/>
                  </w:tcBorders>
                  <w:noWrap w:val="0"/>
                  <w:vAlign w:val="center"/>
                </w:tcPr>
                <w:p w14:paraId="69AE298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2C9933C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3220B4C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6B6A970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61202B6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193AC08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66F767E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201</w:t>
                  </w:r>
                </w:p>
              </w:tc>
              <w:tc>
                <w:tcPr>
                  <w:tcW w:w="2080" w:type="dxa"/>
                  <w:vMerge w:val="continue"/>
                  <w:tcBorders>
                    <w:tl2br w:val="nil"/>
                    <w:tr2bl w:val="nil"/>
                  </w:tcBorders>
                  <w:noWrap w:val="0"/>
                  <w:vAlign w:val="center"/>
                </w:tcPr>
                <w:p w14:paraId="7E7C6FF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4949D73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57B81DA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609F701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2E0828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0BB9140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4EBF99D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230</w:t>
                  </w:r>
                </w:p>
              </w:tc>
              <w:tc>
                <w:tcPr>
                  <w:tcW w:w="2080" w:type="dxa"/>
                  <w:vMerge w:val="continue"/>
                  <w:tcBorders>
                    <w:tl2br w:val="nil"/>
                    <w:tr2bl w:val="nil"/>
                  </w:tcBorders>
                  <w:noWrap w:val="0"/>
                  <w:vAlign w:val="center"/>
                </w:tcPr>
                <w:p w14:paraId="47B0F51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7B20A9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27DDB66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A79C23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E4DF86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6648F6C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15BBC47C">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220</w:t>
                  </w:r>
                </w:p>
              </w:tc>
              <w:tc>
                <w:tcPr>
                  <w:tcW w:w="2080" w:type="dxa"/>
                  <w:vMerge w:val="continue"/>
                  <w:tcBorders>
                    <w:tl2br w:val="nil"/>
                    <w:tr2bl w:val="nil"/>
                  </w:tcBorders>
                  <w:noWrap w:val="0"/>
                  <w:vAlign w:val="center"/>
                </w:tcPr>
                <w:p w14:paraId="2235CA2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4FC752E7">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70D598C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0DBE103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restart"/>
                  <w:tcBorders>
                    <w:tl2br w:val="nil"/>
                    <w:tr2bl w:val="nil"/>
                  </w:tcBorders>
                  <w:noWrap w:val="0"/>
                  <w:vAlign w:val="center"/>
                </w:tcPr>
                <w:p w14:paraId="5DF1919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2021-</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28~</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6-29</w:t>
                  </w:r>
                </w:p>
              </w:tc>
              <w:tc>
                <w:tcPr>
                  <w:tcW w:w="1554" w:type="dxa"/>
                  <w:tcBorders>
                    <w:tl2br w:val="nil"/>
                    <w:tr2bl w:val="nil"/>
                  </w:tcBorders>
                  <w:noWrap w:val="0"/>
                  <w:vAlign w:val="center"/>
                </w:tcPr>
                <w:p w14:paraId="5F9D4C8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w:t>
                  </w:r>
                </w:p>
              </w:tc>
              <w:tc>
                <w:tcPr>
                  <w:tcW w:w="1072" w:type="dxa"/>
                  <w:tcBorders>
                    <w:tl2br w:val="nil"/>
                    <w:tr2bl w:val="nil"/>
                  </w:tcBorders>
                  <w:noWrap w:val="0"/>
                  <w:vAlign w:val="center"/>
                </w:tcPr>
                <w:p w14:paraId="1594C78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218</w:t>
                  </w:r>
                </w:p>
              </w:tc>
              <w:tc>
                <w:tcPr>
                  <w:tcW w:w="2080" w:type="dxa"/>
                  <w:vMerge w:val="restart"/>
                  <w:tcBorders>
                    <w:tl2br w:val="nil"/>
                    <w:tr2bl w:val="nil"/>
                  </w:tcBorders>
                  <w:noWrap w:val="0"/>
                  <w:vAlign w:val="center"/>
                </w:tcPr>
                <w:p w14:paraId="7503BC3B">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021-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26~</w:t>
                  </w:r>
                  <w:r>
                    <w:rPr>
                      <w:rFonts w:hint="eastAsia" w:cs="Times New Roman"/>
                      <w:color w:val="auto"/>
                      <w:sz w:val="21"/>
                      <w:szCs w:val="21"/>
                      <w:highlight w:val="none"/>
                      <w:lang w:val="en-US" w:eastAsia="zh-CN"/>
                    </w:rPr>
                    <w:t>2021-</w:t>
                  </w:r>
                  <w:r>
                    <w:rPr>
                      <w:rFonts w:hint="eastAsia" w:ascii="Times New Roman" w:hAnsi="Times New Roman" w:eastAsia="宋体" w:cs="Times New Roman"/>
                      <w:color w:val="auto"/>
                      <w:sz w:val="21"/>
                      <w:szCs w:val="21"/>
                      <w:highlight w:val="none"/>
                      <w:lang w:val="en-US" w:eastAsia="zh-CN"/>
                    </w:rPr>
                    <w:t>9-27</w:t>
                  </w:r>
                </w:p>
              </w:tc>
              <w:tc>
                <w:tcPr>
                  <w:tcW w:w="1001" w:type="dxa"/>
                  <w:tcBorders>
                    <w:tl2br w:val="nil"/>
                    <w:tr2bl w:val="nil"/>
                  </w:tcBorders>
                  <w:noWrap w:val="0"/>
                  <w:vAlign w:val="center"/>
                </w:tcPr>
                <w:p w14:paraId="0A767A4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r>
            <w:tr w14:paraId="472AD2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727BA95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2CF667A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restart"/>
                  <w:tcBorders>
                    <w:tl2br w:val="nil"/>
                    <w:tr2bl w:val="nil"/>
                  </w:tcBorders>
                  <w:noWrap w:val="0"/>
                  <w:vAlign w:val="center"/>
                </w:tcPr>
                <w:p w14:paraId="576F71B0">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72" w:type="dxa"/>
                  <w:tcBorders>
                    <w:tl2br w:val="nil"/>
                    <w:tr2bl w:val="nil"/>
                  </w:tcBorders>
                  <w:noWrap w:val="0"/>
                  <w:vAlign w:val="center"/>
                </w:tcPr>
                <w:p w14:paraId="72A7B7B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224</w:t>
                  </w:r>
                </w:p>
              </w:tc>
              <w:tc>
                <w:tcPr>
                  <w:tcW w:w="2080" w:type="dxa"/>
                  <w:vMerge w:val="continue"/>
                  <w:tcBorders>
                    <w:tl2br w:val="nil"/>
                    <w:tr2bl w:val="nil"/>
                  </w:tcBorders>
                  <w:noWrap w:val="0"/>
                  <w:vAlign w:val="center"/>
                </w:tcPr>
                <w:p w14:paraId="5ADA0B3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restart"/>
                  <w:tcBorders>
                    <w:tl2br w:val="nil"/>
                    <w:tr2bl w:val="nil"/>
                  </w:tcBorders>
                  <w:noWrap w:val="0"/>
                  <w:vAlign w:val="center"/>
                </w:tcPr>
                <w:p w14:paraId="69EEC63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0F99DA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2FA339E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950218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561FFF8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6392C22E">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224</w:t>
                  </w:r>
                </w:p>
              </w:tc>
              <w:tc>
                <w:tcPr>
                  <w:tcW w:w="2080" w:type="dxa"/>
                  <w:vMerge w:val="continue"/>
                  <w:tcBorders>
                    <w:tl2br w:val="nil"/>
                    <w:tr2bl w:val="nil"/>
                  </w:tcBorders>
                  <w:noWrap w:val="0"/>
                  <w:vAlign w:val="center"/>
                </w:tcPr>
                <w:p w14:paraId="1AAEEEA5">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0FB2D7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5048856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355332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AE1908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347FA2D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11E5E0E3">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232</w:t>
                  </w:r>
                </w:p>
              </w:tc>
              <w:tc>
                <w:tcPr>
                  <w:tcW w:w="2080" w:type="dxa"/>
                  <w:vMerge w:val="continue"/>
                  <w:tcBorders>
                    <w:tl2br w:val="nil"/>
                    <w:tr2bl w:val="nil"/>
                  </w:tcBorders>
                  <w:noWrap w:val="0"/>
                  <w:vAlign w:val="center"/>
                </w:tcPr>
                <w:p w14:paraId="06497B7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7E65C9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r>
            <w:tr w14:paraId="675CD5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3B1AE5D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196EEF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212895F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7F5F2A7A">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221</w:t>
                  </w:r>
                </w:p>
              </w:tc>
              <w:tc>
                <w:tcPr>
                  <w:tcW w:w="2080" w:type="dxa"/>
                  <w:vMerge w:val="continue"/>
                  <w:tcBorders>
                    <w:tl2br w:val="nil"/>
                    <w:tr2bl w:val="nil"/>
                  </w:tcBorders>
                  <w:noWrap w:val="0"/>
                  <w:vAlign w:val="center"/>
                </w:tcPr>
                <w:p w14:paraId="2CE4270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9C11564">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197B0E3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101D19A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1CC4820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14B239FF">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37A0F6BD">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218</w:t>
                  </w:r>
                </w:p>
              </w:tc>
              <w:tc>
                <w:tcPr>
                  <w:tcW w:w="2080" w:type="dxa"/>
                  <w:vMerge w:val="continue"/>
                  <w:tcBorders>
                    <w:tl2br w:val="nil"/>
                    <w:tr2bl w:val="nil"/>
                  </w:tcBorders>
                  <w:noWrap w:val="0"/>
                  <w:vAlign w:val="center"/>
                </w:tcPr>
                <w:p w14:paraId="47BE5AB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378F8B2">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758AA06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0C30E28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45EC4D9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48CC0691">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597A70AF">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238</w:t>
                  </w:r>
                </w:p>
              </w:tc>
              <w:tc>
                <w:tcPr>
                  <w:tcW w:w="2080" w:type="dxa"/>
                  <w:vMerge w:val="continue"/>
                  <w:tcBorders>
                    <w:tl2br w:val="nil"/>
                    <w:tr2bl w:val="nil"/>
                  </w:tcBorders>
                  <w:noWrap w:val="0"/>
                  <w:vAlign w:val="center"/>
                </w:tcPr>
                <w:p w14:paraId="458F377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737C38B9">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063E7AC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1" w:type="dxa"/>
                  <w:vMerge w:val="continue"/>
                  <w:tcBorders>
                    <w:tl2br w:val="nil"/>
                    <w:tr2bl w:val="nil"/>
                  </w:tcBorders>
                  <w:noWrap w:val="0"/>
                  <w:vAlign w:val="center"/>
                </w:tcPr>
                <w:p w14:paraId="20B2801B">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080" w:type="dxa"/>
                  <w:vMerge w:val="continue"/>
                  <w:tcBorders>
                    <w:tl2br w:val="nil"/>
                    <w:tr2bl w:val="nil"/>
                  </w:tcBorders>
                  <w:noWrap w:val="0"/>
                  <w:vAlign w:val="center"/>
                </w:tcPr>
                <w:p w14:paraId="0E12C184">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554" w:type="dxa"/>
                  <w:vMerge w:val="continue"/>
                  <w:tcBorders>
                    <w:tl2br w:val="nil"/>
                    <w:tr2bl w:val="nil"/>
                  </w:tcBorders>
                  <w:noWrap w:val="0"/>
                  <w:vAlign w:val="center"/>
                </w:tcPr>
                <w:p w14:paraId="194D4E9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72" w:type="dxa"/>
                  <w:tcBorders>
                    <w:tl2br w:val="nil"/>
                    <w:tr2bl w:val="nil"/>
                  </w:tcBorders>
                  <w:noWrap w:val="0"/>
                  <w:vAlign w:val="center"/>
                </w:tcPr>
                <w:p w14:paraId="63A411C8">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219</w:t>
                  </w:r>
                </w:p>
              </w:tc>
              <w:tc>
                <w:tcPr>
                  <w:tcW w:w="2080" w:type="dxa"/>
                  <w:vMerge w:val="continue"/>
                  <w:tcBorders>
                    <w:tl2br w:val="nil"/>
                    <w:tr2bl w:val="nil"/>
                  </w:tcBorders>
                  <w:noWrap w:val="0"/>
                  <w:vAlign w:val="center"/>
                </w:tcPr>
                <w:p w14:paraId="2DC93353">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01" w:type="dxa"/>
                  <w:vMerge w:val="continue"/>
                  <w:tcBorders>
                    <w:tl2br w:val="nil"/>
                    <w:tr2bl w:val="nil"/>
                  </w:tcBorders>
                  <w:noWrap w:val="0"/>
                  <w:vAlign w:val="center"/>
                </w:tcPr>
                <w:p w14:paraId="3DA0E3A6">
                  <w:pPr>
                    <w:keepNext w:val="0"/>
                    <w:keepLines w:val="0"/>
                    <w:pageBreakBefore w:val="0"/>
                    <w:widowControl w:val="0"/>
                    <w:suppressLineNumbers w:val="0"/>
                    <w:tabs>
                      <w:tab w:val="right" w:pos="8906"/>
                    </w:tabs>
                    <w:kinsoku/>
                    <w:wordWrap/>
                    <w:overflowPunct/>
                    <w:topLinePunct w:val="0"/>
                    <w:autoSpaceDE/>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p>
              </w:tc>
            </w:tr>
            <w:tr w14:paraId="3E4CEE8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41" w:type="dxa"/>
                  <w:gridSpan w:val="2"/>
                  <w:tcBorders>
                    <w:tl2br w:val="nil"/>
                    <w:tr2bl w:val="nil"/>
                  </w:tcBorders>
                  <w:noWrap w:val="0"/>
                  <w:vAlign w:val="center"/>
                </w:tcPr>
                <w:p w14:paraId="733DA108">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554" w:type="dxa"/>
                  <w:tcBorders>
                    <w:tl2br w:val="nil"/>
                    <w:tr2bl w:val="nil"/>
                  </w:tcBorders>
                  <w:noWrap w:val="0"/>
                  <w:vAlign w:val="center"/>
                </w:tcPr>
                <w:p w14:paraId="215F7896">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00</w:t>
                  </w:r>
                </w:p>
              </w:tc>
              <w:tc>
                <w:tcPr>
                  <w:tcW w:w="1072" w:type="dxa"/>
                  <w:tcBorders>
                    <w:tl2br w:val="nil"/>
                    <w:tr2bl w:val="nil"/>
                  </w:tcBorders>
                  <w:noWrap w:val="0"/>
                  <w:vAlign w:val="center"/>
                </w:tcPr>
                <w:p w14:paraId="410AEBD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2080" w:type="dxa"/>
                  <w:tcBorders>
                    <w:tl2br w:val="nil"/>
                    <w:tr2bl w:val="nil"/>
                  </w:tcBorders>
                  <w:noWrap w:val="0"/>
                  <w:vAlign w:val="center"/>
                </w:tcPr>
                <w:p w14:paraId="039AAB1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001" w:type="dxa"/>
                  <w:tcBorders>
                    <w:tl2br w:val="nil"/>
                    <w:tr2bl w:val="nil"/>
                  </w:tcBorders>
                  <w:noWrap w:val="0"/>
                  <w:vAlign w:val="center"/>
                </w:tcPr>
                <w:p w14:paraId="5D1D6A5A">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r>
            <w:tr w14:paraId="05FEBFF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41" w:type="dxa"/>
                  <w:gridSpan w:val="2"/>
                  <w:tcBorders>
                    <w:tl2br w:val="nil"/>
                    <w:tr2bl w:val="nil"/>
                  </w:tcBorders>
                  <w:noWrap w:val="0"/>
                  <w:vAlign w:val="center"/>
                </w:tcPr>
                <w:p w14:paraId="502A3F2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c>
                <w:tcPr>
                  <w:tcW w:w="1554" w:type="dxa"/>
                  <w:tcBorders>
                    <w:tl2br w:val="nil"/>
                    <w:tr2bl w:val="nil"/>
                  </w:tcBorders>
                  <w:noWrap w:val="0"/>
                  <w:vAlign w:val="center"/>
                </w:tcPr>
                <w:p w14:paraId="43FE02B2">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1072" w:type="dxa"/>
                  <w:tcBorders>
                    <w:tl2br w:val="nil"/>
                    <w:tr2bl w:val="nil"/>
                  </w:tcBorders>
                  <w:noWrap w:val="0"/>
                  <w:vAlign w:val="center"/>
                </w:tcPr>
                <w:p w14:paraId="0078D9D9">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2080" w:type="dxa"/>
                  <w:tcBorders>
                    <w:tl2br w:val="nil"/>
                    <w:tr2bl w:val="nil"/>
                  </w:tcBorders>
                  <w:noWrap w:val="0"/>
                  <w:vAlign w:val="center"/>
                </w:tcPr>
                <w:p w14:paraId="7AC6559D">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c>
                <w:tcPr>
                  <w:tcW w:w="1001" w:type="dxa"/>
                  <w:tcBorders>
                    <w:tl2br w:val="nil"/>
                    <w:tr2bl w:val="nil"/>
                  </w:tcBorders>
                  <w:noWrap w:val="0"/>
                  <w:vAlign w:val="center"/>
                </w:tcPr>
                <w:p w14:paraId="515A3437">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4F6397FE">
            <w:pPr>
              <w:keepNext w:val="0"/>
              <w:keepLines w:val="0"/>
              <w:suppressLineNumbers w:val="0"/>
              <w:spacing w:before="38" w:beforeAutospacing="0" w:after="0" w:afterAutospacing="0" w:line="375" w:lineRule="auto"/>
              <w:ind w:left="106" w:right="102" w:firstLine="482"/>
              <w:jc w:val="both"/>
              <w:rPr>
                <w:rFonts w:hint="default"/>
                <w:color w:val="auto"/>
              </w:rPr>
            </w:pPr>
            <w:r>
              <w:rPr>
                <w:rFonts w:hint="default" w:ascii="Times New Roman" w:hAnsi="Times New Roman" w:eastAsia="宋体" w:cs="Times New Roman"/>
                <w:color w:val="auto"/>
                <w:kern w:val="0"/>
                <w:sz w:val="24"/>
                <w:highlight w:val="none"/>
                <w:lang w:val="en-US" w:eastAsia="zh-CN"/>
              </w:rPr>
              <w:t>根据引用监测结果可知，引用项目区内及下风向保护目标深沟村散户两个监测点TSP</w:t>
            </w:r>
            <w:r>
              <w:rPr>
                <w:rFonts w:hint="eastAsia" w:ascii="Times New Roman" w:hAnsi="Times New Roman" w:eastAsia="宋体" w:cs="Times New Roman"/>
                <w:color w:val="auto"/>
                <w:kern w:val="0"/>
                <w:sz w:val="24"/>
                <w:highlight w:val="none"/>
                <w:lang w:val="en-US" w:eastAsia="zh-CN"/>
              </w:rPr>
              <w:t>、NOx</w:t>
            </w:r>
            <w:r>
              <w:rPr>
                <w:rFonts w:hint="default" w:ascii="Times New Roman" w:hAnsi="Times New Roman" w:eastAsia="宋体" w:cs="Times New Roman"/>
                <w:color w:val="auto"/>
                <w:kern w:val="0"/>
                <w:sz w:val="24"/>
                <w:highlight w:val="none"/>
                <w:lang w:val="en-US" w:eastAsia="zh-CN"/>
              </w:rPr>
              <w:t>日均值浓度能够达到《环境空气质量标准》（GB3095-2012）二级评价标准要求；TVOC</w:t>
            </w:r>
            <w:r>
              <w:rPr>
                <w:rFonts w:hint="eastAsia" w:ascii="Times New Roman" w:hAnsi="Times New Roman" w:eastAsia="宋体" w:cs="Times New Roman"/>
                <w:color w:val="auto"/>
                <w:kern w:val="0"/>
                <w:sz w:val="24"/>
                <w:highlight w:val="none"/>
                <w:lang w:val="en-US" w:eastAsia="zh-CN"/>
              </w:rPr>
              <w:t>满足</w:t>
            </w:r>
            <w:r>
              <w:rPr>
                <w:rFonts w:hint="default" w:ascii="Times New Roman" w:hAnsi="Times New Roman" w:eastAsia="宋体" w:cs="Times New Roman"/>
                <w:color w:val="auto"/>
                <w:kern w:val="0"/>
                <w:sz w:val="24"/>
                <w:highlight w:val="none"/>
                <w:lang w:val="en-US" w:eastAsia="zh-CN"/>
              </w:rPr>
              <w:t>《环境影响评价技术导则 大气环境HJ2.2-2018》附录D中的浓度限值要求</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引用项目上风向甲醛满足《环境影响评价技术导则大气环境 HJ2.2-2018》附录D中的浓度限值要求。</w:t>
            </w:r>
            <w:r>
              <w:rPr>
                <w:rFonts w:hint="eastAsia" w:cs="Times New Roman"/>
                <w:color w:val="auto"/>
                <w:kern w:val="0"/>
                <w:sz w:val="24"/>
                <w:highlight w:val="none"/>
                <w:lang w:val="en-US" w:eastAsia="zh-CN"/>
              </w:rPr>
              <w:t>综上所述，</w:t>
            </w:r>
            <w:r>
              <w:rPr>
                <w:rFonts w:hint="default" w:ascii="Times New Roman" w:hAnsi="Times New Roman" w:eastAsia="宋体" w:cs="Times New Roman"/>
                <w:color w:val="auto"/>
                <w:kern w:val="0"/>
                <w:sz w:val="24"/>
                <w:highlight w:val="none"/>
                <w:lang w:val="en-US" w:eastAsia="zh-CN"/>
              </w:rPr>
              <w:t>项目区环境空气质量满足功能区要求。</w:t>
            </w:r>
          </w:p>
          <w:p w14:paraId="4B358757">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宋体"/>
                <w:b/>
                <w:bCs/>
                <w:color w:val="auto"/>
                <w:kern w:val="0"/>
                <w:sz w:val="24"/>
                <w:szCs w:val="24"/>
              </w:rPr>
            </w:pPr>
            <w:r>
              <w:rPr>
                <w:rFonts w:hint="default" w:ascii="Times New Roman" w:hAnsi="Times New Roman" w:eastAsia="宋体" w:cs="宋体"/>
                <w:b/>
                <w:bCs/>
                <w:color w:val="auto"/>
                <w:kern w:val="0"/>
                <w:sz w:val="24"/>
                <w:szCs w:val="24"/>
              </w:rPr>
              <w:t>地表水环境质量状况</w:t>
            </w:r>
          </w:p>
          <w:p w14:paraId="00A60B1D">
            <w:pPr>
              <w:keepNext w:val="0"/>
              <w:keepLines w:val="0"/>
              <w:suppressLineNumbers w:val="0"/>
              <w:snapToGrid w:val="0"/>
              <w:spacing w:before="0" w:beforeAutospacing="0" w:after="0" w:afterAutospacing="0" w:line="360" w:lineRule="auto"/>
              <w:ind w:left="0" w:right="0" w:firstLine="56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rPr>
              <w:t>本项目涉及的地表水体主要为</w:t>
            </w:r>
            <w:r>
              <w:rPr>
                <w:rFonts w:hint="eastAsia" w:ascii="Times New Roman" w:hAnsi="Times New Roman" w:eastAsia="宋体" w:cs="Times New Roman"/>
                <w:color w:val="auto"/>
                <w:kern w:val="0"/>
                <w:sz w:val="24"/>
                <w:highlight w:val="none"/>
                <w:lang w:val="en-US" w:eastAsia="zh-CN"/>
              </w:rPr>
              <w:t>西侧</w:t>
            </w:r>
            <w:r>
              <w:rPr>
                <w:rFonts w:hint="eastAsia" w:cs="Times New Roman"/>
                <w:color w:val="auto"/>
                <w:kern w:val="0"/>
                <w:sz w:val="24"/>
                <w:highlight w:val="none"/>
                <w:lang w:val="en-US" w:eastAsia="zh-CN"/>
              </w:rPr>
              <w:t>1.5</w:t>
            </w:r>
            <w:r>
              <w:rPr>
                <w:rFonts w:hint="eastAsia" w:ascii="Times New Roman" w:hAnsi="Times New Roman" w:eastAsia="宋体" w:cs="Times New Roman"/>
                <w:color w:val="auto"/>
                <w:kern w:val="0"/>
                <w:sz w:val="24"/>
                <w:highlight w:val="none"/>
                <w:lang w:val="en-US" w:eastAsia="zh-CN"/>
              </w:rPr>
              <w:t>km</w:t>
            </w:r>
            <w:r>
              <w:rPr>
                <w:rFonts w:hint="default" w:ascii="Times New Roman" w:hAnsi="Times New Roman" w:eastAsia="宋体" w:cs="Times New Roman"/>
                <w:color w:val="auto"/>
                <w:kern w:val="0"/>
                <w:sz w:val="24"/>
                <w:highlight w:val="none"/>
              </w:rPr>
              <w:t>处</w:t>
            </w:r>
            <w:r>
              <w:rPr>
                <w:rFonts w:hint="default" w:ascii="Times New Roman" w:hAnsi="Times New Roman" w:cs="Times New Roman"/>
                <w:color w:val="auto"/>
                <w:kern w:val="0"/>
                <w:sz w:val="24"/>
              </w:rPr>
              <w:t>羊街河（果马河）。</w:t>
            </w:r>
            <w:r>
              <w:rPr>
                <w:rFonts w:hint="default" w:ascii="Times New Roman" w:hAnsi="Times New Roman" w:cs="Times New Roman"/>
                <w:color w:val="auto"/>
                <w:sz w:val="24"/>
                <w:szCs w:val="24"/>
              </w:rPr>
              <w:t>根据云南省水利厅2014年5月发布的《云南省水功能区划》（2014年修订），牛栏江（寻甸县河源—</w:t>
            </w:r>
            <w:r>
              <w:rPr>
                <w:rFonts w:hint="eastAsia" w:cs="Times New Roman"/>
                <w:color w:val="auto"/>
                <w:sz w:val="24"/>
                <w:szCs w:val="24"/>
                <w:lang w:eastAsia="zh-CN"/>
              </w:rPr>
              <w:t>沾益区</w:t>
            </w:r>
            <w:r>
              <w:rPr>
                <w:rFonts w:hint="default" w:ascii="Times New Roman" w:hAnsi="Times New Roman" w:cs="Times New Roman"/>
                <w:color w:val="auto"/>
                <w:sz w:val="24"/>
                <w:szCs w:val="24"/>
              </w:rPr>
              <w:t>德泽水库坝址）水功能区划为牛栏江-滇池补水水源保护区。现状水质为Ⅲ类～Ⅴ类，2030年水质目标为III类，羊街河（果马河）位于牛栏江-滇池补水水源保护区，寻甸县河源—</w:t>
            </w:r>
            <w:r>
              <w:rPr>
                <w:rFonts w:hint="eastAsia" w:cs="Times New Roman"/>
                <w:color w:val="auto"/>
                <w:sz w:val="24"/>
                <w:szCs w:val="24"/>
                <w:lang w:eastAsia="zh-CN"/>
              </w:rPr>
              <w:t>沾益区</w:t>
            </w:r>
            <w:r>
              <w:rPr>
                <w:rFonts w:hint="default" w:ascii="Times New Roman" w:hAnsi="Times New Roman" w:cs="Times New Roman"/>
                <w:color w:val="auto"/>
                <w:sz w:val="24"/>
                <w:szCs w:val="24"/>
              </w:rPr>
              <w:t>德泽水库坝址段，功能类别为III类水，执行《地表水环境质量标准》（GB3838-2002）III类标准</w:t>
            </w:r>
            <w:r>
              <w:rPr>
                <w:rFonts w:hint="default" w:ascii="Times New Roman" w:hAnsi="Times New Roman" w:cs="Times New Roman"/>
                <w:color w:val="auto"/>
                <w:kern w:val="0"/>
                <w:sz w:val="24"/>
                <w:szCs w:val="24"/>
                <w:lang w:val="zh-CN"/>
              </w:rPr>
              <w:t>。</w:t>
            </w:r>
          </w:p>
          <w:p w14:paraId="69F26E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宋体"/>
                <w:color w:val="auto"/>
                <w:kern w:val="0"/>
                <w:sz w:val="24"/>
                <w:szCs w:val="24"/>
              </w:rPr>
            </w:pPr>
            <w:r>
              <w:rPr>
                <w:rFonts w:hint="default" w:ascii="Times New Roman" w:hAnsi="Times New Roman" w:cs="Times New Roman"/>
                <w:color w:val="auto"/>
                <w:kern w:val="0"/>
                <w:sz w:val="24"/>
                <w:lang w:val="zh-CN"/>
              </w:rPr>
              <w:t>根据寻甸县人民政府发布的“20</w:t>
            </w:r>
            <w:r>
              <w:rPr>
                <w:rFonts w:hint="default" w:ascii="Times New Roman" w:hAnsi="Times New Roman" w:cs="Times New Roman"/>
                <w:color w:val="auto"/>
                <w:kern w:val="0"/>
                <w:sz w:val="24"/>
              </w:rPr>
              <w:t>2</w:t>
            </w:r>
            <w:r>
              <w:rPr>
                <w:rFonts w:hint="eastAsia" w:cs="Times New Roman"/>
                <w:color w:val="auto"/>
                <w:kern w:val="0"/>
                <w:sz w:val="24"/>
                <w:lang w:val="en-US" w:eastAsia="zh-CN"/>
              </w:rPr>
              <w:t>3</w:t>
            </w:r>
            <w:r>
              <w:rPr>
                <w:rFonts w:hint="default" w:ascii="Times New Roman" w:hAnsi="Times New Roman" w:cs="Times New Roman"/>
                <w:color w:val="auto"/>
                <w:kern w:val="0"/>
                <w:sz w:val="24"/>
                <w:lang w:val="zh-CN"/>
              </w:rPr>
              <w:t>年</w:t>
            </w:r>
            <w:r>
              <w:rPr>
                <w:rFonts w:hint="eastAsia" w:cs="Times New Roman"/>
                <w:color w:val="auto"/>
                <w:kern w:val="0"/>
                <w:sz w:val="24"/>
                <w:lang w:val="en-US" w:eastAsia="zh-CN"/>
              </w:rPr>
              <w:t>7</w:t>
            </w:r>
            <w:r>
              <w:rPr>
                <w:rFonts w:hint="default" w:ascii="Times New Roman" w:hAnsi="Times New Roman" w:cs="Times New Roman"/>
                <w:color w:val="auto"/>
                <w:kern w:val="0"/>
                <w:sz w:val="24"/>
                <w:lang w:val="zh-CN"/>
              </w:rPr>
              <w:t>月寻甸县水环境质量监测月报”，寻甸县环境监测站</w:t>
            </w:r>
            <w:r>
              <w:rPr>
                <w:rFonts w:hint="default" w:ascii="Times New Roman" w:hAnsi="Times New Roman" w:cs="Times New Roman"/>
                <w:color w:val="auto"/>
                <w:kern w:val="0"/>
                <w:sz w:val="24"/>
              </w:rPr>
              <w:t>202</w:t>
            </w:r>
            <w:r>
              <w:rPr>
                <w:rFonts w:hint="eastAsia" w:cs="Times New Roman"/>
                <w:color w:val="auto"/>
                <w:kern w:val="0"/>
                <w:sz w:val="24"/>
                <w:lang w:val="en-US" w:eastAsia="zh-CN"/>
              </w:rPr>
              <w:t>3</w:t>
            </w:r>
            <w:r>
              <w:rPr>
                <w:rFonts w:hint="default" w:ascii="Times New Roman" w:hAnsi="Times New Roman" w:cs="Times New Roman"/>
                <w:color w:val="auto"/>
                <w:kern w:val="0"/>
                <w:sz w:val="24"/>
              </w:rPr>
              <w:t>年</w:t>
            </w:r>
            <w:r>
              <w:rPr>
                <w:rFonts w:hint="eastAsia" w:cs="Times New Roman"/>
                <w:color w:val="auto"/>
                <w:kern w:val="0"/>
                <w:sz w:val="24"/>
                <w:lang w:val="en-US" w:eastAsia="zh-CN"/>
              </w:rPr>
              <w:t>7</w:t>
            </w:r>
            <w:r>
              <w:rPr>
                <w:rFonts w:hint="default" w:ascii="Times New Roman" w:hAnsi="Times New Roman" w:cs="Times New Roman"/>
                <w:color w:val="auto"/>
                <w:kern w:val="0"/>
                <w:sz w:val="24"/>
              </w:rPr>
              <w:t>月</w:t>
            </w:r>
            <w:r>
              <w:rPr>
                <w:rFonts w:hint="eastAsia" w:cs="Times New Roman"/>
                <w:color w:val="auto"/>
                <w:kern w:val="0"/>
                <w:sz w:val="24"/>
                <w:lang w:val="en-US" w:eastAsia="zh-CN"/>
              </w:rPr>
              <w:t>4</w:t>
            </w:r>
            <w:r>
              <w:rPr>
                <w:rFonts w:hint="default" w:ascii="Times New Roman" w:hAnsi="Times New Roman" w:cs="Times New Roman"/>
                <w:color w:val="auto"/>
                <w:kern w:val="0"/>
                <w:sz w:val="24"/>
              </w:rPr>
              <w:t>日</w:t>
            </w:r>
            <w:r>
              <w:rPr>
                <w:rFonts w:hint="default" w:ascii="Times New Roman" w:hAnsi="Times New Roman" w:cs="Times New Roman"/>
                <w:color w:val="auto"/>
                <w:kern w:val="0"/>
                <w:sz w:val="24"/>
                <w:lang w:val="zh-CN"/>
              </w:rPr>
              <w:t>对羊街河</w:t>
            </w:r>
            <w:r>
              <w:rPr>
                <w:rFonts w:hint="eastAsia" w:cs="Times New Roman"/>
                <w:color w:val="auto"/>
                <w:kern w:val="0"/>
                <w:sz w:val="24"/>
                <w:lang w:val="zh-CN"/>
              </w:rPr>
              <w:t>（</w:t>
            </w:r>
            <w:r>
              <w:rPr>
                <w:rFonts w:hint="eastAsia" w:cs="Times New Roman"/>
                <w:color w:val="auto"/>
                <w:kern w:val="0"/>
                <w:sz w:val="24"/>
                <w:lang w:val="en-US" w:eastAsia="zh-CN"/>
              </w:rPr>
              <w:t>果马河</w:t>
            </w:r>
            <w:r>
              <w:rPr>
                <w:rFonts w:hint="eastAsia" w:cs="Times New Roman"/>
                <w:color w:val="auto"/>
                <w:kern w:val="0"/>
                <w:sz w:val="24"/>
                <w:lang w:val="zh-CN"/>
              </w:rPr>
              <w:t>）</w:t>
            </w:r>
            <w:r>
              <w:rPr>
                <w:rFonts w:hint="default" w:ascii="Times New Roman" w:hAnsi="Times New Roman" w:cs="Times New Roman"/>
                <w:color w:val="auto"/>
                <w:kern w:val="0"/>
                <w:sz w:val="24"/>
                <w:lang w:val="zh-CN"/>
              </w:rPr>
              <w:t>李家坝断面的水质监测结果为</w:t>
            </w:r>
            <w:r>
              <w:rPr>
                <w:rFonts w:hint="default" w:ascii="Times New Roman" w:hAnsi="Times New Roman" w:cs="Times New Roman"/>
                <w:color w:val="auto"/>
                <w:sz w:val="24"/>
                <w:szCs w:val="24"/>
              </w:rPr>
              <w:t>III</w:t>
            </w:r>
            <w:r>
              <w:rPr>
                <w:rFonts w:hint="default" w:ascii="Times New Roman" w:hAnsi="Times New Roman" w:cs="Times New Roman"/>
                <w:color w:val="auto"/>
                <w:kern w:val="0"/>
                <w:sz w:val="24"/>
                <w:lang w:val="zh-CN"/>
              </w:rPr>
              <w:t>类</w:t>
            </w:r>
            <w:r>
              <w:rPr>
                <w:rFonts w:hint="eastAsia" w:cs="Times New Roman"/>
                <w:color w:val="auto"/>
                <w:kern w:val="0"/>
                <w:sz w:val="24"/>
                <w:lang w:val="zh-CN"/>
              </w:rPr>
              <w:t>。</w:t>
            </w:r>
            <w:r>
              <w:rPr>
                <w:rFonts w:hint="eastAsia" w:cs="Times New Roman"/>
                <w:color w:val="auto"/>
                <w:kern w:val="0"/>
                <w:sz w:val="24"/>
                <w:lang w:val="en-US" w:eastAsia="zh-CN"/>
              </w:rPr>
              <w:t>故项目区域地表水</w:t>
            </w:r>
            <w:r>
              <w:rPr>
                <w:rFonts w:hint="default" w:ascii="Times New Roman" w:hAnsi="Times New Roman" w:cs="Times New Roman"/>
                <w:color w:val="auto"/>
                <w:kern w:val="0"/>
                <w:sz w:val="24"/>
              </w:rPr>
              <w:t>羊街河（果马河）</w:t>
            </w:r>
            <w:r>
              <w:rPr>
                <w:rFonts w:hint="default" w:ascii="Times New Roman" w:hAnsi="Times New Roman" w:cs="Times New Roman"/>
                <w:color w:val="auto"/>
                <w:kern w:val="0"/>
                <w:sz w:val="24"/>
                <w:lang w:val="zh-CN"/>
              </w:rPr>
              <w:t>能满足 GB3838-2002《地表水环境质量标准》</w:t>
            </w:r>
            <w:r>
              <w:rPr>
                <w:rFonts w:hint="default" w:ascii="Times New Roman" w:hAnsi="Times New Roman" w:cs="Times New Roman"/>
                <w:color w:val="auto"/>
                <w:sz w:val="24"/>
                <w:szCs w:val="24"/>
              </w:rPr>
              <w:t>III</w:t>
            </w:r>
            <w:r>
              <w:rPr>
                <w:rFonts w:hint="default" w:ascii="Times New Roman" w:hAnsi="Times New Roman" w:cs="Times New Roman"/>
                <w:color w:val="auto"/>
                <w:kern w:val="0"/>
                <w:sz w:val="24"/>
                <w:lang w:val="zh-CN"/>
              </w:rPr>
              <w:t>类标准要求</w:t>
            </w:r>
            <w:r>
              <w:rPr>
                <w:rFonts w:hint="default" w:ascii="Times New Roman" w:hAnsi="Times New Roman" w:cs="Times New Roman"/>
                <w:color w:val="auto"/>
                <w:sz w:val="24"/>
                <w:szCs w:val="24"/>
                <w:lang w:val="zh-CN"/>
              </w:rPr>
              <w:t>。</w:t>
            </w:r>
          </w:p>
          <w:p w14:paraId="7E7E9D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宋体"/>
                <w:b/>
                <w:bCs/>
                <w:color w:val="auto"/>
                <w:kern w:val="0"/>
                <w:sz w:val="24"/>
                <w:szCs w:val="24"/>
                <w:highlight w:val="none"/>
              </w:rPr>
            </w:pPr>
            <w:r>
              <w:rPr>
                <w:rFonts w:hint="default" w:ascii="Times New Roman" w:hAnsi="Times New Roman" w:eastAsia="宋体" w:cs="宋体"/>
                <w:b/>
                <w:bCs/>
                <w:color w:val="auto"/>
                <w:kern w:val="0"/>
                <w:sz w:val="24"/>
                <w:szCs w:val="24"/>
                <w:highlight w:val="none"/>
              </w:rPr>
              <w:t>3、声环境质量状况</w:t>
            </w:r>
          </w:p>
          <w:p w14:paraId="0EC4D7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项目位于寻甸特色产业园羊街片区，根据《云南寻甸特色产业园区总体规划修编（2021-2035年）》，</w:t>
            </w:r>
            <w:r>
              <w:rPr>
                <w:rFonts w:hint="default" w:ascii="Times New Roman" w:hAnsi="Times New Roman" w:eastAsia="宋体" w:cs="Times New Roman"/>
                <w:color w:val="auto"/>
                <w:sz w:val="24"/>
                <w:highlight w:val="none"/>
              </w:rPr>
              <w:t>项目所在区域属于3类声环境功能区，</w:t>
            </w:r>
            <w:r>
              <w:rPr>
                <w:rFonts w:hint="eastAsia" w:ascii="Times New Roman" w:hAnsi="Times New Roman" w:eastAsia="宋体" w:cs="Times New Roman"/>
                <w:color w:val="auto"/>
                <w:sz w:val="24"/>
                <w:highlight w:val="none"/>
                <w:lang w:val="en-US" w:eastAsia="zh-CN"/>
              </w:rPr>
              <w:t>执行</w:t>
            </w:r>
            <w:r>
              <w:rPr>
                <w:rFonts w:hint="default" w:ascii="Times New Roman" w:hAnsi="Times New Roman" w:eastAsia="宋体" w:cs="Times New Roman"/>
                <w:color w:val="auto"/>
                <w:sz w:val="24"/>
                <w:highlight w:val="none"/>
              </w:rPr>
              <w:t>《声环境质量标准》（GB3096-2008）3类</w:t>
            </w:r>
            <w:r>
              <w:rPr>
                <w:rFonts w:hint="eastAsia" w:ascii="Times New Roman" w:hAnsi="Times New Roman" w:eastAsia="宋体" w:cs="Times New Roman"/>
                <w:color w:val="auto"/>
                <w:sz w:val="24"/>
                <w:highlight w:val="none"/>
                <w:lang w:val="en-US" w:eastAsia="zh-CN"/>
              </w:rPr>
              <w:t>标准</w:t>
            </w:r>
            <w:r>
              <w:rPr>
                <w:rFonts w:hint="eastAsia"/>
                <w:color w:val="auto"/>
                <w:sz w:val="24"/>
                <w:szCs w:val="24"/>
                <w:highlight w:val="none"/>
                <w:lang w:val="en-US" w:eastAsia="zh-CN"/>
              </w:rPr>
              <w:t>。</w:t>
            </w:r>
          </w:p>
          <w:p w14:paraId="4CA49531">
            <w:pPr>
              <w:pStyle w:val="73"/>
              <w:snapToGrid w:val="0"/>
              <w:rPr>
                <w:rFonts w:hint="eastAsia" w:cs="Times New Roman"/>
                <w:bCs/>
                <w:color w:val="auto"/>
                <w:sz w:val="24"/>
                <w:highlight w:val="none"/>
                <w:lang w:val="en-US" w:eastAsia="zh-CN"/>
              </w:rPr>
            </w:pPr>
            <w:r>
              <w:rPr>
                <w:rFonts w:hint="default"/>
                <w:color w:val="auto"/>
                <w:sz w:val="24"/>
                <w:highlight w:val="none"/>
              </w:rPr>
              <w:t>根据调查资料和现场踏勘，项目区周边200m范围主要为</w:t>
            </w:r>
            <w:r>
              <w:rPr>
                <w:rFonts w:hint="eastAsia"/>
                <w:color w:val="auto"/>
                <w:sz w:val="24"/>
                <w:highlight w:val="none"/>
                <w:lang w:eastAsia="zh-CN"/>
              </w:rPr>
              <w:t>园区其他在建企业及未建企业</w:t>
            </w:r>
            <w:r>
              <w:rPr>
                <w:rFonts w:hint="default"/>
                <w:color w:val="auto"/>
                <w:sz w:val="24"/>
                <w:highlight w:val="none"/>
              </w:rPr>
              <w:t>，无较大工业噪声源</w:t>
            </w:r>
            <w:r>
              <w:rPr>
                <w:rFonts w:hint="eastAsia"/>
                <w:color w:val="auto"/>
                <w:sz w:val="24"/>
                <w:highlight w:val="none"/>
                <w:lang w:val="en-US" w:eastAsia="zh-CN"/>
              </w:rPr>
              <w:t>，且</w:t>
            </w:r>
            <w:r>
              <w:rPr>
                <w:rFonts w:hint="default"/>
                <w:color w:val="auto"/>
                <w:sz w:val="24"/>
                <w:highlight w:val="none"/>
              </w:rPr>
              <w:t>本项目厂界外50米范围内不存在声环境保护目标</w:t>
            </w:r>
            <w:r>
              <w:rPr>
                <w:rFonts w:hint="eastAsia"/>
                <w:color w:val="auto"/>
                <w:sz w:val="24"/>
                <w:highlight w:val="none"/>
                <w:lang w:eastAsia="zh-CN"/>
              </w:rPr>
              <w:t>。</w:t>
            </w:r>
            <w:r>
              <w:rPr>
                <w:rFonts w:hint="default"/>
                <w:color w:val="auto"/>
                <w:sz w:val="24"/>
                <w:highlight w:val="none"/>
              </w:rPr>
              <w:t>根</w:t>
            </w:r>
            <w:r>
              <w:rPr>
                <w:rFonts w:hint="default" w:ascii="Times New Roman" w:hAnsi="Times New Roman" w:eastAsia="宋体" w:cs="Times New Roman"/>
                <w:bCs/>
                <w:color w:val="auto"/>
                <w:sz w:val="24"/>
                <w:highlight w:val="none"/>
              </w:rPr>
              <w:t>据《202</w:t>
            </w:r>
            <w:r>
              <w:rPr>
                <w:rFonts w:hint="eastAsia"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eastAsia="zh-CN"/>
              </w:rPr>
              <w:t>昆明</w:t>
            </w:r>
            <w:r>
              <w:rPr>
                <w:rFonts w:hint="eastAsia" w:cs="Times New Roman"/>
                <w:bCs/>
                <w:color w:val="auto"/>
                <w:sz w:val="24"/>
                <w:highlight w:val="none"/>
                <w:lang w:eastAsia="zh-CN"/>
              </w:rPr>
              <w:t>主城区</w:t>
            </w:r>
            <w:r>
              <w:rPr>
                <w:rFonts w:hint="eastAsia" w:cs="Times New Roman"/>
                <w:bCs/>
                <w:color w:val="auto"/>
                <w:sz w:val="24"/>
                <w:highlight w:val="none"/>
                <w:lang w:val="en-US" w:eastAsia="zh-CN"/>
              </w:rPr>
              <w:t>各类功能区昼间、夜间声环境质量基本达标。主城区昼间区域环境噪声总体水平达二级（较好），各县（市）区区域环境噪声总体水平在一级（好）和二级（较好）之间。与2021年相比，东川区、石林县、寻甸县的昼间区域声环境质量平均等效声级上升。</w:t>
            </w:r>
          </w:p>
          <w:p w14:paraId="484D0D95">
            <w:pPr>
              <w:pStyle w:val="73"/>
              <w:snapToGrid w:val="0"/>
              <w:rPr>
                <w:rFonts w:hint="default" w:cs="Times New Roman"/>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rPr>
              <w:t>项目区声环境质量较好，能够满足</w:t>
            </w:r>
            <w:r>
              <w:rPr>
                <w:rFonts w:hint="default" w:ascii="Times New Roman" w:hAnsi="Times New Roman" w:eastAsia="宋体" w:cs="Times New Roman"/>
                <w:color w:val="auto"/>
                <w:sz w:val="24"/>
                <w:highlight w:val="none"/>
                <w:lang w:val="zh-CN"/>
              </w:rPr>
              <w:t>《声环境质量标准》（GB3096-2008）</w:t>
            </w: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zh-CN"/>
              </w:rPr>
              <w:t>类区标准。</w:t>
            </w:r>
          </w:p>
          <w:p w14:paraId="7B041651">
            <w:pPr>
              <w:keepNext w:val="0"/>
              <w:keepLines w:val="0"/>
              <w:suppressLineNumbers w:val="0"/>
              <w:spacing w:before="0" w:beforeAutospacing="0" w:after="0" w:afterAutospacing="0" w:line="360" w:lineRule="auto"/>
              <w:ind w:left="0" w:right="0" w:firstLine="482" w:firstLineChars="200"/>
              <w:jc w:val="both"/>
              <w:rPr>
                <w:rFonts w:hint="default" w:ascii="Times New Roman" w:hAnsi="Times New Roman"/>
                <w:b/>
                <w:bCs/>
                <w:color w:val="auto"/>
                <w:kern w:val="0"/>
                <w:sz w:val="24"/>
                <w:szCs w:val="24"/>
              </w:rPr>
            </w:pPr>
            <w:r>
              <w:rPr>
                <w:rFonts w:hint="default" w:ascii="Times New Roman" w:hAnsi="Times New Roman"/>
                <w:b/>
                <w:bCs/>
                <w:color w:val="auto"/>
                <w:kern w:val="0"/>
                <w:sz w:val="24"/>
                <w:szCs w:val="24"/>
              </w:rPr>
              <w:t>4、生态环境质量现状</w:t>
            </w:r>
          </w:p>
          <w:p w14:paraId="79F0365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宋体"/>
                <w:color w:val="auto"/>
                <w:kern w:val="0"/>
                <w:szCs w:val="21"/>
              </w:rPr>
            </w:pPr>
            <w:r>
              <w:rPr>
                <w:rFonts w:hint="default" w:ascii="Times New Roman" w:hAnsi="Times New Roman" w:eastAsia="宋体" w:cs="Times New Roman"/>
                <w:color w:val="auto"/>
                <w:sz w:val="24"/>
                <w:szCs w:val="24"/>
                <w:lang w:val="zh-CN"/>
              </w:rPr>
              <w:t>项目</w:t>
            </w:r>
            <w:r>
              <w:rPr>
                <w:rFonts w:hint="eastAsia" w:cs="Times New Roman"/>
                <w:color w:val="auto"/>
                <w:sz w:val="24"/>
                <w:szCs w:val="24"/>
                <w:lang w:val="en-US" w:eastAsia="zh-CN"/>
              </w:rPr>
              <w:t>位于</w:t>
            </w:r>
            <w:r>
              <w:rPr>
                <w:rFonts w:hint="eastAsia" w:ascii="Times New Roman" w:hAnsi="Times New Roman" w:eastAsia="宋体" w:cs="Times New Roman"/>
                <w:color w:val="auto"/>
                <w:sz w:val="24"/>
                <w:szCs w:val="24"/>
                <w:lang w:val="en-US" w:eastAsia="zh-CN"/>
              </w:rPr>
              <w:t>寻甸产业园区羊街片区，属</w:t>
            </w:r>
            <w:r>
              <w:rPr>
                <w:rFonts w:hint="default" w:ascii="Times New Roman" w:hAnsi="Times New Roman" w:eastAsia="宋体" w:cs="Times New Roman"/>
                <w:color w:val="auto"/>
                <w:sz w:val="24"/>
                <w:szCs w:val="24"/>
                <w:lang w:val="en-US" w:eastAsia="zh-CN"/>
              </w:rPr>
              <w:t>规划的工业园区</w:t>
            </w:r>
            <w:r>
              <w:rPr>
                <w:rFonts w:hint="eastAsia" w:cs="Times New Roman"/>
                <w:color w:val="auto"/>
                <w:sz w:val="24"/>
                <w:szCs w:val="24"/>
                <w:lang w:val="en-US" w:eastAsia="zh-CN"/>
              </w:rPr>
              <w:t>。根据现场踏勘，项目占地范围内已建厂房。项目所在</w:t>
            </w:r>
            <w:r>
              <w:rPr>
                <w:rFonts w:hint="default"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lang w:val="zh-CN"/>
              </w:rPr>
              <w:t>现状主要为水泥路面和人工绿化植被，无天然植被，生态环境自我调节能力低。</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zh-CN"/>
              </w:rPr>
              <w:t>调查范围内未涉及国家保护的珍贵野生动、植物。</w:t>
            </w:r>
            <w:r>
              <w:rPr>
                <w:rFonts w:hint="default" w:ascii="Times New Roman" w:hAnsi="Times New Roman" w:eastAsia="宋体" w:cs="Times New Roman"/>
                <w:color w:val="auto"/>
                <w:sz w:val="24"/>
                <w:szCs w:val="24"/>
                <w:lang w:val="en-US" w:eastAsia="zh-CN"/>
              </w:rPr>
              <w:t>评价范围</w:t>
            </w:r>
            <w:r>
              <w:rPr>
                <w:rFonts w:hint="default" w:ascii="Times New Roman" w:hAnsi="Times New Roman" w:eastAsia="宋体" w:cs="Times New Roman"/>
                <w:color w:val="auto"/>
                <w:sz w:val="24"/>
                <w:szCs w:val="24"/>
                <w:lang w:val="zh-CN"/>
              </w:rPr>
              <w:t>内无自然保护区、风景名胜区、森林公园、历史文化遗迹等需要特殊保护的生态敏感目标，无国家</w:t>
            </w:r>
            <w:r>
              <w:rPr>
                <w:rFonts w:hint="eastAsia" w:cs="Times New Roman"/>
                <w:color w:val="auto"/>
                <w:sz w:val="24"/>
                <w:szCs w:val="24"/>
                <w:lang w:val="zh-CN"/>
              </w:rPr>
              <w:t>珍稀濒危</w:t>
            </w:r>
            <w:r>
              <w:rPr>
                <w:rFonts w:hint="default" w:ascii="Times New Roman" w:hAnsi="Times New Roman" w:eastAsia="宋体" w:cs="Times New Roman"/>
                <w:color w:val="auto"/>
                <w:sz w:val="24"/>
                <w:szCs w:val="24"/>
                <w:lang w:val="zh-CN"/>
              </w:rPr>
              <w:t>保护物种、国家重点保护野生植物和云南省级重点野生保护动物，也没有特有种类存在</w:t>
            </w:r>
            <w:r>
              <w:rPr>
                <w:rFonts w:hint="eastAsia"/>
                <w:color w:val="auto"/>
                <w:sz w:val="24"/>
                <w:szCs w:val="24"/>
                <w:lang w:val="en-US" w:eastAsia="zh-CN"/>
              </w:rPr>
              <w:t>。</w:t>
            </w:r>
          </w:p>
        </w:tc>
      </w:tr>
      <w:tr w14:paraId="78493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416CFF4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环境</w:t>
            </w:r>
          </w:p>
          <w:p w14:paraId="3E003E2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保护</w:t>
            </w:r>
          </w:p>
          <w:p w14:paraId="678C493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目标</w:t>
            </w:r>
          </w:p>
        </w:tc>
        <w:tc>
          <w:tcPr>
            <w:tcW w:w="9081" w:type="dxa"/>
            <w:noWrap w:val="0"/>
            <w:vAlign w:val="top"/>
          </w:tcPr>
          <w:p w14:paraId="724BCE5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根据现场调查，区域内无自然保护区、水源保护区、文教敏感区、国家和地方级文物古迹、珍稀动植物保护物种等。</w:t>
            </w:r>
          </w:p>
          <w:p w14:paraId="52A9EA5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b/>
                <w:bCs/>
                <w:color w:val="auto"/>
                <w:sz w:val="24"/>
                <w:szCs w:val="24"/>
                <w:lang w:val="en-US" w:eastAsia="zh-CN"/>
              </w:rPr>
            </w:pPr>
            <w:r>
              <w:rPr>
                <w:rFonts w:hint="eastAsia"/>
                <w:b/>
                <w:bCs/>
                <w:color w:val="auto"/>
                <w:sz w:val="24"/>
                <w:szCs w:val="24"/>
                <w:lang w:val="en-US" w:eastAsia="zh-CN"/>
              </w:rPr>
              <w:t>1、大气</w:t>
            </w:r>
            <w:r>
              <w:rPr>
                <w:rFonts w:hint="default"/>
                <w:b/>
                <w:bCs/>
                <w:color w:val="auto"/>
                <w:sz w:val="24"/>
                <w:szCs w:val="24"/>
                <w:lang w:val="en-US" w:eastAsia="zh-CN"/>
              </w:rPr>
              <w:t>环境</w:t>
            </w:r>
          </w:p>
          <w:p w14:paraId="4F2781FE">
            <w:pPr>
              <w:pStyle w:val="7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val="en-US" w:eastAsia="zh-CN"/>
              </w:rPr>
              <w:t>周边</w:t>
            </w:r>
            <w:r>
              <w:rPr>
                <w:rFonts w:hint="default" w:ascii="Times New Roman" w:hAnsi="Times New Roman" w:eastAsia="宋体" w:cs="Times New Roman"/>
                <w:color w:val="auto"/>
                <w:sz w:val="24"/>
                <w:szCs w:val="24"/>
                <w:highlight w:val="none"/>
                <w:lang w:val="en-US" w:eastAsia="zh-CN"/>
              </w:rPr>
              <w:t>500m</w:t>
            </w:r>
            <w:r>
              <w:rPr>
                <w:rFonts w:hint="default" w:ascii="Times New Roman" w:hAnsi="Times New Roman" w:eastAsia="宋体" w:cs="Times New Roman"/>
                <w:color w:val="auto"/>
                <w:sz w:val="24"/>
                <w:szCs w:val="24"/>
                <w:highlight w:val="none"/>
              </w:rPr>
              <w:t>范围内</w:t>
            </w:r>
            <w:r>
              <w:rPr>
                <w:rFonts w:hint="eastAsia" w:cs="Times New Roman"/>
                <w:color w:val="auto"/>
                <w:sz w:val="24"/>
                <w:szCs w:val="24"/>
                <w:highlight w:val="none"/>
                <w:lang w:val="en-US" w:eastAsia="zh-CN"/>
              </w:rPr>
              <w:t>无</w:t>
            </w:r>
            <w:r>
              <w:rPr>
                <w:rFonts w:hint="default" w:ascii="Times New Roman" w:hAnsi="Times New Roman" w:eastAsia="宋体" w:cs="Times New Roman"/>
                <w:color w:val="auto"/>
                <w:sz w:val="24"/>
                <w:szCs w:val="24"/>
                <w:highlight w:val="none"/>
              </w:rPr>
              <w:t>环境空气</w:t>
            </w:r>
            <w:r>
              <w:rPr>
                <w:rFonts w:hint="eastAsia" w:cs="Times New Roman"/>
                <w:color w:val="auto"/>
                <w:sz w:val="24"/>
                <w:szCs w:val="24"/>
                <w:highlight w:val="none"/>
                <w:lang w:val="en-US" w:eastAsia="zh-CN"/>
              </w:rPr>
              <w:t>保护目标</w:t>
            </w:r>
            <w:r>
              <w:rPr>
                <w:rFonts w:hint="eastAsia"/>
                <w:color w:val="auto"/>
                <w:sz w:val="24"/>
                <w:szCs w:val="24"/>
                <w:lang w:val="en-US" w:eastAsia="zh-CN"/>
              </w:rPr>
              <w:t>。</w:t>
            </w:r>
          </w:p>
          <w:p w14:paraId="2BD01F5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、声环境</w:t>
            </w:r>
          </w:p>
          <w:p w14:paraId="5669E5C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color w:val="auto"/>
                <w:sz w:val="24"/>
                <w:szCs w:val="24"/>
                <w:lang w:val="en-US" w:eastAsia="zh-CN"/>
              </w:rPr>
            </w:pPr>
            <w:r>
              <w:rPr>
                <w:rFonts w:hint="default" w:ascii="Times New Roman" w:hAnsi="Times New Roman" w:eastAsia="宋体" w:cs="Times New Roman"/>
                <w:color w:val="auto"/>
                <w:sz w:val="24"/>
                <w:szCs w:val="24"/>
                <w:lang w:val="en-US" w:eastAsia="zh-CN"/>
              </w:rPr>
              <w:t>根据现场踏勘，项目厂界外</w:t>
            </w:r>
            <w:r>
              <w:rPr>
                <w:rFonts w:hint="default" w:ascii="Times New Roman" w:hAnsi="Times New Roman" w:eastAsia="宋体" w:cs="Times New Roman"/>
                <w:color w:val="auto"/>
                <w:sz w:val="24"/>
                <w:szCs w:val="24"/>
                <w:highlight w:val="none"/>
                <w:lang w:val="en-US" w:eastAsia="zh-CN"/>
              </w:rPr>
              <w:t>周边</w:t>
            </w:r>
            <w:r>
              <w:rPr>
                <w:rFonts w:hint="default" w:ascii="Times New Roman" w:hAnsi="Times New Roman" w:eastAsia="宋体" w:cs="Times New Roman"/>
                <w:color w:val="auto"/>
                <w:sz w:val="24"/>
                <w:szCs w:val="24"/>
                <w:lang w:val="en-US" w:eastAsia="zh-CN"/>
              </w:rPr>
              <w:t>50m范围内无声环境保护目标</w:t>
            </w:r>
            <w:r>
              <w:rPr>
                <w:rFonts w:hint="eastAsia"/>
                <w:color w:val="auto"/>
                <w:sz w:val="24"/>
                <w:szCs w:val="24"/>
                <w:lang w:val="en-US" w:eastAsia="zh-CN"/>
              </w:rPr>
              <w:t>。</w:t>
            </w:r>
          </w:p>
          <w:p w14:paraId="1BC9A035">
            <w:pPr>
              <w:pStyle w:val="13"/>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14:paraId="22097CEB">
            <w:pPr>
              <w:keepNext w:val="0"/>
              <w:keepLines w:val="0"/>
              <w:suppressLineNumbers w:val="0"/>
              <w:snapToGrid w:val="0"/>
              <w:spacing w:before="0" w:beforeAutospacing="0" w:after="0" w:afterAutospacing="0" w:line="360" w:lineRule="auto"/>
              <w:ind w:left="0" w:right="0" w:firstLine="560"/>
              <w:rPr>
                <w:rFonts w:hint="default" w:ascii="Times New Roman" w:hAnsi="Times New Roman" w:cs="Times New Roman"/>
                <w:color w:val="auto"/>
                <w:kern w:val="0"/>
                <w:sz w:val="24"/>
                <w:highlight w:val="none"/>
                <w:lang w:val="zh-CN"/>
              </w:rPr>
            </w:pPr>
            <w:r>
              <w:rPr>
                <w:rFonts w:hint="default" w:ascii="Times New Roman" w:hAnsi="Times New Roman" w:cs="Times New Roman"/>
                <w:color w:val="auto"/>
                <w:kern w:val="0"/>
                <w:sz w:val="24"/>
                <w:highlight w:val="none"/>
              </w:rPr>
              <w:t>本项目涉及的地表水体主要为</w:t>
            </w:r>
            <w:r>
              <w:rPr>
                <w:rFonts w:hint="eastAsia" w:ascii="Times New Roman" w:hAnsi="Times New Roman" w:eastAsia="宋体" w:cs="Times New Roman"/>
                <w:color w:val="auto"/>
                <w:kern w:val="0"/>
                <w:sz w:val="24"/>
                <w:highlight w:val="none"/>
                <w:lang w:val="en-US" w:eastAsia="zh-CN"/>
              </w:rPr>
              <w:t>西侧</w:t>
            </w:r>
            <w:r>
              <w:rPr>
                <w:rFonts w:hint="eastAsia" w:cs="Times New Roman"/>
                <w:color w:val="auto"/>
                <w:kern w:val="0"/>
                <w:sz w:val="24"/>
                <w:highlight w:val="none"/>
                <w:lang w:val="en-US" w:eastAsia="zh-CN"/>
              </w:rPr>
              <w:t>1.5km</w:t>
            </w:r>
            <w:r>
              <w:rPr>
                <w:rFonts w:hint="default" w:ascii="Times New Roman" w:hAnsi="Times New Roman" w:eastAsia="宋体" w:cs="Times New Roman"/>
                <w:color w:val="auto"/>
                <w:kern w:val="0"/>
                <w:sz w:val="24"/>
                <w:highlight w:val="none"/>
              </w:rPr>
              <w:t>处</w:t>
            </w:r>
            <w:r>
              <w:rPr>
                <w:rFonts w:hint="default" w:ascii="Times New Roman" w:hAnsi="Times New Roman" w:cs="Times New Roman"/>
                <w:color w:val="auto"/>
                <w:kern w:val="0"/>
                <w:sz w:val="24"/>
                <w:highlight w:val="none"/>
              </w:rPr>
              <w:t>羊街河（果马河）</w:t>
            </w:r>
            <w:r>
              <w:rPr>
                <w:rFonts w:hint="eastAsia" w:ascii="Times New Roman" w:hAnsi="Times New Roman" w:cs="Times New Roman"/>
                <w:color w:val="auto"/>
                <w:kern w:val="0"/>
                <w:sz w:val="24"/>
                <w:highlight w:val="none"/>
                <w:lang w:eastAsia="zh-CN"/>
              </w:rPr>
              <w:t>，按</w:t>
            </w:r>
            <w:r>
              <w:rPr>
                <w:rFonts w:hint="default" w:ascii="Times New Roman" w:hAnsi="Times New Roman" w:cs="Times New Roman"/>
                <w:color w:val="auto"/>
                <w:sz w:val="24"/>
                <w:szCs w:val="24"/>
                <w:highlight w:val="none"/>
              </w:rPr>
              <w:t>《地表水环境质量标准》（GB3838-2002）III类</w:t>
            </w:r>
            <w:r>
              <w:rPr>
                <w:rFonts w:hint="eastAsia" w:ascii="Times New Roman" w:hAnsi="Times New Roman" w:cs="Times New Roman"/>
                <w:color w:val="auto"/>
                <w:sz w:val="24"/>
                <w:szCs w:val="24"/>
                <w:highlight w:val="none"/>
                <w:lang w:eastAsia="zh-CN"/>
              </w:rPr>
              <w:t>进行保护</w:t>
            </w:r>
            <w:r>
              <w:rPr>
                <w:rFonts w:hint="default" w:ascii="Times New Roman" w:hAnsi="Times New Roman" w:cs="Times New Roman"/>
                <w:color w:val="auto"/>
                <w:kern w:val="0"/>
                <w:sz w:val="24"/>
                <w:szCs w:val="24"/>
                <w:highlight w:val="none"/>
                <w:lang w:val="zh-CN"/>
              </w:rPr>
              <w:t>。</w:t>
            </w:r>
          </w:p>
          <w:p w14:paraId="08358D7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4、地下水</w:t>
            </w:r>
          </w:p>
          <w:p w14:paraId="26C6BBF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auto"/>
                <w:sz w:val="24"/>
                <w:szCs w:val="24"/>
                <w:lang w:val="en-US" w:eastAsia="zh-CN"/>
              </w:rPr>
            </w:pPr>
            <w:r>
              <w:rPr>
                <w:rFonts w:hint="default" w:ascii="Times New Roman" w:hAnsi="Times New Roman" w:eastAsia="宋体" w:cs="Times New Roman"/>
                <w:color w:val="auto"/>
                <w:sz w:val="24"/>
                <w:szCs w:val="24"/>
                <w:lang w:val="en-US" w:eastAsia="zh-CN"/>
              </w:rPr>
              <w:t>根据现场踏勘，</w:t>
            </w:r>
            <w:r>
              <w:rPr>
                <w:rFonts w:hint="eastAsia"/>
                <w:color w:val="auto"/>
                <w:sz w:val="24"/>
                <w:szCs w:val="24"/>
                <w:lang w:val="en-US" w:eastAsia="zh-CN"/>
              </w:rPr>
              <w:t>本项目</w:t>
            </w:r>
            <w:r>
              <w:rPr>
                <w:rFonts w:hint="default"/>
                <w:color w:val="auto"/>
                <w:sz w:val="24"/>
                <w:szCs w:val="24"/>
                <w:lang w:val="en-US" w:eastAsia="zh-CN"/>
              </w:rPr>
              <w:t>厂界外500米范围内无地下水集中式饮用水水源和热水、矿泉水、温泉等特殊地下水资源。</w:t>
            </w:r>
          </w:p>
          <w:p w14:paraId="0DC699F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5、生态环境</w:t>
            </w:r>
          </w:p>
          <w:p w14:paraId="11576A30">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lang w:val="zh-CN"/>
              </w:rPr>
              <w:t>本项目位于</w:t>
            </w:r>
            <w:r>
              <w:rPr>
                <w:rFonts w:hint="default" w:ascii="Times New Roman" w:hAnsi="Times New Roman" w:eastAsia="宋体" w:cs="Times New Roman"/>
                <w:color w:val="auto"/>
                <w:sz w:val="24"/>
                <w:szCs w:val="24"/>
                <w:highlight w:val="none"/>
                <w:u w:val="none"/>
                <w:lang w:val="en-US" w:eastAsia="zh-CN"/>
              </w:rPr>
              <w:t>寻甸县寻甸特色产业园区</w:t>
            </w:r>
            <w:r>
              <w:rPr>
                <w:rFonts w:hint="eastAsia" w:ascii="Times New Roman" w:hAnsi="Times New Roman" w:eastAsia="宋体" w:cs="Times New Roman"/>
                <w:color w:val="auto"/>
                <w:sz w:val="24"/>
                <w:szCs w:val="24"/>
                <w:highlight w:val="none"/>
                <w:u w:val="none"/>
                <w:lang w:val="en-US" w:eastAsia="zh-CN"/>
              </w:rPr>
              <w:t>羊街</w:t>
            </w:r>
            <w:r>
              <w:rPr>
                <w:rFonts w:hint="default" w:ascii="Times New Roman" w:hAnsi="Times New Roman" w:eastAsia="宋体" w:cs="Times New Roman"/>
                <w:color w:val="auto"/>
                <w:sz w:val="24"/>
                <w:szCs w:val="24"/>
                <w:highlight w:val="none"/>
                <w:u w:val="none"/>
                <w:lang w:val="en-US" w:eastAsia="zh-CN"/>
              </w:rPr>
              <w:t>片区</w:t>
            </w:r>
            <w:r>
              <w:rPr>
                <w:rFonts w:hint="default" w:ascii="Times New Roman" w:hAnsi="Times New Roman" w:eastAsia="宋体" w:cs="Times New Roman"/>
                <w:color w:val="auto"/>
                <w:sz w:val="24"/>
                <w:szCs w:val="24"/>
                <w:lang w:val="en-US" w:eastAsia="zh-CN"/>
              </w:rPr>
              <w:t>，属于规划的工业园区，不涉及园区外用地，</w:t>
            </w:r>
            <w:r>
              <w:rPr>
                <w:rFonts w:hint="default" w:ascii="Times New Roman" w:hAnsi="Times New Roman" w:eastAsia="宋体" w:cs="Times New Roman"/>
                <w:color w:val="auto"/>
                <w:sz w:val="24"/>
                <w:szCs w:val="24"/>
              </w:rPr>
              <w:t>不涉及生态保护目标</w:t>
            </w:r>
            <w:r>
              <w:rPr>
                <w:rFonts w:hint="eastAsia" w:ascii="Times New Roman" w:hAnsi="Times New Roman" w:eastAsia="宋体" w:cs="Times New Roman"/>
                <w:color w:val="auto"/>
                <w:sz w:val="24"/>
                <w:szCs w:val="24"/>
                <w:lang w:eastAsia="zh-CN"/>
              </w:rPr>
              <w:t>。</w:t>
            </w:r>
          </w:p>
          <w:p w14:paraId="64540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bCs/>
                <w:snapToGrid w:val="0"/>
                <w:color w:val="auto"/>
                <w:kern w:val="0"/>
                <w:szCs w:val="21"/>
                <w:highlight w:val="none"/>
              </w:rPr>
            </w:pPr>
            <w:r>
              <w:rPr>
                <w:rFonts w:hint="default" w:ascii="Times New Roman" w:hAnsi="Times New Roman" w:eastAsia="宋体" w:cs="Times New Roman"/>
                <w:color w:val="auto"/>
                <w:kern w:val="0"/>
                <w:sz w:val="24"/>
                <w:szCs w:val="24"/>
                <w:highlight w:val="none"/>
                <w:lang w:val="en-US" w:eastAsia="zh-CN" w:bidi="ar"/>
              </w:rPr>
              <w:t>项目环境保护目标见表3-</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w:t>
            </w:r>
          </w:p>
          <w:p w14:paraId="221B3197">
            <w:pPr>
              <w:keepNext w:val="0"/>
              <w:keepLines w:val="0"/>
              <w:suppressLineNumbers w:val="0"/>
              <w:spacing w:before="0" w:beforeAutospacing="0" w:after="0" w:afterAutospacing="0"/>
              <w:ind w:left="0" w:right="0"/>
              <w:jc w:val="center"/>
              <w:rPr>
                <w:rFonts w:hint="default"/>
                <w:b/>
                <w:bCs/>
                <w:snapToGrid w:val="0"/>
                <w:color w:val="auto"/>
                <w:kern w:val="0"/>
                <w:szCs w:val="21"/>
                <w:highlight w:val="none"/>
              </w:rPr>
            </w:pPr>
            <w:r>
              <w:rPr>
                <w:rFonts w:hint="default"/>
                <w:b/>
                <w:bCs/>
                <w:snapToGrid w:val="0"/>
                <w:color w:val="auto"/>
                <w:kern w:val="0"/>
                <w:szCs w:val="21"/>
                <w:highlight w:val="none"/>
              </w:rPr>
              <w:t>表3-</w:t>
            </w:r>
            <w:r>
              <w:rPr>
                <w:rFonts w:hint="eastAsia"/>
                <w:b/>
                <w:bCs/>
                <w:snapToGrid w:val="0"/>
                <w:color w:val="auto"/>
                <w:kern w:val="0"/>
                <w:szCs w:val="21"/>
                <w:highlight w:val="none"/>
                <w:lang w:val="en-US" w:eastAsia="zh-CN"/>
              </w:rPr>
              <w:t>4</w:t>
            </w:r>
            <w:r>
              <w:rPr>
                <w:rFonts w:hint="default"/>
                <w:b/>
                <w:bCs/>
                <w:snapToGrid w:val="0"/>
                <w:color w:val="auto"/>
                <w:kern w:val="0"/>
                <w:szCs w:val="21"/>
                <w:highlight w:val="none"/>
              </w:rPr>
              <w:t xml:space="preserve">  项目主要保护目标一览表</w:t>
            </w:r>
          </w:p>
          <w:tbl>
            <w:tblPr>
              <w:tblStyle w:val="31"/>
              <w:tblW w:w="8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777"/>
              <w:gridCol w:w="1227"/>
              <w:gridCol w:w="1063"/>
              <w:gridCol w:w="776"/>
              <w:gridCol w:w="807"/>
              <w:gridCol w:w="1839"/>
              <w:gridCol w:w="974"/>
              <w:gridCol w:w="814"/>
            </w:tblGrid>
            <w:tr w14:paraId="44AA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 w:hRule="atLeast"/>
              </w:trPr>
              <w:tc>
                <w:tcPr>
                  <w:tcW w:w="631" w:type="dxa"/>
                  <w:vMerge w:val="restart"/>
                  <w:noWrap w:val="0"/>
                  <w:vAlign w:val="center"/>
                </w:tcPr>
                <w:p w14:paraId="474E07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Cs w:val="21"/>
                      <w:highlight w:val="none"/>
                      <w:vertAlign w:val="baseline"/>
                      <w:lang w:eastAsia="zh-CN"/>
                    </w:rPr>
                  </w:pPr>
                  <w:r>
                    <w:rPr>
                      <w:rFonts w:hint="default" w:ascii="Times New Roman" w:hAnsi="Times New Roman" w:cs="Times New Roman"/>
                      <w:color w:val="auto"/>
                      <w:szCs w:val="21"/>
                      <w:highlight w:val="none"/>
                    </w:rPr>
                    <w:t>保护类别</w:t>
                  </w:r>
                </w:p>
              </w:tc>
              <w:tc>
                <w:tcPr>
                  <w:tcW w:w="777" w:type="dxa"/>
                  <w:vMerge w:val="restart"/>
                  <w:noWrap w:val="0"/>
                  <w:vAlign w:val="center"/>
                </w:tcPr>
                <w:p w14:paraId="726D69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0"/>
                      <w:szCs w:val="21"/>
                      <w:highlight w:val="none"/>
                      <w:vertAlign w:val="baseline"/>
                      <w:lang w:eastAsia="zh-CN"/>
                    </w:rPr>
                  </w:pPr>
                  <w:r>
                    <w:rPr>
                      <w:rFonts w:hint="eastAsia" w:cs="Times New Roman"/>
                      <w:color w:val="auto"/>
                      <w:szCs w:val="21"/>
                      <w:highlight w:val="none"/>
                      <w:lang w:eastAsia="zh-CN"/>
                    </w:rPr>
                    <w:t>名称</w:t>
                  </w:r>
                </w:p>
              </w:tc>
              <w:tc>
                <w:tcPr>
                  <w:tcW w:w="2290" w:type="dxa"/>
                  <w:gridSpan w:val="2"/>
                  <w:noWrap w:val="0"/>
                  <w:vAlign w:val="center"/>
                </w:tcPr>
                <w:p w14:paraId="56C786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Cs w:val="21"/>
                      <w:highlight w:val="none"/>
                      <w:vertAlign w:val="baseline"/>
                      <w:lang w:eastAsia="zh-CN"/>
                    </w:rPr>
                  </w:pPr>
                  <w:r>
                    <w:rPr>
                      <w:rFonts w:hint="default" w:ascii="Times New Roman" w:hAnsi="Times New Roman" w:cs="Times New Roman"/>
                      <w:color w:val="auto"/>
                      <w:szCs w:val="21"/>
                      <w:highlight w:val="none"/>
                    </w:rPr>
                    <w:t>坐标</w:t>
                  </w:r>
                </w:p>
              </w:tc>
              <w:tc>
                <w:tcPr>
                  <w:tcW w:w="776" w:type="dxa"/>
                  <w:vMerge w:val="restart"/>
                  <w:noWrap w:val="0"/>
                  <w:vAlign w:val="center"/>
                </w:tcPr>
                <w:p w14:paraId="5E943F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0"/>
                      <w:szCs w:val="21"/>
                      <w:highlight w:val="none"/>
                      <w:vertAlign w:val="baseline"/>
                      <w:lang w:val="en-US" w:eastAsia="zh-CN"/>
                    </w:rPr>
                  </w:pPr>
                  <w:r>
                    <w:rPr>
                      <w:rFonts w:hint="eastAsia" w:ascii="Times New Roman" w:hAnsi="Times New Roman" w:cs="Times New Roman"/>
                      <w:color w:val="auto"/>
                      <w:kern w:val="0"/>
                      <w:szCs w:val="21"/>
                      <w:highlight w:val="none"/>
                      <w:vertAlign w:val="baseline"/>
                      <w:lang w:val="en-US" w:eastAsia="zh-CN"/>
                    </w:rPr>
                    <w:t>保护对象</w:t>
                  </w:r>
                </w:p>
              </w:tc>
              <w:tc>
                <w:tcPr>
                  <w:tcW w:w="807" w:type="dxa"/>
                  <w:vMerge w:val="restart"/>
                  <w:noWrap w:val="0"/>
                  <w:vAlign w:val="center"/>
                </w:tcPr>
                <w:p w14:paraId="3950A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0"/>
                      <w:szCs w:val="21"/>
                      <w:highlight w:val="none"/>
                      <w:vertAlign w:val="baseline"/>
                      <w:lang w:eastAsia="zh-CN"/>
                    </w:rPr>
                  </w:pPr>
                  <w:r>
                    <w:rPr>
                      <w:rFonts w:hint="eastAsia" w:ascii="Times New Roman" w:hAnsi="Times New Roman" w:cs="Times New Roman"/>
                      <w:color w:val="auto"/>
                      <w:szCs w:val="21"/>
                      <w:highlight w:val="none"/>
                      <w:lang w:eastAsia="zh-CN"/>
                    </w:rPr>
                    <w:t>保护内容</w:t>
                  </w:r>
                </w:p>
              </w:tc>
              <w:tc>
                <w:tcPr>
                  <w:tcW w:w="1839" w:type="dxa"/>
                  <w:vMerge w:val="restart"/>
                  <w:noWrap w:val="0"/>
                  <w:vAlign w:val="center"/>
                </w:tcPr>
                <w:p w14:paraId="519774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环境功能区</w:t>
                  </w:r>
                </w:p>
              </w:tc>
              <w:tc>
                <w:tcPr>
                  <w:tcW w:w="974" w:type="dxa"/>
                  <w:vMerge w:val="restart"/>
                  <w:noWrap w:val="0"/>
                  <w:vAlign w:val="center"/>
                </w:tcPr>
                <w:p w14:paraId="5E6B44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相对厂界方位</w:t>
                  </w:r>
                </w:p>
              </w:tc>
              <w:tc>
                <w:tcPr>
                  <w:tcW w:w="814" w:type="dxa"/>
                  <w:vMerge w:val="restart"/>
                  <w:noWrap w:val="0"/>
                  <w:vAlign w:val="center"/>
                </w:tcPr>
                <w:p w14:paraId="07BE41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Cs w:val="21"/>
                      <w:highlight w:val="none"/>
                      <w:vertAlign w:val="baseline"/>
                      <w:lang w:val="en-US" w:eastAsia="zh-CN"/>
                    </w:rPr>
                  </w:pPr>
                  <w:r>
                    <w:rPr>
                      <w:rFonts w:hint="eastAsia" w:ascii="Times New Roman" w:hAnsi="Times New Roman" w:cs="Times New Roman"/>
                      <w:color w:val="auto"/>
                      <w:szCs w:val="21"/>
                      <w:highlight w:val="none"/>
                      <w:lang w:eastAsia="zh-CN"/>
                    </w:rPr>
                    <w:t>相对厂界距离</w:t>
                  </w:r>
                  <w:r>
                    <w:rPr>
                      <w:rFonts w:hint="eastAsia" w:ascii="Times New Roman" w:hAnsi="Times New Roman" w:cs="Times New Roman"/>
                      <w:color w:val="auto"/>
                      <w:szCs w:val="21"/>
                      <w:highlight w:val="none"/>
                      <w:lang w:val="en-US" w:eastAsia="zh-CN"/>
                    </w:rPr>
                    <w:t>/m</w:t>
                  </w:r>
                </w:p>
              </w:tc>
            </w:tr>
            <w:tr w14:paraId="4BA6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631" w:type="dxa"/>
                  <w:vMerge w:val="continue"/>
                  <w:noWrap w:val="0"/>
                  <w:vAlign w:val="center"/>
                </w:tcPr>
                <w:p w14:paraId="1FC022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highlight w:val="none"/>
                    </w:rPr>
                  </w:pPr>
                </w:p>
              </w:tc>
              <w:tc>
                <w:tcPr>
                  <w:tcW w:w="777" w:type="dxa"/>
                  <w:vMerge w:val="continue"/>
                  <w:noWrap w:val="0"/>
                  <w:vAlign w:val="center"/>
                </w:tcPr>
                <w:p w14:paraId="3FB1AC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Cs w:val="21"/>
                      <w:highlight w:val="none"/>
                    </w:rPr>
                  </w:pPr>
                </w:p>
              </w:tc>
              <w:tc>
                <w:tcPr>
                  <w:tcW w:w="1227" w:type="dxa"/>
                  <w:noWrap w:val="0"/>
                  <w:vAlign w:val="center"/>
                </w:tcPr>
                <w:p w14:paraId="56FD2F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0"/>
                      <w:szCs w:val="21"/>
                      <w:highlight w:val="none"/>
                      <w:vertAlign w:val="baseline"/>
                      <w:lang w:eastAsia="zh-CN"/>
                    </w:rPr>
                  </w:pPr>
                  <w:r>
                    <w:rPr>
                      <w:rFonts w:hint="eastAsia" w:cs="Times New Roman"/>
                      <w:color w:val="auto"/>
                      <w:szCs w:val="21"/>
                      <w:highlight w:val="none"/>
                      <w:lang w:eastAsia="zh-CN"/>
                    </w:rPr>
                    <w:t>东经</w:t>
                  </w:r>
                </w:p>
              </w:tc>
              <w:tc>
                <w:tcPr>
                  <w:tcW w:w="1063" w:type="dxa"/>
                  <w:noWrap w:val="0"/>
                  <w:vAlign w:val="center"/>
                </w:tcPr>
                <w:p w14:paraId="334959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0"/>
                      <w:szCs w:val="21"/>
                      <w:highlight w:val="none"/>
                      <w:vertAlign w:val="baseline"/>
                      <w:lang w:eastAsia="zh-CN"/>
                    </w:rPr>
                  </w:pPr>
                  <w:r>
                    <w:rPr>
                      <w:rFonts w:hint="eastAsia" w:cs="Times New Roman"/>
                      <w:color w:val="auto"/>
                      <w:szCs w:val="21"/>
                      <w:highlight w:val="none"/>
                      <w:lang w:eastAsia="zh-CN"/>
                    </w:rPr>
                    <w:t>北纬</w:t>
                  </w:r>
                </w:p>
              </w:tc>
              <w:tc>
                <w:tcPr>
                  <w:tcW w:w="776" w:type="dxa"/>
                  <w:vMerge w:val="continue"/>
                  <w:noWrap w:val="0"/>
                  <w:vAlign w:val="center"/>
                </w:tcPr>
                <w:p w14:paraId="3B1DD7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Cs w:val="21"/>
                      <w:highlight w:val="none"/>
                      <w:vertAlign w:val="baseline"/>
                      <w:lang w:eastAsia="zh-CN"/>
                    </w:rPr>
                  </w:pPr>
                </w:p>
              </w:tc>
              <w:tc>
                <w:tcPr>
                  <w:tcW w:w="807" w:type="dxa"/>
                  <w:vMerge w:val="continue"/>
                  <w:noWrap w:val="0"/>
                  <w:vAlign w:val="center"/>
                </w:tcPr>
                <w:p w14:paraId="7B4900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Cs w:val="21"/>
                      <w:highlight w:val="none"/>
                      <w:vertAlign w:val="baseline"/>
                      <w:lang w:eastAsia="zh-CN"/>
                    </w:rPr>
                  </w:pPr>
                </w:p>
              </w:tc>
              <w:tc>
                <w:tcPr>
                  <w:tcW w:w="1839" w:type="dxa"/>
                  <w:vMerge w:val="continue"/>
                  <w:noWrap w:val="0"/>
                  <w:vAlign w:val="center"/>
                </w:tcPr>
                <w:p w14:paraId="519F99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Cs w:val="21"/>
                      <w:highlight w:val="none"/>
                      <w:vertAlign w:val="baseline"/>
                      <w:lang w:eastAsia="zh-CN"/>
                    </w:rPr>
                  </w:pPr>
                </w:p>
              </w:tc>
              <w:tc>
                <w:tcPr>
                  <w:tcW w:w="974" w:type="dxa"/>
                  <w:vMerge w:val="continue"/>
                  <w:noWrap w:val="0"/>
                  <w:vAlign w:val="center"/>
                </w:tcPr>
                <w:p w14:paraId="6282E8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Cs w:val="21"/>
                      <w:highlight w:val="none"/>
                      <w:vertAlign w:val="baseline"/>
                      <w:lang w:eastAsia="zh-CN"/>
                    </w:rPr>
                  </w:pPr>
                </w:p>
              </w:tc>
              <w:tc>
                <w:tcPr>
                  <w:tcW w:w="814" w:type="dxa"/>
                  <w:vMerge w:val="continue"/>
                  <w:noWrap w:val="0"/>
                  <w:vAlign w:val="center"/>
                </w:tcPr>
                <w:p w14:paraId="229DF9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Cs w:val="21"/>
                      <w:highlight w:val="none"/>
                      <w:vertAlign w:val="baseline"/>
                      <w:lang w:eastAsia="zh-CN"/>
                    </w:rPr>
                  </w:pPr>
                </w:p>
              </w:tc>
            </w:tr>
            <w:tr w14:paraId="3711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631" w:type="dxa"/>
                  <w:noWrap w:val="0"/>
                  <w:vAlign w:val="center"/>
                </w:tcPr>
                <w:p w14:paraId="425E71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kern w:val="0"/>
                      <w:szCs w:val="21"/>
                      <w:highlight w:val="none"/>
                      <w:vertAlign w:val="baseline"/>
                      <w:lang w:val="en-US" w:eastAsia="zh-CN"/>
                    </w:rPr>
                  </w:pPr>
                  <w:r>
                    <w:rPr>
                      <w:rFonts w:hint="eastAsia" w:cs="Times New Roman"/>
                      <w:color w:val="auto"/>
                      <w:kern w:val="0"/>
                      <w:szCs w:val="21"/>
                      <w:highlight w:val="none"/>
                      <w:vertAlign w:val="baseline"/>
                      <w:lang w:val="en-US" w:eastAsia="zh-CN"/>
                    </w:rPr>
                    <w:t>地表水环境</w:t>
                  </w:r>
                </w:p>
              </w:tc>
              <w:tc>
                <w:tcPr>
                  <w:tcW w:w="777" w:type="dxa"/>
                  <w:noWrap w:val="0"/>
                  <w:vAlign w:val="center"/>
                </w:tcPr>
                <w:p w14:paraId="626C314E">
                  <w:pPr>
                    <w:pStyle w:val="4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羊街河（果马河）</w:t>
                  </w:r>
                </w:p>
              </w:tc>
              <w:tc>
                <w:tcPr>
                  <w:tcW w:w="1227" w:type="dxa"/>
                  <w:noWrap w:val="0"/>
                  <w:vAlign w:val="center"/>
                </w:tcPr>
                <w:p w14:paraId="0EDECD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063" w:type="dxa"/>
                  <w:noWrap w:val="0"/>
                  <w:vAlign w:val="center"/>
                </w:tcPr>
                <w:p w14:paraId="45CAA7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776" w:type="dxa"/>
                  <w:noWrap w:val="0"/>
                  <w:vAlign w:val="center"/>
                </w:tcPr>
                <w:p w14:paraId="645F0F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Cs w:val="21"/>
                      <w:highlight w:val="none"/>
                      <w:lang w:val="en-US" w:eastAsia="zh-CN"/>
                    </w:rPr>
                  </w:pPr>
                  <w:r>
                    <w:rPr>
                      <w:rFonts w:hint="eastAsia" w:cs="Times New Roman"/>
                      <w:b w:val="0"/>
                      <w:bCs/>
                      <w:color w:val="auto"/>
                      <w:sz w:val="21"/>
                      <w:szCs w:val="21"/>
                      <w:highlight w:val="none"/>
                      <w:lang w:val="en-US" w:eastAsia="zh-CN"/>
                    </w:rPr>
                    <w:t>河流</w:t>
                  </w:r>
                </w:p>
              </w:tc>
              <w:tc>
                <w:tcPr>
                  <w:tcW w:w="807" w:type="dxa"/>
                  <w:noWrap w:val="0"/>
                  <w:vAlign w:val="center"/>
                </w:tcPr>
                <w:p w14:paraId="786A54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1839" w:type="dxa"/>
                  <w:noWrap w:val="0"/>
                  <w:vAlign w:val="center"/>
                </w:tcPr>
                <w:p w14:paraId="11C054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《地表水环境质量标准》（GB3838-2002）III类</w:t>
                  </w:r>
                </w:p>
              </w:tc>
              <w:tc>
                <w:tcPr>
                  <w:tcW w:w="974" w:type="dxa"/>
                  <w:noWrap w:val="0"/>
                  <w:vAlign w:val="center"/>
                </w:tcPr>
                <w:p w14:paraId="5F7E01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西侧</w:t>
                  </w:r>
                </w:p>
              </w:tc>
              <w:tc>
                <w:tcPr>
                  <w:tcW w:w="814" w:type="dxa"/>
                  <w:noWrap w:val="0"/>
                  <w:vAlign w:val="center"/>
                </w:tcPr>
                <w:p w14:paraId="0B2851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1500</w:t>
                  </w:r>
                </w:p>
              </w:tc>
            </w:tr>
          </w:tbl>
          <w:p w14:paraId="6B90BABF">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宋体"/>
                <w:color w:val="auto"/>
                <w:kern w:val="0"/>
                <w:szCs w:val="21"/>
              </w:rPr>
            </w:pPr>
          </w:p>
        </w:tc>
      </w:tr>
      <w:tr w14:paraId="465F7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26" w:type="dxa"/>
            <w:noWrap w:val="0"/>
            <w:tcMar>
              <w:left w:w="28" w:type="dxa"/>
              <w:right w:w="28" w:type="dxa"/>
            </w:tcMar>
            <w:vAlign w:val="center"/>
          </w:tcPr>
          <w:p w14:paraId="2BF762F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污染</w:t>
            </w:r>
          </w:p>
          <w:p w14:paraId="1C326DA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物排</w:t>
            </w:r>
          </w:p>
          <w:p w14:paraId="47E8AEB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放控</w:t>
            </w:r>
          </w:p>
          <w:p w14:paraId="45266C9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制标</w:t>
            </w:r>
          </w:p>
          <w:p w14:paraId="70BBBD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准</w:t>
            </w:r>
          </w:p>
        </w:tc>
        <w:tc>
          <w:tcPr>
            <w:tcW w:w="9081" w:type="dxa"/>
            <w:noWrap w:val="0"/>
            <w:vAlign w:val="center"/>
          </w:tcPr>
          <w:p w14:paraId="5F0CF2CB">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firstLine="482" w:firstLineChars="200"/>
              <w:textAlignment w:val="auto"/>
              <w:rPr>
                <w:rFonts w:hint="eastAsia" w:ascii="Times New Roman" w:hAnsi="Times New Roman" w:eastAsia="宋体" w:cs="Times New Roman"/>
                <w:b/>
                <w:bCs/>
                <w:color w:val="auto"/>
                <w:sz w:val="24"/>
                <w:szCs w:val="28"/>
                <w:lang w:val="en-US" w:eastAsia="zh-CN"/>
              </w:rPr>
            </w:pPr>
            <w:r>
              <w:rPr>
                <w:rFonts w:hint="eastAsia" w:ascii="Times New Roman" w:hAnsi="Times New Roman" w:eastAsia="宋体" w:cs="Times New Roman"/>
                <w:b/>
                <w:bCs/>
                <w:color w:val="auto"/>
                <w:sz w:val="24"/>
                <w:szCs w:val="28"/>
                <w:lang w:val="en-US" w:eastAsia="zh-CN"/>
              </w:rPr>
              <w:t>一、大气污染物排放标准</w:t>
            </w:r>
          </w:p>
          <w:p w14:paraId="1D0A73F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（1）施工期</w:t>
            </w:r>
          </w:p>
          <w:p w14:paraId="3C3930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auto"/>
                <w:sz w:val="24"/>
                <w:szCs w:val="24"/>
                <w:lang w:val="en-US" w:eastAsia="zh-CN"/>
              </w:rPr>
            </w:pPr>
            <w:r>
              <w:rPr>
                <w:rFonts w:hint="default" w:ascii="Times New Roman" w:hAnsi="Times New Roman" w:eastAsia="宋体" w:cs="Times New Roman"/>
                <w:color w:val="auto"/>
                <w:sz w:val="24"/>
                <w:szCs w:val="24"/>
              </w:rPr>
              <w:t>施工期无组织粉尘执行</w:t>
            </w:r>
            <w:r>
              <w:rPr>
                <w:rFonts w:hint="default"/>
                <w:color w:val="auto"/>
                <w:sz w:val="24"/>
                <w:szCs w:val="24"/>
                <w:lang w:val="en-US" w:eastAsia="zh-CN"/>
              </w:rPr>
              <w:t>《大气污染物综合排放标准》（GB16297-1996）表2中的无组织排放监控浓度限值。污染物排放标准见表</w:t>
            </w:r>
            <w:r>
              <w:rPr>
                <w:rFonts w:hint="eastAsia"/>
                <w:color w:val="auto"/>
                <w:sz w:val="24"/>
                <w:szCs w:val="24"/>
                <w:lang w:val="en-US" w:eastAsia="zh-CN"/>
              </w:rPr>
              <w:t>3</w:t>
            </w:r>
            <w:r>
              <w:rPr>
                <w:rFonts w:hint="default"/>
                <w:color w:val="auto"/>
                <w:sz w:val="24"/>
                <w:szCs w:val="24"/>
                <w:lang w:val="en-US" w:eastAsia="zh-CN"/>
              </w:rPr>
              <w:t>-</w:t>
            </w:r>
            <w:r>
              <w:rPr>
                <w:rFonts w:hint="eastAsia"/>
                <w:color w:val="auto"/>
                <w:sz w:val="24"/>
                <w:szCs w:val="24"/>
                <w:lang w:val="en-US" w:eastAsia="zh-CN"/>
              </w:rPr>
              <w:t>5</w:t>
            </w:r>
            <w:r>
              <w:rPr>
                <w:rFonts w:hint="default"/>
                <w:color w:val="auto"/>
                <w:sz w:val="24"/>
                <w:szCs w:val="24"/>
                <w:lang w:val="en-US" w:eastAsia="zh-CN"/>
              </w:rPr>
              <w:t>。</w:t>
            </w:r>
          </w:p>
          <w:p w14:paraId="3A6D49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表3-</w:t>
            </w:r>
            <w:r>
              <w:rPr>
                <w:rFonts w:hint="eastAsia"/>
                <w:b/>
                <w:bCs/>
                <w:color w:val="auto"/>
                <w:sz w:val="21"/>
                <w:szCs w:val="21"/>
                <w:lang w:val="en-US" w:eastAsia="zh-CN"/>
              </w:rPr>
              <w:t>5</w:t>
            </w:r>
            <w:r>
              <w:rPr>
                <w:rFonts w:hint="eastAsia" w:ascii="Times New Roman" w:hAnsi="Times New Roman" w:eastAsia="宋体"/>
                <w:b/>
                <w:bCs/>
                <w:color w:val="auto"/>
                <w:sz w:val="21"/>
                <w:szCs w:val="21"/>
                <w:lang w:val="en-US" w:eastAsia="zh-CN"/>
              </w:rPr>
              <w:t xml:space="preserve">  颗粒物大气污染物排放浓度限值</w:t>
            </w:r>
          </w:p>
          <w:tbl>
            <w:tblPr>
              <w:tblStyle w:val="30"/>
              <w:tblW w:w="83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51"/>
              <w:gridCol w:w="2751"/>
              <w:gridCol w:w="2824"/>
            </w:tblGrid>
            <w:tr w14:paraId="520DA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2751" w:type="dxa"/>
                  <w:vMerge w:val="restart"/>
                  <w:vAlign w:val="center"/>
                </w:tcPr>
                <w:p w14:paraId="495C83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Cs w:val="21"/>
                    </w:rPr>
                  </w:pPr>
                  <w:r>
                    <w:rPr>
                      <w:rFonts w:hint="default" w:ascii="Times New Roman" w:hAnsi="Times New Roman"/>
                      <w:b/>
                      <w:bCs w:val="0"/>
                      <w:color w:val="auto"/>
                      <w:szCs w:val="21"/>
                    </w:rPr>
                    <w:t>污染物</w:t>
                  </w:r>
                </w:p>
              </w:tc>
              <w:tc>
                <w:tcPr>
                  <w:tcW w:w="5575" w:type="dxa"/>
                  <w:gridSpan w:val="2"/>
                  <w:vAlign w:val="center"/>
                </w:tcPr>
                <w:p w14:paraId="306470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Cs w:val="21"/>
                    </w:rPr>
                  </w:pPr>
                  <w:r>
                    <w:rPr>
                      <w:rFonts w:hint="default" w:ascii="Times New Roman" w:hAnsi="Times New Roman"/>
                      <w:b/>
                      <w:bCs w:val="0"/>
                      <w:color w:val="auto"/>
                      <w:szCs w:val="21"/>
                    </w:rPr>
                    <w:t>无组织排放浓度监控限值</w:t>
                  </w:r>
                </w:p>
              </w:tc>
            </w:tr>
            <w:tr w14:paraId="73EC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751" w:type="dxa"/>
                  <w:vMerge w:val="continue"/>
                  <w:vAlign w:val="center"/>
                </w:tcPr>
                <w:p w14:paraId="2C226A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Cs w:val="21"/>
                    </w:rPr>
                  </w:pPr>
                </w:p>
              </w:tc>
              <w:tc>
                <w:tcPr>
                  <w:tcW w:w="2751" w:type="dxa"/>
                  <w:vAlign w:val="center"/>
                </w:tcPr>
                <w:p w14:paraId="0D9019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Cs w:val="21"/>
                    </w:rPr>
                  </w:pPr>
                  <w:r>
                    <w:rPr>
                      <w:rFonts w:hint="default" w:ascii="Times New Roman" w:hAnsi="Times New Roman"/>
                      <w:b/>
                      <w:bCs w:val="0"/>
                      <w:color w:val="auto"/>
                      <w:szCs w:val="21"/>
                    </w:rPr>
                    <w:t>监控点</w:t>
                  </w:r>
                </w:p>
              </w:tc>
              <w:tc>
                <w:tcPr>
                  <w:tcW w:w="2824" w:type="dxa"/>
                  <w:vAlign w:val="center"/>
                </w:tcPr>
                <w:p w14:paraId="29924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b/>
                      <w:bCs w:val="0"/>
                      <w:color w:val="auto"/>
                      <w:szCs w:val="21"/>
                    </w:rPr>
                  </w:pPr>
                  <w:r>
                    <w:rPr>
                      <w:rFonts w:hint="default" w:ascii="Times New Roman" w:hAnsi="Times New Roman"/>
                      <w:b/>
                      <w:bCs w:val="0"/>
                      <w:color w:val="auto"/>
                      <w:szCs w:val="21"/>
                    </w:rPr>
                    <w:t>浓度限值（mg/m</w:t>
                  </w:r>
                  <w:r>
                    <w:rPr>
                      <w:rFonts w:hint="default" w:ascii="Times New Roman" w:hAnsi="Times New Roman"/>
                      <w:b/>
                      <w:bCs w:val="0"/>
                      <w:color w:val="auto"/>
                      <w:szCs w:val="21"/>
                      <w:vertAlign w:val="superscript"/>
                    </w:rPr>
                    <w:t>3</w:t>
                  </w:r>
                  <w:r>
                    <w:rPr>
                      <w:rFonts w:hint="default" w:ascii="Times New Roman" w:hAnsi="Times New Roman"/>
                      <w:b/>
                      <w:bCs w:val="0"/>
                      <w:color w:val="auto"/>
                      <w:szCs w:val="21"/>
                    </w:rPr>
                    <w:t>）</w:t>
                  </w:r>
                </w:p>
              </w:tc>
            </w:tr>
            <w:tr w14:paraId="57975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2751" w:type="dxa"/>
                  <w:vAlign w:val="center"/>
                </w:tcPr>
                <w:p w14:paraId="20D6CD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default" w:ascii="Times New Roman" w:hAnsi="Times New Roman"/>
                      <w:color w:val="auto"/>
                      <w:szCs w:val="21"/>
                    </w:rPr>
                  </w:pPr>
                  <w:r>
                    <w:rPr>
                      <w:rFonts w:hint="default" w:ascii="Times New Roman" w:hAnsi="Times New Roman"/>
                      <w:color w:val="auto"/>
                      <w:szCs w:val="21"/>
                    </w:rPr>
                    <w:t>颗粒物</w:t>
                  </w:r>
                </w:p>
              </w:tc>
              <w:tc>
                <w:tcPr>
                  <w:tcW w:w="2751" w:type="dxa"/>
                  <w:vAlign w:val="center"/>
                </w:tcPr>
                <w:p w14:paraId="3F900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default" w:ascii="Times New Roman" w:hAnsi="Times New Roman"/>
                      <w:color w:val="auto"/>
                      <w:szCs w:val="21"/>
                    </w:rPr>
                  </w:pPr>
                  <w:r>
                    <w:rPr>
                      <w:rFonts w:hint="default" w:ascii="Times New Roman" w:hAnsi="Times New Roman"/>
                      <w:color w:val="auto"/>
                      <w:szCs w:val="21"/>
                    </w:rPr>
                    <w:t>周界外浓度最高点</w:t>
                  </w:r>
                </w:p>
              </w:tc>
              <w:tc>
                <w:tcPr>
                  <w:tcW w:w="2824" w:type="dxa"/>
                  <w:vAlign w:val="center"/>
                </w:tcPr>
                <w:p w14:paraId="70077B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default" w:ascii="Times New Roman" w:hAnsi="Times New Roman"/>
                      <w:color w:val="auto"/>
                      <w:szCs w:val="21"/>
                    </w:rPr>
                  </w:pPr>
                  <w:r>
                    <w:rPr>
                      <w:rFonts w:hint="default" w:ascii="Times New Roman" w:hAnsi="Times New Roman"/>
                      <w:color w:val="auto"/>
                      <w:szCs w:val="21"/>
                    </w:rPr>
                    <w:t>1.0</w:t>
                  </w:r>
                </w:p>
              </w:tc>
            </w:tr>
          </w:tbl>
          <w:p w14:paraId="0212A7F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t>（2）运营期</w:t>
            </w:r>
          </w:p>
          <w:p w14:paraId="7787A95D">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shd w:val="clear" w:color="auto" w:fill="auto"/>
                <w:lang w:val="zh-CN" w:eastAsia="zh-CN"/>
              </w:rPr>
            </w:pPr>
            <w:r>
              <w:rPr>
                <w:rFonts w:hint="eastAsia" w:ascii="Times New Roman" w:hAnsi="Times New Roman" w:eastAsia="宋体" w:cs="Times New Roman"/>
                <w:color w:val="auto"/>
                <w:sz w:val="24"/>
                <w:szCs w:val="24"/>
                <w:highlight w:val="none"/>
                <w:shd w:val="clear" w:color="auto" w:fill="auto"/>
                <w:lang w:val="en-US" w:eastAsia="zh-CN"/>
              </w:rPr>
              <w:fldChar w:fldCharType="begin"/>
            </w:r>
            <w:r>
              <w:rPr>
                <w:rFonts w:hint="eastAsia" w:ascii="Times New Roman" w:hAnsi="Times New Roman" w:eastAsia="宋体" w:cs="Times New Roman"/>
                <w:color w:val="auto"/>
                <w:sz w:val="24"/>
                <w:szCs w:val="24"/>
                <w:highlight w:val="none"/>
                <w:shd w:val="clear" w:color="auto" w:fill="auto"/>
                <w:lang w:val="en-US" w:eastAsia="zh-CN"/>
              </w:rPr>
              <w:instrText xml:space="preserve"> = 1 \* GB3 \* MERGEFORMAT </w:instrText>
            </w:r>
            <w:r>
              <w:rPr>
                <w:rFonts w:hint="eastAsia" w:ascii="Times New Roman" w:hAnsi="Times New Roman" w:eastAsia="宋体" w:cs="Times New Roman"/>
                <w:color w:val="auto"/>
                <w:sz w:val="24"/>
                <w:szCs w:val="24"/>
                <w:highlight w:val="none"/>
                <w:shd w:val="clear" w:color="auto" w:fill="auto"/>
                <w:lang w:val="en-US" w:eastAsia="zh-CN"/>
              </w:rPr>
              <w:fldChar w:fldCharType="separate"/>
            </w:r>
            <w:r>
              <w:rPr>
                <w:rFonts w:hint="default" w:ascii="Times New Roman" w:hAnsi="Times New Roman" w:eastAsia="宋体" w:cs="Times New Roman"/>
                <w:color w:val="auto"/>
                <w:sz w:val="24"/>
                <w:szCs w:val="24"/>
                <w:highlight w:val="none"/>
                <w:shd w:val="clear" w:color="auto" w:fill="auto"/>
                <w:lang w:val="zh-CN" w:eastAsia="zh-CN"/>
              </w:rPr>
              <w:t>①</w:t>
            </w:r>
            <w:r>
              <w:rPr>
                <w:rFonts w:hint="eastAsia" w:ascii="Times New Roman" w:hAnsi="Times New Roman" w:eastAsia="宋体" w:cs="Times New Roman"/>
                <w:color w:val="auto"/>
                <w:sz w:val="24"/>
                <w:szCs w:val="24"/>
                <w:highlight w:val="none"/>
                <w:shd w:val="clear" w:color="auto" w:fill="auto"/>
                <w:lang w:val="en-US" w:eastAsia="zh-CN"/>
              </w:rPr>
              <w:fldChar w:fldCharType="end"/>
            </w:r>
            <w:r>
              <w:rPr>
                <w:rFonts w:hint="eastAsia" w:ascii="Times New Roman" w:hAnsi="Times New Roman" w:eastAsia="宋体" w:cs="Times New Roman"/>
                <w:color w:val="auto"/>
                <w:sz w:val="24"/>
                <w:szCs w:val="24"/>
                <w:highlight w:val="none"/>
                <w:shd w:val="clear" w:color="auto" w:fill="auto"/>
                <w:lang w:val="en-US" w:eastAsia="zh-CN"/>
              </w:rPr>
              <w:t>项目</w:t>
            </w:r>
            <w:r>
              <w:rPr>
                <w:rFonts w:hint="eastAsia" w:cs="Times New Roman"/>
                <w:color w:val="auto"/>
                <w:sz w:val="24"/>
                <w:szCs w:val="24"/>
                <w:highlight w:val="none"/>
                <w:shd w:val="clear" w:color="auto" w:fill="auto"/>
                <w:lang w:val="en-US" w:eastAsia="zh-CN"/>
              </w:rPr>
              <w:t>生产过程产生的甲醛、</w:t>
            </w:r>
            <w:r>
              <w:rPr>
                <w:rFonts w:hint="eastAsia" w:ascii="Times New Roman" w:hAnsi="Times New Roman" w:cs="Times New Roman"/>
                <w:color w:val="auto"/>
                <w:kern w:val="2"/>
                <w:sz w:val="24"/>
                <w:szCs w:val="24"/>
                <w:lang w:val="en-US" w:eastAsia="zh-CN"/>
              </w:rPr>
              <w:t>VOCs</w:t>
            </w:r>
            <w:r>
              <w:rPr>
                <w:rFonts w:hint="eastAsia" w:cs="Times New Roman"/>
                <w:color w:val="auto"/>
                <w:kern w:val="2"/>
                <w:sz w:val="24"/>
                <w:szCs w:val="24"/>
                <w:lang w:val="en-US" w:eastAsia="zh-CN"/>
              </w:rPr>
              <w:t>（以非甲烷总烃计）</w:t>
            </w:r>
            <w:r>
              <w:rPr>
                <w:rFonts w:hint="eastAsia" w:cs="Times New Roman"/>
                <w:color w:val="auto"/>
                <w:sz w:val="24"/>
                <w:szCs w:val="24"/>
                <w:highlight w:val="none"/>
                <w:shd w:val="clear" w:color="auto" w:fill="auto"/>
                <w:lang w:val="en-US" w:eastAsia="zh-CN"/>
              </w:rPr>
              <w:t>经集气罩收集、</w:t>
            </w:r>
            <w:r>
              <w:rPr>
                <w:rFonts w:hint="eastAsia" w:ascii="Times New Roman" w:hAnsi="Times New Roman" w:eastAsia="Times New Roman"/>
                <w:color w:val="auto"/>
                <w:sz w:val="24"/>
                <w:szCs w:val="24"/>
                <w:highlight w:val="none"/>
                <w:shd w:val="clear" w:color="auto" w:fill="auto"/>
                <w:lang w:val="en-US" w:eastAsia="zh-CN"/>
              </w:rPr>
              <w:t>“UV光解+三级活性炭吸附净化装置”</w:t>
            </w:r>
            <w:r>
              <w:rPr>
                <w:rFonts w:hint="eastAsia" w:cs="Times New Roman"/>
                <w:color w:val="auto"/>
                <w:sz w:val="24"/>
                <w:szCs w:val="24"/>
                <w:highlight w:val="none"/>
                <w:shd w:val="clear" w:color="auto" w:fill="auto"/>
                <w:lang w:val="en-US" w:eastAsia="zh-CN"/>
              </w:rPr>
              <w:t>处理后，由15m高排气筒（DA001）排放。未被集气罩收集部分在车间内呈无组织排放。项目甲醛、</w:t>
            </w:r>
            <w:r>
              <w:rPr>
                <w:rFonts w:hint="eastAsia" w:ascii="Times New Roman" w:hAnsi="Times New Roman" w:cs="Times New Roman"/>
                <w:color w:val="auto"/>
                <w:kern w:val="2"/>
                <w:sz w:val="24"/>
                <w:szCs w:val="24"/>
                <w:lang w:val="en-US" w:eastAsia="zh-CN"/>
              </w:rPr>
              <w:t>VOCs</w:t>
            </w:r>
            <w:r>
              <w:rPr>
                <w:rFonts w:hint="eastAsia" w:cs="Times New Roman"/>
                <w:color w:val="auto"/>
                <w:kern w:val="2"/>
                <w:sz w:val="24"/>
                <w:szCs w:val="24"/>
                <w:lang w:val="en-US" w:eastAsia="zh-CN"/>
              </w:rPr>
              <w:t>（以非甲烷总烃计）</w:t>
            </w:r>
            <w:r>
              <w:rPr>
                <w:rFonts w:hint="eastAsia" w:cs="Times New Roman"/>
                <w:color w:val="auto"/>
                <w:sz w:val="24"/>
                <w:szCs w:val="24"/>
                <w:highlight w:val="none"/>
                <w:shd w:val="clear" w:color="auto" w:fill="auto"/>
                <w:lang w:val="en-US" w:eastAsia="zh-CN"/>
              </w:rPr>
              <w:t>执行</w:t>
            </w:r>
            <w:r>
              <w:rPr>
                <w:rFonts w:hint="default" w:ascii="Times New Roman" w:hAnsi="Times New Roman" w:eastAsia="宋体" w:cs="Times New Roman"/>
                <w:color w:val="auto"/>
                <w:sz w:val="24"/>
                <w:szCs w:val="24"/>
                <w:highlight w:val="none"/>
                <w:shd w:val="clear" w:color="auto" w:fill="auto"/>
                <w:lang w:val="zh-CN" w:eastAsia="zh-CN"/>
              </w:rPr>
              <w:t>《大气污染物综合排放标准》（GB16297-1996）表2中二级标准</w:t>
            </w:r>
            <w:r>
              <w:rPr>
                <w:rFonts w:hint="eastAsia" w:cs="Times New Roman"/>
                <w:color w:val="auto"/>
                <w:sz w:val="24"/>
                <w:szCs w:val="24"/>
                <w:highlight w:val="none"/>
                <w:shd w:val="clear" w:color="auto" w:fill="auto"/>
                <w:lang w:val="en-US" w:eastAsia="zh-CN"/>
              </w:rPr>
              <w:t>及无组织排放监控浓度限值，标准值见表3-8</w:t>
            </w:r>
            <w:r>
              <w:rPr>
                <w:rFonts w:hint="eastAsia" w:cs="Times New Roman"/>
                <w:color w:val="auto"/>
                <w:sz w:val="24"/>
                <w:szCs w:val="24"/>
                <w:highlight w:val="none"/>
                <w:shd w:val="clear" w:color="auto" w:fill="auto"/>
                <w:lang w:val="zh-CN" w:eastAsia="zh-CN"/>
              </w:rPr>
              <w:t>。</w:t>
            </w:r>
          </w:p>
          <w:p w14:paraId="3E9AA13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天然气燃烧产生的废气主要为颗粒物、二氧化硫、氮氧化物，经15m高排气筒（DA002）排放。</w:t>
            </w:r>
            <w:r>
              <w:rPr>
                <w:rFonts w:hint="eastAsia" w:ascii="Times New Roman" w:hAnsi="Times New Roman" w:eastAsia="宋体" w:cs="Times New Roman"/>
                <w:color w:val="auto"/>
                <w:kern w:val="2"/>
                <w:sz w:val="24"/>
                <w:szCs w:val="24"/>
                <w:lang w:val="en-US" w:eastAsia="zh-CN" w:bidi="ar-SA"/>
              </w:rPr>
              <w:t>天然气燃烧废气</w:t>
            </w:r>
            <w:r>
              <w:rPr>
                <w:rFonts w:hint="eastAsia" w:cs="Times New Roman"/>
                <w:color w:val="auto"/>
                <w:kern w:val="2"/>
                <w:sz w:val="24"/>
                <w:szCs w:val="24"/>
                <w:lang w:val="en-US" w:eastAsia="zh-CN" w:bidi="ar-SA"/>
              </w:rPr>
              <w:t>浓度限值</w:t>
            </w:r>
            <w:r>
              <w:rPr>
                <w:rFonts w:hint="eastAsia" w:ascii="Times New Roman" w:hAnsi="Times New Roman" w:eastAsia="宋体" w:cs="Times New Roman"/>
                <w:color w:val="auto"/>
                <w:kern w:val="2"/>
                <w:sz w:val="24"/>
                <w:szCs w:val="24"/>
                <w:lang w:val="en-US" w:eastAsia="zh-CN" w:bidi="ar-SA"/>
              </w:rPr>
              <w:t>执行《锅炉大气污染物排放标准》（GB13271-2014）中表</w:t>
            </w: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燃气锅炉的排放限值要求</w:t>
            </w:r>
            <w:r>
              <w:rPr>
                <w:rFonts w:hint="eastAsia" w:cs="Times New Roman"/>
                <w:color w:val="auto"/>
                <w:sz w:val="24"/>
                <w:highlight w:val="none"/>
                <w:lang w:val="en-US" w:eastAsia="zh-CN"/>
              </w:rPr>
              <w:t>；</w:t>
            </w:r>
            <w:r>
              <w:rPr>
                <w:rFonts w:hint="eastAsia" w:cs="Times New Roman"/>
                <w:color w:val="auto"/>
                <w:sz w:val="24"/>
                <w:szCs w:val="24"/>
                <w:highlight w:val="none"/>
                <w:shd w:val="clear" w:color="auto" w:fill="auto"/>
                <w:lang w:val="en-US" w:eastAsia="zh-CN"/>
              </w:rPr>
              <w:t>详细</w:t>
            </w:r>
            <w:r>
              <w:rPr>
                <w:rFonts w:hint="default" w:ascii="Times New Roman" w:hAnsi="Times New Roman" w:eastAsia="宋体" w:cs="Times New Roman"/>
                <w:color w:val="auto"/>
                <w:sz w:val="24"/>
                <w:highlight w:val="none"/>
                <w:lang w:val="en-US" w:eastAsia="zh-CN"/>
              </w:rPr>
              <w:t>标准值见表3-</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szCs w:val="24"/>
                <w:highlight w:val="none"/>
                <w:shd w:val="clear" w:color="auto" w:fill="auto"/>
                <w:lang w:val="zh-CN" w:eastAsia="zh-CN"/>
              </w:rPr>
              <w:t>。</w:t>
            </w:r>
          </w:p>
          <w:p w14:paraId="7C526A82">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shd w:val="clear" w:color="auto" w:fill="auto"/>
                <w:lang w:val="zh-CN" w:eastAsia="zh-CN"/>
              </w:rPr>
            </w:pPr>
            <w:r>
              <w:rPr>
                <w:rFonts w:hint="default" w:ascii="Times New Roman" w:hAnsi="Times New Roman" w:eastAsia="宋体" w:cs="Times New Roman"/>
                <w:color w:val="auto"/>
                <w:sz w:val="24"/>
                <w:szCs w:val="24"/>
                <w:highlight w:val="none"/>
                <w:shd w:val="clear" w:color="auto" w:fill="auto"/>
                <w:lang w:val="en-US" w:eastAsia="zh-CN"/>
              </w:rPr>
              <w:t>厂内无组织挥发性有机物执行《挥发性有机物无组织排放控制标准》（GB37822-2019）中的要求</w:t>
            </w:r>
            <w:r>
              <w:rPr>
                <w:rFonts w:hint="eastAsia" w:ascii="Times New Roman" w:hAnsi="Times New Roman" w:eastAsia="宋体" w:cs="Times New Roman"/>
                <w:color w:val="auto"/>
                <w:sz w:val="24"/>
                <w:szCs w:val="24"/>
                <w:highlight w:val="none"/>
                <w:shd w:val="clear" w:color="auto" w:fill="auto"/>
                <w:lang w:val="en-US" w:eastAsia="zh-CN"/>
              </w:rPr>
              <w:t>，标准值详见表3-</w:t>
            </w:r>
            <w:r>
              <w:rPr>
                <w:rFonts w:hint="eastAsia" w:cs="Times New Roman"/>
                <w:color w:val="auto"/>
                <w:sz w:val="24"/>
                <w:szCs w:val="24"/>
                <w:highlight w:val="none"/>
                <w:shd w:val="clear" w:color="auto" w:fill="auto"/>
                <w:lang w:val="en-US" w:eastAsia="zh-CN"/>
              </w:rPr>
              <w:t>8</w:t>
            </w:r>
            <w:r>
              <w:rPr>
                <w:rFonts w:hint="eastAsia" w:ascii="Times New Roman" w:hAnsi="Times New Roman" w:eastAsia="宋体" w:cs="Times New Roman"/>
                <w:color w:val="auto"/>
                <w:sz w:val="24"/>
                <w:szCs w:val="24"/>
                <w:highlight w:val="none"/>
                <w:shd w:val="clear" w:color="auto" w:fill="auto"/>
                <w:lang w:val="en-US" w:eastAsia="zh-CN"/>
              </w:rPr>
              <w:t>。</w:t>
            </w:r>
          </w:p>
          <w:p w14:paraId="4574D90F">
            <w:pPr>
              <w:keepNext w:val="0"/>
              <w:keepLines w:val="0"/>
              <w:suppressLineNumbers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根据《大气污染物综合排放标准》（GB16297-1996）中“7.1排气筒高度除须遵守表列排放速率值外，还应高出周围200米半径范围的建筑5米以上，不能达到该要求的排气筒，应按其高度对应的表列排放速率标准值严格50%执行”，</w:t>
            </w:r>
            <w:r>
              <w:rPr>
                <w:rFonts w:hint="eastAsia"/>
                <w:color w:val="auto"/>
                <w:sz w:val="24"/>
              </w:rPr>
              <w:t>由于本项目周围200m内存在高层建筑，</w:t>
            </w:r>
            <w:r>
              <w:rPr>
                <w:rFonts w:hint="default"/>
                <w:color w:val="auto"/>
                <w:sz w:val="24"/>
              </w:rPr>
              <w:t>本项目排气筒</w:t>
            </w:r>
            <w:r>
              <w:rPr>
                <w:rFonts w:hint="eastAsia"/>
                <w:color w:val="auto"/>
                <w:sz w:val="24"/>
                <w:lang w:val="en-US" w:eastAsia="zh-CN"/>
              </w:rPr>
              <w:t>DA001</w:t>
            </w:r>
            <w:r>
              <w:rPr>
                <w:rFonts w:hint="default"/>
                <w:color w:val="auto"/>
                <w:sz w:val="24"/>
              </w:rPr>
              <w:t>高度无法做到高出周围200米半径范围内的建筑物5米以上，因此</w:t>
            </w:r>
            <w:r>
              <w:rPr>
                <w:rFonts w:hint="eastAsia" w:ascii="Times New Roman" w:hAnsi="Times New Roman" w:cs="Times New Roman"/>
                <w:color w:val="auto"/>
                <w:kern w:val="2"/>
                <w:sz w:val="24"/>
                <w:szCs w:val="24"/>
                <w:lang w:val="en-US" w:eastAsia="zh-CN"/>
              </w:rPr>
              <w:t>VOCs</w:t>
            </w:r>
            <w:r>
              <w:rPr>
                <w:rFonts w:hint="eastAsia" w:cs="Times New Roman"/>
                <w:color w:val="auto"/>
                <w:kern w:val="2"/>
                <w:sz w:val="24"/>
                <w:szCs w:val="24"/>
                <w:lang w:val="en-US" w:eastAsia="zh-CN"/>
              </w:rPr>
              <w:t>（以非甲烷总烃计）</w:t>
            </w:r>
            <w:r>
              <w:rPr>
                <w:rFonts w:hint="eastAsia"/>
                <w:color w:val="auto"/>
                <w:sz w:val="24"/>
                <w:lang w:val="en-US" w:eastAsia="zh-CN"/>
              </w:rPr>
              <w:t>、甲醛</w:t>
            </w:r>
            <w:r>
              <w:rPr>
                <w:rFonts w:hint="default"/>
                <w:color w:val="auto"/>
                <w:sz w:val="24"/>
              </w:rPr>
              <w:t>排放速率标准严格50%执行，标准值见</w:t>
            </w:r>
            <w:r>
              <w:rPr>
                <w:rFonts w:hint="eastAsia"/>
                <w:color w:val="auto"/>
                <w:sz w:val="24"/>
                <w:lang w:val="en-US" w:eastAsia="zh-CN"/>
              </w:rPr>
              <w:t>下表</w:t>
            </w:r>
            <w:r>
              <w:rPr>
                <w:rFonts w:hint="default"/>
                <w:color w:val="auto"/>
                <w:sz w:val="24"/>
              </w:rPr>
              <w:t>。</w:t>
            </w:r>
          </w:p>
          <w:p w14:paraId="78687B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表3-</w:t>
            </w:r>
            <w:r>
              <w:rPr>
                <w:rFonts w:hint="eastAsia" w:cs="Times New Roman"/>
                <w:b/>
                <w:bCs/>
                <w:color w:val="auto"/>
                <w:kern w:val="2"/>
                <w:sz w:val="21"/>
                <w:szCs w:val="24"/>
                <w:highlight w:val="none"/>
                <w:lang w:val="en-US" w:eastAsia="zh-CN" w:bidi="ar-SA"/>
              </w:rPr>
              <w:t>6</w:t>
            </w:r>
            <w:r>
              <w:rPr>
                <w:rFonts w:hint="default" w:ascii="Times New Roman" w:hAnsi="Times New Roman" w:eastAsia="宋体" w:cs="Times New Roman"/>
                <w:b/>
                <w:bCs/>
                <w:color w:val="auto"/>
                <w:kern w:val="2"/>
                <w:sz w:val="21"/>
                <w:szCs w:val="24"/>
                <w:highlight w:val="none"/>
                <w:lang w:val="en-US" w:eastAsia="zh-CN" w:bidi="ar-SA"/>
              </w:rPr>
              <w:t xml:space="preserve">  大气污染物综合排放标准</w:t>
            </w:r>
          </w:p>
          <w:tbl>
            <w:tblPr>
              <w:tblStyle w:val="30"/>
              <w:tblW w:w="88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302"/>
              <w:gridCol w:w="1192"/>
              <w:gridCol w:w="2121"/>
              <w:gridCol w:w="1573"/>
              <w:gridCol w:w="1296"/>
            </w:tblGrid>
            <w:tr w14:paraId="333C59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vMerge w:val="restart"/>
                  <w:tcBorders>
                    <w:left w:val="single" w:color="auto" w:sz="0" w:space="0"/>
                  </w:tcBorders>
                  <w:vAlign w:val="center"/>
                </w:tcPr>
                <w:p w14:paraId="744EBA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4615" w:type="dxa"/>
                  <w:gridSpan w:val="3"/>
                  <w:vAlign w:val="center"/>
                </w:tcPr>
                <w:p w14:paraId="77E836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有组织排放</w:t>
                  </w:r>
                </w:p>
              </w:tc>
              <w:tc>
                <w:tcPr>
                  <w:tcW w:w="2869" w:type="dxa"/>
                  <w:gridSpan w:val="2"/>
                  <w:tcBorders>
                    <w:right w:val="single" w:color="auto" w:sz="4" w:space="0"/>
                  </w:tcBorders>
                  <w:vAlign w:val="center"/>
                </w:tcPr>
                <w:p w14:paraId="4D65BE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p>
              </w:tc>
            </w:tr>
            <w:tr w14:paraId="109D9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vMerge w:val="continue"/>
                  <w:tcBorders>
                    <w:left w:val="single" w:color="auto" w:sz="4" w:space="0"/>
                  </w:tcBorders>
                  <w:vAlign w:val="center"/>
                </w:tcPr>
                <w:p w14:paraId="7D8D46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p>
              </w:tc>
              <w:tc>
                <w:tcPr>
                  <w:tcW w:w="1302" w:type="dxa"/>
                  <w:vAlign w:val="center"/>
                </w:tcPr>
                <w:p w14:paraId="49D597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w:t>
                  </w:r>
                </w:p>
              </w:tc>
              <w:tc>
                <w:tcPr>
                  <w:tcW w:w="1192" w:type="dxa"/>
                  <w:vAlign w:val="center"/>
                </w:tcPr>
                <w:p w14:paraId="5E419C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排气筒高度（m）</w:t>
                  </w:r>
                </w:p>
              </w:tc>
              <w:tc>
                <w:tcPr>
                  <w:tcW w:w="2121" w:type="dxa"/>
                  <w:vAlign w:val="center"/>
                </w:tcPr>
                <w:p w14:paraId="2B9623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最高允许排放速率（kg/h）</w:t>
                  </w:r>
                </w:p>
              </w:tc>
              <w:tc>
                <w:tcPr>
                  <w:tcW w:w="1573" w:type="dxa"/>
                  <w:vAlign w:val="center"/>
                </w:tcPr>
                <w:p w14:paraId="284ED5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1296" w:type="dxa"/>
                  <w:tcBorders>
                    <w:right w:val="single" w:color="auto" w:sz="4" w:space="0"/>
                  </w:tcBorders>
                  <w:vAlign w:val="center"/>
                </w:tcPr>
                <w:p w14:paraId="25E6F9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浓度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kern w:val="2"/>
                      <w:sz w:val="21"/>
                      <w:szCs w:val="24"/>
                      <w:highlight w:val="none"/>
                      <w:lang w:val="en-US" w:eastAsia="zh-CN" w:bidi="ar-SA"/>
                    </w:rPr>
                    <w:t>mg/m</w:t>
                  </w:r>
                  <w:r>
                    <w:rPr>
                      <w:rFonts w:hint="default" w:ascii="Times New Roman" w:hAnsi="Times New Roman" w:eastAsia="宋体" w:cs="Times New Roman"/>
                      <w:b/>
                      <w:bCs/>
                      <w:color w:val="auto"/>
                      <w:kern w:val="2"/>
                      <w:sz w:val="21"/>
                      <w:szCs w:val="24"/>
                      <w:highlight w:val="none"/>
                      <w:vertAlign w:val="superscript"/>
                      <w:lang w:val="en-US" w:eastAsia="zh-CN" w:bidi="ar-SA"/>
                    </w:rPr>
                    <w:t>3</w:t>
                  </w:r>
                  <w:r>
                    <w:rPr>
                      <w:rFonts w:hint="default" w:ascii="Times New Roman" w:hAnsi="Times New Roman" w:eastAsia="宋体" w:cs="Times New Roman"/>
                      <w:b/>
                      <w:bCs/>
                      <w:color w:val="auto"/>
                      <w:sz w:val="21"/>
                      <w:szCs w:val="21"/>
                      <w:highlight w:val="none"/>
                      <w:lang w:eastAsia="zh-CN"/>
                    </w:rPr>
                    <w:t>）</w:t>
                  </w:r>
                </w:p>
              </w:tc>
            </w:tr>
            <w:tr w14:paraId="2315B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tcBorders>
                    <w:left w:val="single" w:color="auto" w:sz="4" w:space="0"/>
                  </w:tcBorders>
                  <w:vAlign w:val="center"/>
                </w:tcPr>
                <w:p w14:paraId="226EE4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1302" w:type="dxa"/>
                  <w:vAlign w:val="center"/>
                </w:tcPr>
                <w:p w14:paraId="1AA59B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120</w:t>
                  </w:r>
                </w:p>
              </w:tc>
              <w:tc>
                <w:tcPr>
                  <w:tcW w:w="1192" w:type="dxa"/>
                  <w:vAlign w:val="center"/>
                </w:tcPr>
                <w:p w14:paraId="707B7E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2121" w:type="dxa"/>
                  <w:vAlign w:val="center"/>
                </w:tcPr>
                <w:p w14:paraId="02D9F8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10（50%为5）</w:t>
                  </w:r>
                </w:p>
              </w:tc>
              <w:tc>
                <w:tcPr>
                  <w:tcW w:w="1573" w:type="dxa"/>
                  <w:vMerge w:val="restart"/>
                  <w:vAlign w:val="center"/>
                </w:tcPr>
                <w:p w14:paraId="5ABBFE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周界外浓度最高点</w:t>
                  </w:r>
                </w:p>
              </w:tc>
              <w:tc>
                <w:tcPr>
                  <w:tcW w:w="1296" w:type="dxa"/>
                  <w:tcBorders>
                    <w:right w:val="single" w:color="auto" w:sz="4" w:space="0"/>
                  </w:tcBorders>
                  <w:vAlign w:val="center"/>
                </w:tcPr>
                <w:p w14:paraId="7D1F9A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4.0</w:t>
                  </w:r>
                </w:p>
              </w:tc>
            </w:tr>
            <w:tr w14:paraId="64B960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1" w:type="dxa"/>
                  <w:tcBorders>
                    <w:left w:val="single" w:color="auto" w:sz="4" w:space="0"/>
                  </w:tcBorders>
                  <w:vAlign w:val="center"/>
                </w:tcPr>
                <w:p w14:paraId="5479E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甲醛</w:t>
                  </w:r>
                </w:p>
              </w:tc>
              <w:tc>
                <w:tcPr>
                  <w:tcW w:w="1302" w:type="dxa"/>
                  <w:vAlign w:val="center"/>
                </w:tcPr>
                <w:p w14:paraId="04260F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1192" w:type="dxa"/>
                  <w:vAlign w:val="center"/>
                </w:tcPr>
                <w:p w14:paraId="1D050B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2121" w:type="dxa"/>
                  <w:vAlign w:val="center"/>
                </w:tcPr>
                <w:p w14:paraId="211940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0.26（50%为0.13）</w:t>
                  </w:r>
                </w:p>
              </w:tc>
              <w:tc>
                <w:tcPr>
                  <w:tcW w:w="1573" w:type="dxa"/>
                  <w:vMerge w:val="continue"/>
                  <w:vAlign w:val="center"/>
                </w:tcPr>
                <w:p w14:paraId="0C0DA6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296" w:type="dxa"/>
                  <w:tcBorders>
                    <w:right w:val="single" w:color="auto" w:sz="4" w:space="0"/>
                  </w:tcBorders>
                  <w:vAlign w:val="center"/>
                </w:tcPr>
                <w:p w14:paraId="167CC8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r>
          </w:tbl>
          <w:p w14:paraId="67BB52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表3-</w:t>
            </w:r>
            <w:r>
              <w:rPr>
                <w:rFonts w:hint="eastAsia" w:cs="Times New Roman"/>
                <w:b/>
                <w:bCs/>
                <w:color w:val="auto"/>
                <w:kern w:val="2"/>
                <w:sz w:val="21"/>
                <w:szCs w:val="24"/>
                <w:highlight w:val="none"/>
                <w:lang w:val="en-US" w:eastAsia="zh-CN" w:bidi="ar-SA"/>
              </w:rPr>
              <w:t>7</w:t>
            </w:r>
            <w:r>
              <w:rPr>
                <w:rFonts w:hint="default" w:ascii="Times New Roman" w:hAnsi="Times New Roman" w:eastAsia="宋体" w:cs="Times New Roman"/>
                <w:b/>
                <w:bCs/>
                <w:color w:val="auto"/>
                <w:kern w:val="2"/>
                <w:sz w:val="21"/>
                <w:szCs w:val="24"/>
                <w:highlight w:val="none"/>
                <w:lang w:val="en-US" w:eastAsia="zh-CN" w:bidi="ar-SA"/>
              </w:rPr>
              <w:t xml:space="preserve">  </w:t>
            </w:r>
            <w:r>
              <w:rPr>
                <w:rFonts w:hint="eastAsia" w:cs="Times New Roman"/>
                <w:b/>
                <w:bCs/>
                <w:color w:val="auto"/>
                <w:kern w:val="2"/>
                <w:sz w:val="21"/>
                <w:szCs w:val="24"/>
                <w:highlight w:val="none"/>
                <w:lang w:val="en-US" w:eastAsia="zh-CN" w:bidi="ar-SA"/>
              </w:rPr>
              <w:t>锅炉大气污染物排放浓度限值  单位：mg/m</w:t>
            </w:r>
            <w:r>
              <w:rPr>
                <w:rFonts w:hint="eastAsia" w:cs="Times New Roman"/>
                <w:b/>
                <w:bCs/>
                <w:color w:val="auto"/>
                <w:kern w:val="2"/>
                <w:sz w:val="21"/>
                <w:szCs w:val="24"/>
                <w:highlight w:val="none"/>
                <w:vertAlign w:val="superscript"/>
                <w:lang w:val="en-US" w:eastAsia="zh-CN" w:bidi="ar-SA"/>
              </w:rPr>
              <w:t>3</w:t>
            </w:r>
          </w:p>
          <w:tbl>
            <w:tblPr>
              <w:tblStyle w:val="30"/>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0"/>
              <w:gridCol w:w="3686"/>
              <w:gridCol w:w="2114"/>
            </w:tblGrid>
            <w:tr w14:paraId="1808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50" w:type="dxa"/>
                  <w:vMerge w:val="restart"/>
                  <w:tcBorders>
                    <w:tl2br w:val="nil"/>
                    <w:tr2bl w:val="nil"/>
                  </w:tcBorders>
                  <w:vAlign w:val="center"/>
                </w:tcPr>
                <w:p w14:paraId="5C22D6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eastAsia" w:cs="Times New Roman"/>
                      <w:b/>
                      <w:bCs/>
                      <w:color w:val="auto"/>
                      <w:sz w:val="21"/>
                      <w:szCs w:val="21"/>
                      <w:highlight w:val="none"/>
                      <w:lang w:val="en-US" w:eastAsia="zh-CN"/>
                    </w:rPr>
                    <w:t>污染物项目</w:t>
                  </w:r>
                </w:p>
              </w:tc>
              <w:tc>
                <w:tcPr>
                  <w:tcW w:w="3686" w:type="dxa"/>
                  <w:tcBorders>
                    <w:tl2br w:val="nil"/>
                    <w:tr2bl w:val="nil"/>
                  </w:tcBorders>
                  <w:vAlign w:val="center"/>
                </w:tcPr>
                <w:p w14:paraId="224A3A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燃气锅炉</w:t>
                  </w:r>
                </w:p>
              </w:tc>
              <w:tc>
                <w:tcPr>
                  <w:tcW w:w="2114" w:type="dxa"/>
                  <w:vMerge w:val="restart"/>
                  <w:tcBorders>
                    <w:tl2br w:val="nil"/>
                    <w:tr2bl w:val="nil"/>
                  </w:tcBorders>
                  <w:vAlign w:val="center"/>
                </w:tcPr>
                <w:p w14:paraId="4D2B3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污染物排放监控位置</w:t>
                  </w:r>
                </w:p>
              </w:tc>
            </w:tr>
            <w:tr w14:paraId="65A1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050" w:type="dxa"/>
                  <w:vMerge w:val="continue"/>
                  <w:tcBorders>
                    <w:tl2br w:val="nil"/>
                    <w:tr2bl w:val="nil"/>
                  </w:tcBorders>
                  <w:vAlign w:val="center"/>
                </w:tcPr>
                <w:p w14:paraId="6D67F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highlight w:val="none"/>
                    </w:rPr>
                  </w:pPr>
                </w:p>
              </w:tc>
              <w:tc>
                <w:tcPr>
                  <w:tcW w:w="3686" w:type="dxa"/>
                  <w:tcBorders>
                    <w:tl2br w:val="nil"/>
                    <w:tr2bl w:val="nil"/>
                  </w:tcBorders>
                  <w:vAlign w:val="center"/>
                </w:tcPr>
                <w:p w14:paraId="3B96C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浓度限值</w:t>
                  </w:r>
                  <w:r>
                    <w:rPr>
                      <w:rFonts w:hint="default" w:ascii="Times New Roman" w:hAnsi="Times New Roman" w:eastAsia="宋体" w:cs="Times New Roman"/>
                      <w:b/>
                      <w:bCs/>
                      <w:color w:val="auto"/>
                      <w:kern w:val="2"/>
                      <w:sz w:val="21"/>
                      <w:szCs w:val="24"/>
                      <w:highlight w:val="none"/>
                      <w:lang w:val="en-US" w:eastAsia="zh-CN" w:bidi="ar-SA"/>
                    </w:rPr>
                    <w:t>mg/m</w:t>
                  </w:r>
                  <w:r>
                    <w:rPr>
                      <w:rFonts w:hint="default" w:ascii="Times New Roman" w:hAnsi="Times New Roman" w:eastAsia="宋体" w:cs="Times New Roman"/>
                      <w:b/>
                      <w:bCs/>
                      <w:color w:val="auto"/>
                      <w:kern w:val="2"/>
                      <w:sz w:val="21"/>
                      <w:szCs w:val="24"/>
                      <w:highlight w:val="none"/>
                      <w:vertAlign w:val="superscript"/>
                      <w:lang w:val="en-US" w:eastAsia="zh-CN" w:bidi="ar-SA"/>
                    </w:rPr>
                    <w:t>3</w:t>
                  </w:r>
                </w:p>
              </w:tc>
              <w:tc>
                <w:tcPr>
                  <w:tcW w:w="2114" w:type="dxa"/>
                  <w:vMerge w:val="continue"/>
                  <w:tcBorders>
                    <w:tl2br w:val="nil"/>
                    <w:tr2bl w:val="nil"/>
                  </w:tcBorders>
                  <w:vAlign w:val="center"/>
                </w:tcPr>
                <w:p w14:paraId="36C2F1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sz w:val="21"/>
                      <w:szCs w:val="21"/>
                      <w:highlight w:val="none"/>
                      <w:lang w:val="en-US" w:eastAsia="zh-CN"/>
                    </w:rPr>
                  </w:pPr>
                </w:p>
              </w:tc>
            </w:tr>
            <w:tr w14:paraId="0FBE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50" w:type="dxa"/>
                  <w:tcBorders>
                    <w:tl2br w:val="nil"/>
                    <w:tr2bl w:val="nil"/>
                  </w:tcBorders>
                  <w:vAlign w:val="center"/>
                </w:tcPr>
                <w:p w14:paraId="7E5CC6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颗粒物</w:t>
                  </w:r>
                </w:p>
              </w:tc>
              <w:tc>
                <w:tcPr>
                  <w:tcW w:w="3686" w:type="dxa"/>
                  <w:tcBorders>
                    <w:tl2br w:val="nil"/>
                    <w:tr2bl w:val="nil"/>
                  </w:tcBorders>
                  <w:vAlign w:val="center"/>
                </w:tcPr>
                <w:p w14:paraId="3B290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2114" w:type="dxa"/>
                  <w:vMerge w:val="restart"/>
                  <w:tcBorders>
                    <w:tl2br w:val="nil"/>
                    <w:tr2bl w:val="nil"/>
                  </w:tcBorders>
                  <w:vAlign w:val="center"/>
                </w:tcPr>
                <w:p w14:paraId="7063D9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DA002</w:t>
                  </w:r>
                </w:p>
              </w:tc>
            </w:tr>
            <w:tr w14:paraId="112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50" w:type="dxa"/>
                  <w:tcBorders>
                    <w:tl2br w:val="nil"/>
                    <w:tr2bl w:val="nil"/>
                  </w:tcBorders>
                  <w:vAlign w:val="center"/>
                </w:tcPr>
                <w:p w14:paraId="3E9EF3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二氧化硫</w:t>
                  </w:r>
                </w:p>
              </w:tc>
              <w:tc>
                <w:tcPr>
                  <w:tcW w:w="3686" w:type="dxa"/>
                  <w:tcBorders>
                    <w:tl2br w:val="nil"/>
                    <w:tr2bl w:val="nil"/>
                  </w:tcBorders>
                  <w:vAlign w:val="center"/>
                </w:tcPr>
                <w:p w14:paraId="6E37C3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w:t>
                  </w:r>
                </w:p>
              </w:tc>
              <w:tc>
                <w:tcPr>
                  <w:tcW w:w="2114" w:type="dxa"/>
                  <w:vMerge w:val="continue"/>
                  <w:tcBorders>
                    <w:tl2br w:val="nil"/>
                    <w:tr2bl w:val="nil"/>
                  </w:tcBorders>
                  <w:vAlign w:val="center"/>
                </w:tcPr>
                <w:p w14:paraId="39C9A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367D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50" w:type="dxa"/>
                  <w:tcBorders>
                    <w:tl2br w:val="nil"/>
                    <w:tr2bl w:val="nil"/>
                  </w:tcBorders>
                  <w:vAlign w:val="center"/>
                </w:tcPr>
                <w:p w14:paraId="30189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氮氧化物</w:t>
                  </w:r>
                </w:p>
              </w:tc>
              <w:tc>
                <w:tcPr>
                  <w:tcW w:w="3686" w:type="dxa"/>
                  <w:tcBorders>
                    <w:tl2br w:val="nil"/>
                    <w:tr2bl w:val="nil"/>
                  </w:tcBorders>
                  <w:vAlign w:val="center"/>
                </w:tcPr>
                <w:p w14:paraId="160DC3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w:t>
                  </w:r>
                </w:p>
              </w:tc>
              <w:tc>
                <w:tcPr>
                  <w:tcW w:w="2114" w:type="dxa"/>
                  <w:vMerge w:val="continue"/>
                  <w:tcBorders>
                    <w:tl2br w:val="nil"/>
                    <w:tr2bl w:val="nil"/>
                  </w:tcBorders>
                  <w:vAlign w:val="center"/>
                </w:tcPr>
                <w:p w14:paraId="705865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18D0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50" w:type="dxa"/>
                  <w:tcBorders>
                    <w:tl2br w:val="nil"/>
                    <w:tr2bl w:val="nil"/>
                  </w:tcBorders>
                  <w:vAlign w:val="center"/>
                </w:tcPr>
                <w:p w14:paraId="793A6B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烟气黑度（林格曼黑度，级）</w:t>
                  </w:r>
                </w:p>
              </w:tc>
              <w:tc>
                <w:tcPr>
                  <w:tcW w:w="3686" w:type="dxa"/>
                  <w:tcBorders>
                    <w:tl2br w:val="nil"/>
                    <w:tr2bl w:val="nil"/>
                  </w:tcBorders>
                  <w:vAlign w:val="center"/>
                </w:tcPr>
                <w:p w14:paraId="28615F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2114" w:type="dxa"/>
                  <w:tcBorders>
                    <w:tl2br w:val="nil"/>
                    <w:tr2bl w:val="nil"/>
                  </w:tcBorders>
                  <w:vAlign w:val="center"/>
                </w:tcPr>
                <w:p w14:paraId="3191E7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bl>
          <w:p w14:paraId="0416BB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lang w:val="en-US" w:eastAsia="zh-CN"/>
              </w:rPr>
            </w:pPr>
            <w:r>
              <w:rPr>
                <w:rFonts w:hint="default" w:ascii="Times New Roman" w:hAnsi="Times New Roman" w:eastAsia="宋体"/>
                <w:b/>
                <w:bCs/>
                <w:color w:val="auto"/>
                <w:sz w:val="21"/>
                <w:szCs w:val="21"/>
                <w:lang w:val="en-US" w:eastAsia="zh-CN"/>
              </w:rPr>
              <w:t>表</w:t>
            </w:r>
            <w:r>
              <w:rPr>
                <w:rFonts w:hint="eastAsia" w:ascii="Times New Roman" w:hAnsi="Times New Roman" w:eastAsia="宋体"/>
                <w:b/>
                <w:bCs/>
                <w:color w:val="auto"/>
                <w:sz w:val="21"/>
                <w:szCs w:val="21"/>
                <w:lang w:val="en-US" w:eastAsia="zh-CN"/>
              </w:rPr>
              <w:t>3</w:t>
            </w:r>
            <w:r>
              <w:rPr>
                <w:rFonts w:hint="default" w:ascii="Times New Roman" w:hAnsi="Times New Roman" w:eastAsia="宋体"/>
                <w:b/>
                <w:bCs/>
                <w:color w:val="auto"/>
                <w:sz w:val="21"/>
                <w:szCs w:val="21"/>
                <w:lang w:val="en-US" w:eastAsia="zh-CN"/>
              </w:rPr>
              <w:t>-</w:t>
            </w:r>
            <w:r>
              <w:rPr>
                <w:rFonts w:hint="eastAsia"/>
                <w:b/>
                <w:bCs/>
                <w:color w:val="auto"/>
                <w:sz w:val="21"/>
                <w:szCs w:val="21"/>
                <w:lang w:val="en-US" w:eastAsia="zh-CN"/>
              </w:rPr>
              <w:t>8</w:t>
            </w:r>
            <w:r>
              <w:rPr>
                <w:rFonts w:hint="eastAsia" w:ascii="Times New Roman" w:hAnsi="Times New Roman" w:eastAsia="宋体"/>
                <w:b/>
                <w:bCs/>
                <w:color w:val="auto"/>
                <w:sz w:val="21"/>
                <w:szCs w:val="21"/>
                <w:lang w:val="en-US" w:eastAsia="zh-CN"/>
              </w:rPr>
              <w:t xml:space="preserve"> </w:t>
            </w:r>
            <w:r>
              <w:rPr>
                <w:rFonts w:hint="default" w:ascii="Times New Roman" w:hAnsi="Times New Roman" w:eastAsia="宋体"/>
                <w:b/>
                <w:bCs/>
                <w:color w:val="auto"/>
                <w:sz w:val="21"/>
                <w:szCs w:val="21"/>
                <w:lang w:val="en-US" w:eastAsia="zh-CN"/>
              </w:rPr>
              <w:t xml:space="preserve"> 厂区内VOCs无组织排放限值</w:t>
            </w:r>
          </w:p>
          <w:tbl>
            <w:tblPr>
              <w:tblStyle w:val="30"/>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826"/>
              <w:gridCol w:w="2659"/>
              <w:gridCol w:w="2715"/>
            </w:tblGrid>
            <w:tr w14:paraId="2A46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1" w:type="dxa"/>
                  <w:vAlign w:val="center"/>
                </w:tcPr>
                <w:p w14:paraId="5F593A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bCs/>
                      <w:color w:val="auto"/>
                      <w:szCs w:val="24"/>
                    </w:rPr>
                  </w:pPr>
                  <w:r>
                    <w:rPr>
                      <w:rFonts w:hint="default" w:ascii="Times New Roman" w:hAnsi="Times New Roman"/>
                      <w:b/>
                      <w:bCs/>
                      <w:color w:val="auto"/>
                      <w:szCs w:val="24"/>
                    </w:rPr>
                    <w:t>污染物项目</w:t>
                  </w:r>
                </w:p>
              </w:tc>
              <w:tc>
                <w:tcPr>
                  <w:tcW w:w="1826" w:type="dxa"/>
                  <w:vAlign w:val="center"/>
                </w:tcPr>
                <w:p w14:paraId="4292E8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bCs/>
                      <w:color w:val="auto"/>
                      <w:szCs w:val="24"/>
                      <w:vertAlign w:val="superscript"/>
                    </w:rPr>
                  </w:pPr>
                  <w:r>
                    <w:rPr>
                      <w:rFonts w:hint="default" w:ascii="Times New Roman" w:hAnsi="Times New Roman"/>
                      <w:b/>
                      <w:bCs/>
                      <w:color w:val="auto"/>
                      <w:szCs w:val="24"/>
                    </w:rPr>
                    <w:t>排放限值mg/m</w:t>
                  </w:r>
                  <w:r>
                    <w:rPr>
                      <w:rFonts w:hint="default" w:ascii="Times New Roman" w:hAnsi="Times New Roman"/>
                      <w:b/>
                      <w:bCs/>
                      <w:color w:val="auto"/>
                      <w:szCs w:val="24"/>
                      <w:vertAlign w:val="superscript"/>
                    </w:rPr>
                    <w:t>3</w:t>
                  </w:r>
                </w:p>
              </w:tc>
              <w:tc>
                <w:tcPr>
                  <w:tcW w:w="2659" w:type="dxa"/>
                  <w:vAlign w:val="center"/>
                </w:tcPr>
                <w:p w14:paraId="5593F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bCs/>
                      <w:color w:val="auto"/>
                      <w:szCs w:val="24"/>
                    </w:rPr>
                  </w:pPr>
                  <w:r>
                    <w:rPr>
                      <w:rFonts w:hint="default" w:ascii="Times New Roman" w:hAnsi="Times New Roman"/>
                      <w:b/>
                      <w:bCs/>
                      <w:color w:val="auto"/>
                      <w:szCs w:val="24"/>
                    </w:rPr>
                    <w:t>限值含义</w:t>
                  </w:r>
                </w:p>
              </w:tc>
              <w:tc>
                <w:tcPr>
                  <w:tcW w:w="2715" w:type="dxa"/>
                  <w:vAlign w:val="center"/>
                </w:tcPr>
                <w:p w14:paraId="575BB4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bCs/>
                      <w:color w:val="auto"/>
                      <w:szCs w:val="24"/>
                    </w:rPr>
                  </w:pPr>
                  <w:r>
                    <w:rPr>
                      <w:rFonts w:hint="default" w:ascii="Times New Roman" w:hAnsi="Times New Roman"/>
                      <w:b/>
                      <w:bCs/>
                      <w:color w:val="auto"/>
                      <w:szCs w:val="24"/>
                    </w:rPr>
                    <w:t>无组织排放监控位置</w:t>
                  </w:r>
                </w:p>
              </w:tc>
            </w:tr>
            <w:tr w14:paraId="77FD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1" w:type="dxa"/>
                  <w:vMerge w:val="restart"/>
                  <w:vAlign w:val="center"/>
                </w:tcPr>
                <w:p w14:paraId="036F27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olor w:val="auto"/>
                      <w:szCs w:val="24"/>
                    </w:rPr>
                  </w:pPr>
                  <w:r>
                    <w:rPr>
                      <w:rFonts w:hint="default" w:ascii="Times New Roman" w:hAnsi="Times New Roman"/>
                      <w:color w:val="auto"/>
                      <w:szCs w:val="24"/>
                    </w:rPr>
                    <w:t>非甲烷总烃</w:t>
                  </w:r>
                </w:p>
              </w:tc>
              <w:tc>
                <w:tcPr>
                  <w:tcW w:w="1826" w:type="dxa"/>
                  <w:vAlign w:val="center"/>
                </w:tcPr>
                <w:p w14:paraId="4F59DF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olor w:val="auto"/>
                      <w:szCs w:val="24"/>
                    </w:rPr>
                  </w:pPr>
                  <w:r>
                    <w:rPr>
                      <w:rFonts w:hint="default" w:ascii="Times New Roman" w:hAnsi="Times New Roman"/>
                      <w:color w:val="auto"/>
                      <w:szCs w:val="24"/>
                    </w:rPr>
                    <w:t>10</w:t>
                  </w:r>
                </w:p>
              </w:tc>
              <w:tc>
                <w:tcPr>
                  <w:tcW w:w="2659" w:type="dxa"/>
                  <w:vAlign w:val="center"/>
                </w:tcPr>
                <w:p w14:paraId="02E31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olor w:val="auto"/>
                      <w:szCs w:val="24"/>
                    </w:rPr>
                  </w:pPr>
                  <w:r>
                    <w:rPr>
                      <w:rFonts w:hint="default" w:ascii="Times New Roman" w:hAnsi="Times New Roman"/>
                      <w:color w:val="auto"/>
                      <w:szCs w:val="24"/>
                    </w:rPr>
                    <w:t>监控点处1h平均浓度值</w:t>
                  </w:r>
                </w:p>
              </w:tc>
              <w:tc>
                <w:tcPr>
                  <w:tcW w:w="2715" w:type="dxa"/>
                  <w:vMerge w:val="restart"/>
                  <w:vAlign w:val="center"/>
                </w:tcPr>
                <w:p w14:paraId="096BD9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olor w:val="auto"/>
                      <w:szCs w:val="24"/>
                    </w:rPr>
                  </w:pPr>
                  <w:r>
                    <w:rPr>
                      <w:rFonts w:hint="default" w:ascii="Times New Roman" w:hAnsi="Times New Roman"/>
                      <w:color w:val="auto"/>
                      <w:szCs w:val="24"/>
                    </w:rPr>
                    <w:t>在厂房外设置监控点</w:t>
                  </w:r>
                </w:p>
              </w:tc>
            </w:tr>
            <w:tr w14:paraId="74D7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1" w:type="dxa"/>
                  <w:vMerge w:val="continue"/>
                  <w:vAlign w:val="center"/>
                </w:tcPr>
                <w:p w14:paraId="554FF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olor w:val="auto"/>
                      <w:szCs w:val="24"/>
                    </w:rPr>
                  </w:pPr>
                </w:p>
              </w:tc>
              <w:tc>
                <w:tcPr>
                  <w:tcW w:w="1826" w:type="dxa"/>
                  <w:vAlign w:val="center"/>
                </w:tcPr>
                <w:p w14:paraId="6765A5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olor w:val="auto"/>
                      <w:szCs w:val="24"/>
                    </w:rPr>
                  </w:pPr>
                  <w:r>
                    <w:rPr>
                      <w:rFonts w:hint="default" w:ascii="Times New Roman" w:hAnsi="Times New Roman"/>
                      <w:color w:val="auto"/>
                      <w:szCs w:val="24"/>
                    </w:rPr>
                    <w:t>30</w:t>
                  </w:r>
                </w:p>
              </w:tc>
              <w:tc>
                <w:tcPr>
                  <w:tcW w:w="2659" w:type="dxa"/>
                  <w:vAlign w:val="center"/>
                </w:tcPr>
                <w:p w14:paraId="48856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olor w:val="auto"/>
                      <w:szCs w:val="24"/>
                    </w:rPr>
                  </w:pPr>
                  <w:r>
                    <w:rPr>
                      <w:rFonts w:hint="default" w:ascii="Times New Roman" w:hAnsi="Times New Roman"/>
                      <w:color w:val="auto"/>
                      <w:szCs w:val="24"/>
                    </w:rPr>
                    <w:t>监控点处任意一次浓度值</w:t>
                  </w:r>
                </w:p>
              </w:tc>
              <w:tc>
                <w:tcPr>
                  <w:tcW w:w="2715" w:type="dxa"/>
                  <w:vMerge w:val="continue"/>
                  <w:vAlign w:val="center"/>
                </w:tcPr>
                <w:p w14:paraId="3B350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olor w:val="auto"/>
                      <w:szCs w:val="24"/>
                    </w:rPr>
                  </w:pPr>
                </w:p>
              </w:tc>
            </w:tr>
          </w:tbl>
          <w:p w14:paraId="057C504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 2 \* GB3 \* MERGEFORMAT </w:instrText>
            </w:r>
            <w:r>
              <w:rPr>
                <w:rFonts w:hint="eastAsia" w:ascii="Times New Roman" w:hAnsi="Times New Roman" w:eastAsia="宋体" w:cs="Times New Roman"/>
                <w:color w:val="auto"/>
                <w:sz w:val="24"/>
                <w:szCs w:val="24"/>
                <w:highlight w:val="none"/>
                <w:lang w:val="en-US" w:eastAsia="zh-CN"/>
              </w:rPr>
              <w:fldChar w:fldCharType="separate"/>
            </w:r>
            <w:r>
              <w:rPr>
                <w:rFonts w:hint="eastAsia" w:ascii="Times New Roman" w:hAnsi="Times New Roman" w:eastAsia="宋体" w:cs="Times New Roman"/>
                <w:color w:val="auto"/>
                <w:sz w:val="24"/>
                <w:szCs w:val="24"/>
                <w:highlight w:val="none"/>
                <w:lang w:val="zh-CN" w:eastAsia="zh-CN"/>
              </w:rPr>
              <w:t>②</w:t>
            </w:r>
            <w:r>
              <w:rPr>
                <w:rFonts w:hint="eastAsia" w:ascii="Times New Roman" w:hAnsi="Times New Roman" w:eastAsia="宋体" w:cs="Times New Roman"/>
                <w:color w:val="auto"/>
                <w:sz w:val="24"/>
                <w:szCs w:val="24"/>
                <w:highlight w:val="none"/>
                <w:lang w:val="en-US" w:eastAsia="zh-CN"/>
              </w:rPr>
              <w:fldChar w:fldCharType="end"/>
            </w:r>
            <w:r>
              <w:rPr>
                <w:rFonts w:hint="eastAsia" w:cs="Times New Roman"/>
                <w:color w:val="auto"/>
                <w:sz w:val="24"/>
                <w:highlight w:val="none"/>
                <w:lang w:val="en-US" w:eastAsia="zh-CN"/>
              </w:rPr>
              <w:t>厂区异味执行《恶臭污染物排放标准》（GB14554-1993）中相关标准限值，标准值见表3-9。</w:t>
            </w:r>
          </w:p>
          <w:p w14:paraId="47980320">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表3-</w:t>
            </w:r>
            <w:r>
              <w:rPr>
                <w:rFonts w:hint="eastAsia" w:ascii="Times New Roman" w:hAnsi="Times New Roman" w:cs="Times New Roman"/>
                <w:b/>
                <w:bCs/>
                <w:color w:val="auto"/>
                <w:highlight w:val="none"/>
                <w:lang w:val="en-US" w:eastAsia="zh-CN"/>
              </w:rPr>
              <w:t>9</w:t>
            </w: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恶臭污染物排放标准</w:t>
            </w:r>
          </w:p>
          <w:tbl>
            <w:tblPr>
              <w:tblStyle w:val="31"/>
              <w:tblW w:w="8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0"/>
              <w:gridCol w:w="5793"/>
            </w:tblGrid>
            <w:tr w14:paraId="6D57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vAlign w:val="center"/>
                </w:tcPr>
                <w:p w14:paraId="345E7921">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vertAlign w:val="baseline"/>
                      <w:lang w:val="en-US" w:eastAsia="zh-CN"/>
                    </w:rPr>
                  </w:pPr>
                  <w:r>
                    <w:rPr>
                      <w:rFonts w:hint="eastAsia" w:ascii="Times New Roman" w:hAnsi="Times New Roman" w:cs="Times New Roman"/>
                      <w:b/>
                      <w:bCs/>
                      <w:color w:val="auto"/>
                      <w:highlight w:val="none"/>
                      <w:vertAlign w:val="baseline"/>
                      <w:lang w:val="en-US" w:eastAsia="zh-CN"/>
                    </w:rPr>
                    <w:t>污染物项目</w:t>
                  </w:r>
                </w:p>
              </w:tc>
              <w:tc>
                <w:tcPr>
                  <w:tcW w:w="5793" w:type="dxa"/>
                  <w:vAlign w:val="center"/>
                </w:tcPr>
                <w:p w14:paraId="1C5282A5">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vertAlign w:val="baseline"/>
                      <w:lang w:val="en-US" w:eastAsia="zh-CN"/>
                    </w:rPr>
                  </w:pPr>
                  <w:r>
                    <w:rPr>
                      <w:rFonts w:hint="eastAsia" w:ascii="Times New Roman" w:hAnsi="Times New Roman" w:cs="Times New Roman"/>
                      <w:b/>
                      <w:bCs/>
                      <w:color w:val="auto"/>
                      <w:highlight w:val="none"/>
                      <w:vertAlign w:val="baseline"/>
                      <w:lang w:val="en-US" w:eastAsia="zh-CN"/>
                    </w:rPr>
                    <w:t>厂界标准限值</w:t>
                  </w:r>
                </w:p>
              </w:tc>
            </w:tr>
            <w:tr w14:paraId="6B44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vAlign w:val="center"/>
                </w:tcPr>
                <w:p w14:paraId="7B01FBA7">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臭气浓度（无量纲）</w:t>
                  </w:r>
                </w:p>
              </w:tc>
              <w:tc>
                <w:tcPr>
                  <w:tcW w:w="5793" w:type="dxa"/>
                  <w:vAlign w:val="center"/>
                </w:tcPr>
                <w:p w14:paraId="435F7CF6">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highlight w:val="none"/>
                      <w:vertAlign w:val="baseline"/>
                      <w:lang w:val="en-US" w:eastAsia="zh-CN"/>
                    </w:rPr>
                  </w:pPr>
                  <w:r>
                    <w:rPr>
                      <w:rFonts w:hint="eastAsia" w:ascii="Times New Roman" w:hAnsi="Times New Roman" w:cs="Times New Roman"/>
                      <w:b w:val="0"/>
                      <w:bCs w:val="0"/>
                      <w:color w:val="auto"/>
                      <w:highlight w:val="none"/>
                      <w:vertAlign w:val="baseline"/>
                      <w:lang w:val="en-US" w:eastAsia="zh-CN"/>
                    </w:rPr>
                    <w:t>20</w:t>
                  </w:r>
                </w:p>
              </w:tc>
            </w:tr>
          </w:tbl>
          <w:p w14:paraId="45FE37EC">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ascii="Times New Roman" w:hAnsi="Times New Roman" w:eastAsia="宋体" w:cs="Times New Roman"/>
                <w:b/>
                <w:bCs/>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二、水污染物排放标准</w:t>
            </w:r>
          </w:p>
          <w:p w14:paraId="058A95E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生活污水</w:t>
            </w:r>
            <w:r>
              <w:rPr>
                <w:rFonts w:hint="eastAsia" w:ascii="Times New Roman" w:hAnsi="Times New Roman" w:eastAsia="宋体" w:cs="Times New Roman"/>
                <w:color w:val="auto"/>
                <w:sz w:val="24"/>
                <w:szCs w:val="24"/>
                <w:highlight w:val="none"/>
                <w:lang w:val="en-US" w:eastAsia="zh-CN"/>
              </w:rPr>
              <w:t>一并</w:t>
            </w:r>
            <w:r>
              <w:rPr>
                <w:rFonts w:hint="eastAsia" w:cs="Times New Roman"/>
                <w:color w:val="auto"/>
                <w:sz w:val="24"/>
                <w:szCs w:val="24"/>
                <w:highlight w:val="none"/>
                <w:lang w:val="en-US" w:eastAsia="zh-CN"/>
              </w:rPr>
              <w:t>进入化粪池、一体化污水处理站处理达</w:t>
            </w:r>
            <w:r>
              <w:rPr>
                <w:rFonts w:hint="eastAsia"/>
                <w:color w:val="auto"/>
                <w:sz w:val="24"/>
                <w:szCs w:val="24"/>
                <w:highlight w:val="none"/>
                <w:lang w:val="en-US" w:eastAsia="zh-CN"/>
              </w:rPr>
              <w:t>《城市污水再生利</w:t>
            </w:r>
            <w:r>
              <w:rPr>
                <w:rFonts w:hint="eastAsia" w:ascii="Times New Roman" w:hAnsi="Times New Roman" w:eastAsia="宋体" w:cs="Times New Roman"/>
                <w:color w:val="auto"/>
                <w:sz w:val="24"/>
                <w:szCs w:val="24"/>
                <w:highlight w:val="none"/>
                <w:lang w:val="en-US" w:eastAsia="zh-CN"/>
              </w:rPr>
              <w:t>用 城市杂用水水质》</w:t>
            </w:r>
            <w:r>
              <w:rPr>
                <w:rFonts w:hint="default" w:ascii="Times New Roman" w:hAnsi="Times New Roman" w:eastAsia="宋体" w:cs="Times New Roman"/>
                <w:color w:val="auto"/>
                <w:sz w:val="24"/>
                <w:szCs w:val="24"/>
                <w:highlight w:val="none"/>
                <w:lang w:val="en-US" w:eastAsia="zh-CN"/>
              </w:rPr>
              <w:t>（GB/T18920-2020）</w:t>
            </w:r>
            <w:r>
              <w:rPr>
                <w:rFonts w:hint="eastAsia" w:ascii="Times New Roman" w:hAnsi="Times New Roman" w:eastAsia="宋体" w:cs="Times New Roman"/>
                <w:color w:val="auto"/>
                <w:sz w:val="24"/>
                <w:szCs w:val="24"/>
                <w:highlight w:val="none"/>
                <w:lang w:val="en-US" w:eastAsia="zh-CN"/>
              </w:rPr>
              <w:t>中城市绿化、道路清扫、消防、建筑施工标准后</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用于绿化及道路洒水降尘，不外排。标准值详见表3-1</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w:t>
            </w:r>
          </w:p>
          <w:p w14:paraId="096B6A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lang w:val="en-US" w:eastAsia="zh-CN"/>
              </w:rPr>
            </w:pPr>
            <w:r>
              <w:rPr>
                <w:rFonts w:hint="default" w:ascii="Times New Roman" w:hAnsi="Times New Roman" w:eastAsia="宋体"/>
                <w:b/>
                <w:bCs/>
                <w:color w:val="auto"/>
                <w:sz w:val="21"/>
                <w:szCs w:val="21"/>
                <w:highlight w:val="none"/>
                <w:lang w:val="en-US" w:eastAsia="zh-CN"/>
              </w:rPr>
              <w:t>表</w:t>
            </w:r>
            <w:r>
              <w:rPr>
                <w:rFonts w:hint="eastAsia" w:ascii="Times New Roman" w:hAnsi="Times New Roman" w:eastAsia="宋体"/>
                <w:b/>
                <w:bCs/>
                <w:color w:val="auto"/>
                <w:sz w:val="21"/>
                <w:szCs w:val="21"/>
                <w:highlight w:val="none"/>
                <w:lang w:val="en-US" w:eastAsia="zh-CN"/>
              </w:rPr>
              <w:t>3</w:t>
            </w:r>
            <w:r>
              <w:rPr>
                <w:rFonts w:hint="eastAsia"/>
                <w:b/>
                <w:bCs/>
                <w:color w:val="auto"/>
                <w:sz w:val="21"/>
                <w:szCs w:val="21"/>
                <w:highlight w:val="none"/>
                <w:lang w:val="en-US" w:eastAsia="zh-CN"/>
              </w:rPr>
              <w:t xml:space="preserve">-10 </w:t>
            </w:r>
            <w:r>
              <w:rPr>
                <w:rFonts w:hint="eastAsia" w:ascii="Times New Roman" w:hAnsi="Times New Roman" w:eastAsia="宋体"/>
                <w:b/>
                <w:bCs/>
                <w:color w:val="auto"/>
                <w:sz w:val="21"/>
                <w:szCs w:val="21"/>
                <w:highlight w:val="none"/>
                <w:lang w:val="en-US" w:eastAsia="zh-CN"/>
              </w:rPr>
              <w:t xml:space="preserve"> 城市污水再生利用 城市杂用水水质</w:t>
            </w:r>
            <w:r>
              <w:rPr>
                <w:rFonts w:hint="eastAsia"/>
                <w:b/>
                <w:bCs/>
                <w:color w:val="auto"/>
                <w:sz w:val="21"/>
                <w:szCs w:val="21"/>
                <w:highlight w:val="none"/>
                <w:lang w:val="en-US" w:eastAsia="zh-CN"/>
              </w:rPr>
              <w:t>标准</w:t>
            </w:r>
          </w:p>
          <w:tbl>
            <w:tblPr>
              <w:tblStyle w:val="30"/>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708"/>
              <w:gridCol w:w="4018"/>
            </w:tblGrid>
            <w:tr w14:paraId="51A8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vMerge w:val="restart"/>
                  <w:noWrap w:val="0"/>
                  <w:vAlign w:val="center"/>
                </w:tcPr>
                <w:p w14:paraId="3784D2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污染指标</w:t>
                  </w:r>
                </w:p>
              </w:tc>
              <w:tc>
                <w:tcPr>
                  <w:tcW w:w="2708" w:type="dxa"/>
                  <w:vMerge w:val="restart"/>
                  <w:noWrap w:val="0"/>
                  <w:vAlign w:val="center"/>
                </w:tcPr>
                <w:p w14:paraId="2173B8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单位</w:t>
                  </w:r>
                </w:p>
              </w:tc>
              <w:tc>
                <w:tcPr>
                  <w:tcW w:w="4018" w:type="dxa"/>
                  <w:noWrap w:val="0"/>
                  <w:vAlign w:val="center"/>
                </w:tcPr>
                <w:p w14:paraId="247010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标准限值</w:t>
                  </w:r>
                </w:p>
              </w:tc>
            </w:tr>
            <w:tr w14:paraId="14EE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vMerge w:val="continue"/>
                  <w:noWrap w:val="0"/>
                  <w:vAlign w:val="center"/>
                </w:tcPr>
                <w:p w14:paraId="1CF11C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2708" w:type="dxa"/>
                  <w:vMerge w:val="continue"/>
                  <w:noWrap w:val="0"/>
                  <w:vAlign w:val="center"/>
                </w:tcPr>
                <w:p w14:paraId="1E1B06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4018" w:type="dxa"/>
                  <w:noWrap w:val="0"/>
                  <w:vAlign w:val="center"/>
                </w:tcPr>
                <w:p w14:paraId="5963D6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val="0"/>
                      <w:color w:val="auto"/>
                      <w:sz w:val="21"/>
                      <w:szCs w:val="21"/>
                      <w:highlight w:val="none"/>
                      <w:lang w:eastAsia="zh-CN"/>
                    </w:rPr>
                  </w:pPr>
                  <w:r>
                    <w:rPr>
                      <w:rFonts w:hint="eastAsia" w:ascii="Times New Roman" w:hAnsi="Times New Roman" w:eastAsia="宋体" w:cs="Times New Roman"/>
                      <w:b/>
                      <w:bCs w:val="0"/>
                      <w:color w:val="auto"/>
                      <w:sz w:val="21"/>
                      <w:szCs w:val="21"/>
                      <w:highlight w:val="none"/>
                      <w:lang w:eastAsia="zh-CN"/>
                    </w:rPr>
                    <w:t>城市绿化、道路清扫、消防、建筑施工</w:t>
                  </w:r>
                </w:p>
              </w:tc>
            </w:tr>
            <w:tr w14:paraId="68D2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64E23C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p</w:t>
                  </w:r>
                  <w:r>
                    <w:rPr>
                      <w:rFonts w:hint="default" w:ascii="Times New Roman" w:hAnsi="Times New Roman" w:eastAsia="宋体" w:cs="Times New Roman"/>
                      <w:bCs/>
                      <w:color w:val="auto"/>
                      <w:sz w:val="21"/>
                      <w:szCs w:val="21"/>
                      <w:highlight w:val="none"/>
                    </w:rPr>
                    <w:t>H</w:t>
                  </w:r>
                </w:p>
              </w:tc>
              <w:tc>
                <w:tcPr>
                  <w:tcW w:w="2708" w:type="dxa"/>
                  <w:noWrap w:val="0"/>
                  <w:vAlign w:val="center"/>
                </w:tcPr>
                <w:p w14:paraId="573A76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无量纲</w:t>
                  </w:r>
                </w:p>
              </w:tc>
              <w:tc>
                <w:tcPr>
                  <w:tcW w:w="4018" w:type="dxa"/>
                  <w:noWrap w:val="0"/>
                  <w:vAlign w:val="center"/>
                </w:tcPr>
                <w:p w14:paraId="2A37A4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r>
            <w:tr w14:paraId="0FCB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2BC0FF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色</w:t>
                  </w:r>
                  <w:r>
                    <w:rPr>
                      <w:rFonts w:hint="eastAsia" w:cs="Times New Roman"/>
                      <w:bCs/>
                      <w:color w:val="auto"/>
                      <w:sz w:val="21"/>
                      <w:szCs w:val="21"/>
                      <w:highlight w:val="none"/>
                      <w:lang w:eastAsia="zh-CN"/>
                    </w:rPr>
                    <w:t>度</w:t>
                  </w:r>
                </w:p>
              </w:tc>
              <w:tc>
                <w:tcPr>
                  <w:tcW w:w="2708" w:type="dxa"/>
                  <w:noWrap w:val="0"/>
                  <w:vAlign w:val="center"/>
                </w:tcPr>
                <w:p w14:paraId="7EA510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4018" w:type="dxa"/>
                  <w:noWrap w:val="0"/>
                  <w:vAlign w:val="center"/>
                </w:tcPr>
                <w:p w14:paraId="1F898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w:t>
                  </w:r>
                </w:p>
              </w:tc>
            </w:tr>
            <w:tr w14:paraId="3226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527BE8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嗅</w:t>
                  </w:r>
                </w:p>
              </w:tc>
              <w:tc>
                <w:tcPr>
                  <w:tcW w:w="2708" w:type="dxa"/>
                  <w:noWrap w:val="0"/>
                  <w:vAlign w:val="center"/>
                </w:tcPr>
                <w:p w14:paraId="0A22D3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4018" w:type="dxa"/>
                  <w:noWrap w:val="0"/>
                  <w:vAlign w:val="center"/>
                </w:tcPr>
                <w:p w14:paraId="20B3CA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无不快感</w:t>
                  </w:r>
                </w:p>
              </w:tc>
            </w:tr>
            <w:tr w14:paraId="1F67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4132A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浊度</w:t>
                  </w:r>
                </w:p>
              </w:tc>
              <w:tc>
                <w:tcPr>
                  <w:tcW w:w="2708" w:type="dxa"/>
                  <w:noWrap w:val="0"/>
                  <w:vAlign w:val="center"/>
                </w:tcPr>
                <w:p w14:paraId="2CE298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NTU</w:t>
                  </w:r>
                </w:p>
              </w:tc>
              <w:tc>
                <w:tcPr>
                  <w:tcW w:w="4018" w:type="dxa"/>
                  <w:noWrap w:val="0"/>
                  <w:vAlign w:val="center"/>
                </w:tcPr>
                <w:p w14:paraId="5AA402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w:t>
                  </w:r>
                </w:p>
              </w:tc>
            </w:tr>
            <w:tr w14:paraId="4594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6CB86B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溶解性总固体</w:t>
                  </w:r>
                </w:p>
              </w:tc>
              <w:tc>
                <w:tcPr>
                  <w:tcW w:w="2708" w:type="dxa"/>
                  <w:vMerge w:val="restart"/>
                  <w:noWrap w:val="0"/>
                  <w:vAlign w:val="center"/>
                </w:tcPr>
                <w:p w14:paraId="519545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mg/L</w:t>
                  </w:r>
                </w:p>
              </w:tc>
              <w:tc>
                <w:tcPr>
                  <w:tcW w:w="4018" w:type="dxa"/>
                  <w:noWrap w:val="0"/>
                  <w:vAlign w:val="center"/>
                </w:tcPr>
                <w:p w14:paraId="246DE7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≤1000</w:t>
                  </w:r>
                </w:p>
              </w:tc>
            </w:tr>
            <w:tr w14:paraId="73C0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4891F2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p>
              </w:tc>
              <w:tc>
                <w:tcPr>
                  <w:tcW w:w="2708" w:type="dxa"/>
                  <w:vMerge w:val="continue"/>
                  <w:noWrap w:val="0"/>
                  <w:vAlign w:val="center"/>
                </w:tcPr>
                <w:p w14:paraId="6EC365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4018" w:type="dxa"/>
                  <w:noWrap w:val="0"/>
                  <w:vAlign w:val="center"/>
                </w:tcPr>
                <w:p w14:paraId="77E7F9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10</w:t>
                  </w:r>
                </w:p>
              </w:tc>
            </w:tr>
            <w:tr w14:paraId="37A8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4A8F33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氨氮</w:t>
                  </w:r>
                </w:p>
              </w:tc>
              <w:tc>
                <w:tcPr>
                  <w:tcW w:w="2708" w:type="dxa"/>
                  <w:vMerge w:val="continue"/>
                  <w:noWrap w:val="0"/>
                  <w:vAlign w:val="center"/>
                </w:tcPr>
                <w:p w14:paraId="731157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4018" w:type="dxa"/>
                  <w:noWrap w:val="0"/>
                  <w:vAlign w:val="center"/>
                </w:tcPr>
                <w:p w14:paraId="66A69A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≤8</w:t>
                  </w:r>
                </w:p>
              </w:tc>
            </w:tr>
            <w:tr w14:paraId="29C6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421D6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阴离子表面活性剂</w:t>
                  </w:r>
                </w:p>
              </w:tc>
              <w:tc>
                <w:tcPr>
                  <w:tcW w:w="2708" w:type="dxa"/>
                  <w:vMerge w:val="continue"/>
                  <w:noWrap w:val="0"/>
                  <w:vAlign w:val="center"/>
                </w:tcPr>
                <w:p w14:paraId="6E2DA9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4018" w:type="dxa"/>
                  <w:noWrap w:val="0"/>
                  <w:vAlign w:val="center"/>
                </w:tcPr>
                <w:p w14:paraId="4F6FC9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≤0.5</w:t>
                  </w:r>
                </w:p>
              </w:tc>
            </w:tr>
            <w:tr w14:paraId="25AC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14DB3D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铁</w:t>
                  </w:r>
                </w:p>
              </w:tc>
              <w:tc>
                <w:tcPr>
                  <w:tcW w:w="2708" w:type="dxa"/>
                  <w:vMerge w:val="continue"/>
                  <w:noWrap w:val="0"/>
                  <w:vAlign w:val="center"/>
                </w:tcPr>
                <w:p w14:paraId="4BB258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4018" w:type="dxa"/>
                  <w:noWrap w:val="0"/>
                  <w:vAlign w:val="center"/>
                </w:tcPr>
                <w:p w14:paraId="71A07B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r>
            <w:tr w14:paraId="7686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663028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锰</w:t>
                  </w:r>
                </w:p>
              </w:tc>
              <w:tc>
                <w:tcPr>
                  <w:tcW w:w="2708" w:type="dxa"/>
                  <w:vMerge w:val="continue"/>
                  <w:noWrap w:val="0"/>
                  <w:vAlign w:val="center"/>
                </w:tcPr>
                <w:p w14:paraId="6C52BF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4018" w:type="dxa"/>
                  <w:noWrap w:val="0"/>
                  <w:vAlign w:val="center"/>
                </w:tcPr>
                <w:p w14:paraId="36D957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r>
            <w:tr w14:paraId="30A6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413373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溶解氧</w:t>
                  </w:r>
                </w:p>
              </w:tc>
              <w:tc>
                <w:tcPr>
                  <w:tcW w:w="2708" w:type="dxa"/>
                  <w:vMerge w:val="continue"/>
                  <w:noWrap w:val="0"/>
                  <w:vAlign w:val="center"/>
                </w:tcPr>
                <w:p w14:paraId="527CC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4018" w:type="dxa"/>
                  <w:noWrap w:val="0"/>
                  <w:vAlign w:val="center"/>
                </w:tcPr>
                <w:p w14:paraId="3C88EE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.0</w:t>
                  </w:r>
                </w:p>
              </w:tc>
            </w:tr>
            <w:tr w14:paraId="228B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3C5EA9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总氯</w:t>
                  </w:r>
                </w:p>
              </w:tc>
              <w:tc>
                <w:tcPr>
                  <w:tcW w:w="2708" w:type="dxa"/>
                  <w:vMerge w:val="continue"/>
                  <w:noWrap w:val="0"/>
                  <w:vAlign w:val="center"/>
                </w:tcPr>
                <w:p w14:paraId="18E7F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p>
              </w:tc>
              <w:tc>
                <w:tcPr>
                  <w:tcW w:w="4018" w:type="dxa"/>
                  <w:noWrap w:val="0"/>
                  <w:vAlign w:val="center"/>
                </w:tcPr>
                <w:p w14:paraId="06DAE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接触30min后≥1.0，管网末端≥0.2</w:t>
                  </w:r>
                </w:p>
              </w:tc>
            </w:tr>
            <w:tr w14:paraId="7FB8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32" w:type="dxa"/>
                  <w:noWrap w:val="0"/>
                  <w:vAlign w:val="center"/>
                </w:tcPr>
                <w:p w14:paraId="0220D1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大肠埃希氏菌</w:t>
                  </w:r>
                </w:p>
              </w:tc>
              <w:tc>
                <w:tcPr>
                  <w:tcW w:w="2708" w:type="dxa"/>
                  <w:noWrap w:val="0"/>
                  <w:vAlign w:val="center"/>
                </w:tcPr>
                <w:p w14:paraId="2D15F8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MPN/100mL或CFU/100mL</w:t>
                  </w:r>
                </w:p>
              </w:tc>
              <w:tc>
                <w:tcPr>
                  <w:tcW w:w="4018" w:type="dxa"/>
                  <w:noWrap w:val="0"/>
                  <w:vAlign w:val="center"/>
                </w:tcPr>
                <w:p w14:paraId="55C347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无</w:t>
                  </w:r>
                  <w:r>
                    <w:rPr>
                      <w:rFonts w:hint="eastAsia" w:cs="Times New Roman"/>
                      <w:bCs/>
                      <w:color w:val="auto"/>
                      <w:sz w:val="21"/>
                      <w:szCs w:val="21"/>
                      <w:highlight w:val="none"/>
                      <w:vertAlign w:val="superscript"/>
                      <w:lang w:val="en-US" w:eastAsia="zh-CN"/>
                    </w:rPr>
                    <w:t>c</w:t>
                  </w:r>
                </w:p>
              </w:tc>
            </w:tr>
            <w:tr w14:paraId="6F25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758" w:type="dxa"/>
                  <w:gridSpan w:val="3"/>
                  <w:noWrap w:val="0"/>
                  <w:vAlign w:val="center"/>
                </w:tcPr>
                <w:p w14:paraId="170DBC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注：</w:t>
                  </w:r>
                  <w:r>
                    <w:rPr>
                      <w:rFonts w:hint="eastAsia" w:cs="Times New Roman"/>
                      <w:bCs/>
                      <w:color w:val="auto"/>
                      <w:sz w:val="21"/>
                      <w:szCs w:val="21"/>
                      <w:highlight w:val="none"/>
                      <w:vertAlign w:val="superscript"/>
                      <w:lang w:val="en-US" w:eastAsia="zh-CN"/>
                    </w:rPr>
                    <w:t>c</w:t>
                  </w:r>
                  <w:r>
                    <w:rPr>
                      <w:rFonts w:hint="eastAsia" w:cs="Times New Roman"/>
                      <w:bCs/>
                      <w:color w:val="auto"/>
                      <w:sz w:val="21"/>
                      <w:szCs w:val="21"/>
                      <w:highlight w:val="none"/>
                      <w:lang w:eastAsia="zh-CN"/>
                    </w:rPr>
                    <w:t>大肠埃希氏菌不应检出</w:t>
                  </w:r>
                </w:p>
              </w:tc>
            </w:tr>
          </w:tbl>
          <w:p w14:paraId="184BDE53">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ascii="Times New Roman" w:hAnsi="Times New Roman" w:eastAsia="宋体" w:cs="Times New Roman"/>
                <w:b/>
                <w:bCs/>
                <w:color w:val="auto"/>
                <w:sz w:val="24"/>
                <w:szCs w:val="28"/>
                <w:lang w:val="en-US" w:eastAsia="zh-CN"/>
              </w:rPr>
            </w:pPr>
            <w:r>
              <w:rPr>
                <w:rFonts w:hint="eastAsia" w:ascii="Times New Roman" w:hAnsi="Times New Roman" w:eastAsia="宋体" w:cs="Times New Roman"/>
                <w:b/>
                <w:bCs/>
                <w:color w:val="auto"/>
                <w:sz w:val="24"/>
                <w:szCs w:val="28"/>
                <w:lang w:val="en-US" w:eastAsia="zh-CN"/>
              </w:rPr>
              <w:t>三、噪声排放标准</w:t>
            </w:r>
          </w:p>
          <w:p w14:paraId="1E9CAA2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（1）施工期噪声执行《建筑施工场界环境噪声排放标准》（GB12523-2011），标准值见表3-11。</w:t>
            </w:r>
          </w:p>
          <w:p w14:paraId="0B01F4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lang w:val="en-US" w:eastAsia="zh-CN"/>
              </w:rPr>
            </w:pPr>
            <w:r>
              <w:rPr>
                <w:rFonts w:hint="default" w:ascii="Times New Roman" w:hAnsi="Times New Roman" w:eastAsia="宋体"/>
                <w:b/>
                <w:bCs/>
                <w:color w:val="auto"/>
                <w:sz w:val="21"/>
                <w:szCs w:val="21"/>
                <w:lang w:val="en-US" w:eastAsia="zh-CN"/>
              </w:rPr>
              <w:t>表</w:t>
            </w:r>
            <w:r>
              <w:rPr>
                <w:rFonts w:hint="eastAsia" w:ascii="Times New Roman" w:hAnsi="Times New Roman" w:eastAsia="宋体"/>
                <w:b/>
                <w:bCs/>
                <w:color w:val="auto"/>
                <w:sz w:val="21"/>
                <w:szCs w:val="21"/>
                <w:lang w:val="en-US" w:eastAsia="zh-CN"/>
              </w:rPr>
              <w:t>3</w:t>
            </w:r>
            <w:r>
              <w:rPr>
                <w:rFonts w:hint="default" w:ascii="Times New Roman" w:hAnsi="Times New Roman" w:eastAsia="宋体"/>
                <w:b/>
                <w:bCs/>
                <w:color w:val="auto"/>
                <w:sz w:val="21"/>
                <w:szCs w:val="21"/>
                <w:lang w:val="en-US" w:eastAsia="zh-CN"/>
              </w:rPr>
              <w:t>-</w:t>
            </w:r>
            <w:r>
              <w:rPr>
                <w:rFonts w:hint="eastAsia"/>
                <w:b/>
                <w:bCs/>
                <w:color w:val="auto"/>
                <w:sz w:val="21"/>
                <w:szCs w:val="21"/>
                <w:lang w:val="en-US" w:eastAsia="zh-CN"/>
              </w:rPr>
              <w:t xml:space="preserve">11 </w:t>
            </w:r>
            <w:r>
              <w:rPr>
                <w:rFonts w:hint="default" w:ascii="Times New Roman" w:hAnsi="Times New Roman" w:eastAsia="宋体"/>
                <w:b/>
                <w:bCs/>
                <w:color w:val="auto"/>
                <w:sz w:val="21"/>
                <w:szCs w:val="21"/>
                <w:lang w:val="en-US" w:eastAsia="zh-CN"/>
              </w:rPr>
              <w:t xml:space="preserve"> 建筑施工场界环境噪声排放限值dB(A)</w:t>
            </w:r>
          </w:p>
          <w:tbl>
            <w:tblPr>
              <w:tblStyle w:val="30"/>
              <w:tblW w:w="88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10"/>
              <w:gridCol w:w="4648"/>
            </w:tblGrid>
            <w:tr w14:paraId="6DB1FB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 w:hRule="atLeast"/>
                <w:jc w:val="center"/>
              </w:trPr>
              <w:tc>
                <w:tcPr>
                  <w:tcW w:w="4210" w:type="dxa"/>
                  <w:vAlign w:val="center"/>
                </w:tcPr>
                <w:p w14:paraId="28A987E0">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color w:val="auto"/>
                    </w:rPr>
                  </w:pPr>
                  <w:r>
                    <w:rPr>
                      <w:rFonts w:hint="default" w:ascii="Times New Roman" w:hAnsi="Times New Roman"/>
                      <w:color w:val="auto"/>
                    </w:rPr>
                    <w:t>昼间</w:t>
                  </w:r>
                </w:p>
              </w:tc>
              <w:tc>
                <w:tcPr>
                  <w:tcW w:w="4648" w:type="dxa"/>
                  <w:vAlign w:val="center"/>
                </w:tcPr>
                <w:p w14:paraId="596F6127">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color w:val="auto"/>
                    </w:rPr>
                  </w:pPr>
                  <w:r>
                    <w:rPr>
                      <w:rFonts w:hint="default" w:ascii="Times New Roman" w:hAnsi="Times New Roman"/>
                      <w:color w:val="auto"/>
                    </w:rPr>
                    <w:t>夜间</w:t>
                  </w:r>
                </w:p>
              </w:tc>
            </w:tr>
            <w:tr w14:paraId="57699D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 w:hRule="atLeast"/>
                <w:jc w:val="center"/>
              </w:trPr>
              <w:tc>
                <w:tcPr>
                  <w:tcW w:w="4210" w:type="dxa"/>
                  <w:vAlign w:val="center"/>
                </w:tcPr>
                <w:p w14:paraId="2355ACF1">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color w:val="auto"/>
                    </w:rPr>
                  </w:pPr>
                  <w:r>
                    <w:rPr>
                      <w:rFonts w:hint="default" w:ascii="Times New Roman" w:hAnsi="Times New Roman"/>
                      <w:color w:val="auto"/>
                    </w:rPr>
                    <w:t>70</w:t>
                  </w:r>
                </w:p>
              </w:tc>
              <w:tc>
                <w:tcPr>
                  <w:tcW w:w="4648" w:type="dxa"/>
                  <w:vAlign w:val="center"/>
                </w:tcPr>
                <w:p w14:paraId="2BE664C3">
                  <w:pPr>
                    <w:keepNext w:val="0"/>
                    <w:keepLines w:val="0"/>
                    <w:suppressLineNumbers w:val="0"/>
                    <w:adjustRightInd w:val="0"/>
                    <w:snapToGrid w:val="0"/>
                    <w:spacing w:before="0" w:beforeAutospacing="0" w:after="0" w:afterAutospacing="0" w:line="320" w:lineRule="exact"/>
                    <w:ind w:left="0" w:right="0" w:firstLine="420" w:firstLineChars="200"/>
                    <w:jc w:val="center"/>
                    <w:rPr>
                      <w:rFonts w:hint="default" w:ascii="Times New Roman" w:hAnsi="Times New Roman"/>
                      <w:color w:val="auto"/>
                    </w:rPr>
                  </w:pPr>
                  <w:r>
                    <w:rPr>
                      <w:rFonts w:hint="default" w:ascii="Times New Roman" w:hAnsi="Times New Roman"/>
                      <w:color w:val="auto"/>
                    </w:rPr>
                    <w:t>55</w:t>
                  </w:r>
                </w:p>
              </w:tc>
            </w:tr>
          </w:tbl>
          <w:p w14:paraId="4E97361B">
            <w:pPr>
              <w:pStyle w:val="89"/>
              <w:keepNext w:val="0"/>
              <w:keepLines w:val="0"/>
              <w:suppressLineNumbers w:val="0"/>
              <w:spacing w:before="0" w:beforeAutospacing="0" w:after="0" w:afterAutospacing="0"/>
              <w:ind w:left="0" w:right="0"/>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（2）项目运营期厂界噪声执行《工业企业厂界环境噪声排放标准》（GB12348-2008）3类标准，噪声限值见表3-1</w:t>
            </w:r>
            <w:r>
              <w:rPr>
                <w:rFonts w:hint="eastAsia" w:cs="Times New Roman"/>
                <w:color w:val="auto"/>
                <w:szCs w:val="24"/>
                <w:lang w:val="en-US" w:eastAsia="zh-CN"/>
              </w:rPr>
              <w:t>2</w:t>
            </w:r>
            <w:r>
              <w:rPr>
                <w:rFonts w:hint="eastAsia" w:ascii="Times New Roman" w:hAnsi="Times New Roman" w:eastAsia="宋体" w:cs="Times New Roman"/>
                <w:color w:val="auto"/>
                <w:szCs w:val="24"/>
                <w:lang w:val="en-US" w:eastAsia="zh-CN"/>
              </w:rPr>
              <w:t>。</w:t>
            </w:r>
          </w:p>
          <w:p w14:paraId="2A24A3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lang w:val="en-US" w:eastAsia="zh-CN"/>
              </w:rPr>
            </w:pPr>
            <w:r>
              <w:rPr>
                <w:rFonts w:hint="default" w:ascii="Times New Roman" w:hAnsi="Times New Roman" w:eastAsia="宋体"/>
                <w:b/>
                <w:bCs/>
                <w:color w:val="auto"/>
                <w:sz w:val="21"/>
                <w:szCs w:val="21"/>
                <w:lang w:val="en-US" w:eastAsia="zh-CN"/>
              </w:rPr>
              <w:t>表</w:t>
            </w:r>
            <w:r>
              <w:rPr>
                <w:rFonts w:hint="eastAsia" w:ascii="Times New Roman" w:hAnsi="Times New Roman" w:eastAsia="宋体"/>
                <w:b/>
                <w:bCs/>
                <w:color w:val="auto"/>
                <w:sz w:val="21"/>
                <w:szCs w:val="21"/>
                <w:lang w:val="en-US" w:eastAsia="zh-CN"/>
              </w:rPr>
              <w:t>3</w:t>
            </w:r>
            <w:r>
              <w:rPr>
                <w:rFonts w:hint="eastAsia"/>
                <w:b/>
                <w:bCs/>
                <w:color w:val="auto"/>
                <w:sz w:val="21"/>
                <w:szCs w:val="21"/>
                <w:lang w:val="en-US" w:eastAsia="zh-CN"/>
              </w:rPr>
              <w:t xml:space="preserve">-12 </w:t>
            </w:r>
            <w:r>
              <w:rPr>
                <w:rFonts w:hint="default" w:ascii="Times New Roman" w:hAnsi="Times New Roman" w:eastAsia="宋体"/>
                <w:b/>
                <w:bCs/>
                <w:color w:val="auto"/>
                <w:sz w:val="21"/>
                <w:szCs w:val="21"/>
                <w:lang w:val="en-US" w:eastAsia="zh-CN"/>
              </w:rPr>
              <w:t xml:space="preserve"> 工业企业厂界环境噪声排放标准dB(A)</w:t>
            </w:r>
          </w:p>
          <w:tbl>
            <w:tblPr>
              <w:tblStyle w:val="30"/>
              <w:tblW w:w="88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378"/>
              <w:gridCol w:w="3241"/>
              <w:gridCol w:w="3239"/>
            </w:tblGrid>
            <w:tr w14:paraId="175685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9" w:hRule="atLeast"/>
                <w:jc w:val="center"/>
              </w:trPr>
              <w:tc>
                <w:tcPr>
                  <w:tcW w:w="2378" w:type="dxa"/>
                  <w:vMerge w:val="restart"/>
                  <w:vAlign w:val="center"/>
                </w:tcPr>
                <w:p w14:paraId="093CB265">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olor w:val="auto"/>
                    </w:rPr>
                  </w:pPr>
                  <w:r>
                    <w:rPr>
                      <w:rFonts w:hint="default" w:ascii="Times New Roman" w:hAnsi="Times New Roman"/>
                      <w:color w:val="auto"/>
                    </w:rPr>
                    <w:t>类别</w:t>
                  </w:r>
                </w:p>
              </w:tc>
              <w:tc>
                <w:tcPr>
                  <w:tcW w:w="6480" w:type="dxa"/>
                  <w:gridSpan w:val="2"/>
                  <w:vAlign w:val="center"/>
                </w:tcPr>
                <w:p w14:paraId="233FB51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olor w:val="auto"/>
                    </w:rPr>
                  </w:pPr>
                  <w:r>
                    <w:rPr>
                      <w:rFonts w:hint="default" w:ascii="Times New Roman" w:hAnsi="Times New Roman"/>
                      <w:color w:val="auto"/>
                    </w:rPr>
                    <w:t>等效声级[dB(A)]</w:t>
                  </w:r>
                </w:p>
              </w:tc>
            </w:tr>
            <w:tr w14:paraId="152257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4" w:hRule="atLeast"/>
                <w:jc w:val="center"/>
              </w:trPr>
              <w:tc>
                <w:tcPr>
                  <w:tcW w:w="2378" w:type="dxa"/>
                  <w:vMerge w:val="continue"/>
                  <w:vAlign w:val="center"/>
                </w:tcPr>
                <w:p w14:paraId="63B39EB8">
                  <w:pPr>
                    <w:keepNext w:val="0"/>
                    <w:keepLines w:val="0"/>
                    <w:widowControl/>
                    <w:suppressLineNumbers w:val="0"/>
                    <w:adjustRightInd w:val="0"/>
                    <w:snapToGrid w:val="0"/>
                    <w:spacing w:before="0" w:beforeAutospacing="0" w:after="0" w:afterAutospacing="0" w:line="320" w:lineRule="exact"/>
                    <w:ind w:left="0" w:right="0"/>
                    <w:jc w:val="center"/>
                    <w:rPr>
                      <w:rFonts w:hint="default" w:ascii="Times New Roman" w:hAnsi="Times New Roman"/>
                      <w:color w:val="auto"/>
                    </w:rPr>
                  </w:pPr>
                </w:p>
              </w:tc>
              <w:tc>
                <w:tcPr>
                  <w:tcW w:w="3241" w:type="dxa"/>
                  <w:vAlign w:val="center"/>
                </w:tcPr>
                <w:p w14:paraId="58051C6B">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olor w:val="auto"/>
                    </w:rPr>
                  </w:pPr>
                  <w:r>
                    <w:rPr>
                      <w:rFonts w:hint="default" w:ascii="Times New Roman" w:hAnsi="Times New Roman"/>
                      <w:color w:val="auto"/>
                    </w:rPr>
                    <w:t>昼间</w:t>
                  </w:r>
                </w:p>
              </w:tc>
              <w:tc>
                <w:tcPr>
                  <w:tcW w:w="3239" w:type="dxa"/>
                  <w:vAlign w:val="center"/>
                </w:tcPr>
                <w:p w14:paraId="2147592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olor w:val="auto"/>
                    </w:rPr>
                  </w:pPr>
                  <w:r>
                    <w:rPr>
                      <w:rFonts w:hint="default" w:ascii="Times New Roman" w:hAnsi="Times New Roman"/>
                      <w:color w:val="auto"/>
                    </w:rPr>
                    <w:t>夜间</w:t>
                  </w:r>
                </w:p>
              </w:tc>
            </w:tr>
            <w:tr w14:paraId="77C8F3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9" w:hRule="atLeast"/>
                <w:jc w:val="center"/>
              </w:trPr>
              <w:tc>
                <w:tcPr>
                  <w:tcW w:w="2378" w:type="dxa"/>
                  <w:vAlign w:val="center"/>
                </w:tcPr>
                <w:p w14:paraId="4D9BE98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olor w:val="auto"/>
                    </w:rPr>
                  </w:pPr>
                  <w:r>
                    <w:rPr>
                      <w:rFonts w:hint="default" w:ascii="Times New Roman" w:hAnsi="Times New Roman"/>
                      <w:color w:val="auto"/>
                    </w:rPr>
                    <w:t>3类</w:t>
                  </w:r>
                </w:p>
              </w:tc>
              <w:tc>
                <w:tcPr>
                  <w:tcW w:w="3241" w:type="dxa"/>
                  <w:vAlign w:val="center"/>
                </w:tcPr>
                <w:p w14:paraId="156EC2A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olor w:val="auto"/>
                    </w:rPr>
                  </w:pPr>
                  <w:r>
                    <w:rPr>
                      <w:rFonts w:hint="default" w:ascii="Times New Roman" w:hAnsi="Times New Roman"/>
                      <w:color w:val="auto"/>
                    </w:rPr>
                    <w:t>65</w:t>
                  </w:r>
                </w:p>
              </w:tc>
              <w:tc>
                <w:tcPr>
                  <w:tcW w:w="3239" w:type="dxa"/>
                  <w:vAlign w:val="center"/>
                </w:tcPr>
                <w:p w14:paraId="47AF297E">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olor w:val="auto"/>
                    </w:rPr>
                  </w:pPr>
                  <w:r>
                    <w:rPr>
                      <w:rFonts w:hint="default" w:ascii="Times New Roman" w:hAnsi="Times New Roman"/>
                      <w:color w:val="auto"/>
                    </w:rPr>
                    <w:t>55</w:t>
                  </w:r>
                </w:p>
              </w:tc>
            </w:tr>
          </w:tbl>
          <w:p w14:paraId="5B8FCFF8">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ascii="Times New Roman" w:hAnsi="Times New Roman" w:eastAsia="宋体" w:cs="Times New Roman"/>
                <w:b/>
                <w:bCs/>
                <w:color w:val="auto"/>
                <w:sz w:val="24"/>
                <w:szCs w:val="28"/>
                <w:lang w:val="en-US" w:eastAsia="zh-CN"/>
              </w:rPr>
            </w:pPr>
            <w:r>
              <w:rPr>
                <w:rFonts w:hint="eastAsia" w:ascii="Times New Roman" w:hAnsi="Times New Roman" w:eastAsia="宋体" w:cs="Times New Roman"/>
                <w:b/>
                <w:bCs/>
                <w:color w:val="auto"/>
                <w:sz w:val="24"/>
                <w:szCs w:val="28"/>
                <w:lang w:val="en-US" w:eastAsia="zh-CN"/>
              </w:rPr>
              <w:t>四、固体废弃物</w:t>
            </w:r>
          </w:p>
          <w:p w14:paraId="137AC644">
            <w:pPr>
              <w:pStyle w:val="89"/>
              <w:keepNext w:val="0"/>
              <w:keepLines w:val="0"/>
              <w:suppressLineNumbers w:val="0"/>
              <w:spacing w:before="0" w:beforeAutospacing="0" w:after="0" w:afterAutospacing="0"/>
              <w:ind w:left="0" w:right="0"/>
              <w:rPr>
                <w:rFonts w:hint="default" w:cs="Times New Roman"/>
                <w:color w:val="auto"/>
                <w:szCs w:val="24"/>
                <w:highlight w:val="none"/>
              </w:rPr>
            </w:pPr>
            <w:r>
              <w:rPr>
                <w:rFonts w:hint="default" w:cs="Times New Roman"/>
                <w:color w:val="auto"/>
                <w:szCs w:val="24"/>
                <w:highlight w:val="none"/>
              </w:rPr>
              <w:t>项目所产生的固体废弃物包括危险废物及一般固体废弃物。</w:t>
            </w:r>
          </w:p>
          <w:p w14:paraId="01888ED5">
            <w:pPr>
              <w:pStyle w:val="89"/>
              <w:keepNext w:val="0"/>
              <w:keepLines w:val="0"/>
              <w:suppressLineNumbers w:val="0"/>
              <w:spacing w:before="0" w:beforeAutospacing="0" w:after="0" w:afterAutospacing="0"/>
              <w:ind w:left="0" w:right="0"/>
              <w:rPr>
                <w:rFonts w:hint="default" w:cs="Times New Roman"/>
                <w:color w:val="auto"/>
                <w:szCs w:val="24"/>
                <w:highlight w:val="none"/>
              </w:rPr>
            </w:pPr>
            <w:r>
              <w:rPr>
                <w:rFonts w:hint="default" w:cs="Times New Roman"/>
                <w:color w:val="auto"/>
                <w:szCs w:val="24"/>
                <w:highlight w:val="none"/>
              </w:rPr>
              <w:t>一般固体废物执行《一般工业固体废物贮存和填埋污染控制标准》（GB18599-2020）。</w:t>
            </w:r>
          </w:p>
          <w:p w14:paraId="666FD1D3">
            <w:pPr>
              <w:keepNext w:val="0"/>
              <w:keepLines w:val="0"/>
              <w:suppressLineNumbers w:val="0"/>
              <w:spacing w:before="0" w:beforeAutospacing="0" w:after="0" w:afterAutospacing="0" w:line="360" w:lineRule="auto"/>
              <w:ind w:left="0" w:right="0" w:firstLine="480" w:firstLineChars="200"/>
              <w:rPr>
                <w:rFonts w:hint="eastAsia" w:eastAsia="宋体"/>
                <w:color w:val="auto"/>
                <w:lang w:eastAsia="zh-CN"/>
              </w:rPr>
            </w:pPr>
            <w:r>
              <w:rPr>
                <w:rFonts w:hint="default" w:ascii="Times New Roman" w:hAnsi="Times New Roman" w:eastAsia="宋体" w:cs="Times New Roman"/>
                <w:color w:val="auto"/>
                <w:sz w:val="24"/>
                <w:highlight w:val="none"/>
              </w:rPr>
              <w:t>危险废物执行《危险废物贮存污染控制标准》（GB18597-20</w:t>
            </w:r>
            <w:r>
              <w:rPr>
                <w:rFonts w:hint="eastAsia" w:ascii="Times New Roman" w:hAnsi="Times New Roman" w:eastAsia="宋体" w:cs="Times New Roman"/>
                <w:color w:val="auto"/>
                <w:sz w:val="24"/>
                <w:highlight w:val="none"/>
              </w:rPr>
              <w:t>23</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《危险废物识别标志设置技术规范》（HJ1276-2022）、</w:t>
            </w:r>
            <w:r>
              <w:rPr>
                <w:rFonts w:hint="default" w:ascii="Times New Roman" w:hAnsi="Times New Roman" w:eastAsia="宋体" w:cs="Times New Roman"/>
                <w:color w:val="auto"/>
                <w:sz w:val="24"/>
                <w:highlight w:val="none"/>
              </w:rPr>
              <w:t>《危险废物污染防治技术政策》和《危险废物转移联单管理办法》中的有关规定</w:t>
            </w:r>
            <w:r>
              <w:rPr>
                <w:rFonts w:hint="eastAsia" w:ascii="Times New Roman" w:hAnsi="Times New Roman" w:eastAsia="宋体" w:cs="Times New Roman"/>
                <w:color w:val="auto"/>
                <w:sz w:val="24"/>
                <w:highlight w:val="none"/>
                <w:lang w:val="en-US" w:eastAsia="zh-CN"/>
              </w:rPr>
              <w:t>。</w:t>
            </w:r>
          </w:p>
        </w:tc>
      </w:tr>
      <w:tr w14:paraId="73BBF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6" w:type="dxa"/>
            <w:noWrap w:val="0"/>
            <w:vAlign w:val="center"/>
          </w:tcPr>
          <w:p w14:paraId="3E3752B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总量</w:t>
            </w:r>
          </w:p>
          <w:p w14:paraId="7C9FF47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控制</w:t>
            </w:r>
          </w:p>
          <w:p w14:paraId="02F39F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kern w:val="0"/>
                <w:szCs w:val="21"/>
                <w:highlight w:val="yellow"/>
              </w:rPr>
            </w:pPr>
            <w:r>
              <w:rPr>
                <w:rFonts w:hint="eastAsia" w:ascii="Times New Roman" w:hAnsi="Times New Roman" w:eastAsia="宋体" w:cs="宋体"/>
                <w:color w:val="auto"/>
                <w:kern w:val="0"/>
                <w:szCs w:val="21"/>
                <w:highlight w:val="none"/>
              </w:rPr>
              <w:t>指标</w:t>
            </w:r>
          </w:p>
        </w:tc>
        <w:tc>
          <w:tcPr>
            <w:tcW w:w="9081" w:type="dxa"/>
            <w:noWrap w:val="0"/>
            <w:vAlign w:val="center"/>
          </w:tcPr>
          <w:p w14:paraId="39F68EE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lang w:val="zh-CN"/>
              </w:rPr>
            </w:pPr>
            <w:r>
              <w:rPr>
                <w:rFonts w:hint="default" w:ascii="Times New Roman" w:hAnsi="Times New Roman" w:eastAsia="宋体" w:cs="Times New Roman"/>
                <w:color w:val="auto"/>
                <w:kern w:val="2"/>
                <w:sz w:val="24"/>
                <w:szCs w:val="24"/>
                <w:highlight w:val="none"/>
                <w:lang w:val="en-US" w:eastAsia="zh-CN" w:bidi="ar-SA"/>
              </w:rPr>
              <w:t>根据《云南省“十四五”节能减排综合工作实施方案》，“十四五”期间将主要水污染物化学需氧量、氨氮和主要气污染物氮氧化物、挥发性有机物等4项污染物纳入减排范围，作为约束性指标逐级下达并考核。通过计算，本项目总量控制指标如下：</w:t>
            </w:r>
          </w:p>
          <w:p w14:paraId="08BEAE8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（1）废气</w:t>
            </w:r>
          </w:p>
          <w:p w14:paraId="17DDAE1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本项目</w:t>
            </w:r>
            <w:r>
              <w:rPr>
                <w:rFonts w:hint="eastAsia"/>
                <w:color w:val="auto"/>
                <w:sz w:val="24"/>
              </w:rPr>
              <w:t>废气总排放量为</w:t>
            </w:r>
            <w:r>
              <w:rPr>
                <w:rFonts w:hint="eastAsia"/>
                <w:color w:val="auto"/>
                <w:sz w:val="24"/>
                <w:lang w:val="en-US" w:eastAsia="zh-CN"/>
              </w:rPr>
              <w:t>4877</w:t>
            </w:r>
            <w:r>
              <w:rPr>
                <w:rFonts w:hint="eastAsia"/>
                <w:color w:val="auto"/>
                <w:sz w:val="24"/>
              </w:rPr>
              <w:t>万m</w:t>
            </w:r>
            <w:r>
              <w:rPr>
                <w:rFonts w:hint="eastAsia"/>
                <w:color w:val="auto"/>
                <w:sz w:val="24"/>
                <w:vertAlign w:val="superscript"/>
              </w:rPr>
              <w:t>3</w:t>
            </w:r>
            <w:r>
              <w:rPr>
                <w:rFonts w:hint="eastAsia"/>
                <w:color w:val="auto"/>
                <w:sz w:val="24"/>
              </w:rPr>
              <w:t>/a</w:t>
            </w:r>
            <w:bookmarkStart w:id="8" w:name="_Hlk72278285"/>
            <w:r>
              <w:rPr>
                <w:rFonts w:hint="eastAsia"/>
                <w:color w:val="auto"/>
                <w:sz w:val="24"/>
              </w:rPr>
              <w:t>；</w:t>
            </w:r>
            <w:r>
              <w:rPr>
                <w:rFonts w:hint="eastAsia"/>
                <w:color w:val="auto"/>
                <w:sz w:val="24"/>
                <w:lang w:val="en-US" w:eastAsia="zh-CN"/>
              </w:rPr>
              <w:t>VOCs</w:t>
            </w:r>
            <w:r>
              <w:rPr>
                <w:rFonts w:hint="eastAsia"/>
                <w:color w:val="auto"/>
                <w:sz w:val="24"/>
              </w:rPr>
              <w:t>排放量</w:t>
            </w:r>
            <w:r>
              <w:rPr>
                <w:rFonts w:hint="eastAsia"/>
                <w:color w:val="auto"/>
                <w:sz w:val="24"/>
                <w:lang w:val="en-US" w:eastAsia="zh-CN"/>
              </w:rPr>
              <w:t>2.778</w:t>
            </w:r>
            <w:r>
              <w:rPr>
                <w:rFonts w:hint="default"/>
                <w:color w:val="auto"/>
                <w:sz w:val="24"/>
              </w:rPr>
              <w:t>t/a</w:t>
            </w:r>
            <w:bookmarkEnd w:id="8"/>
            <w:r>
              <w:rPr>
                <w:rFonts w:hint="eastAsia"/>
                <w:color w:val="auto"/>
                <w:sz w:val="24"/>
              </w:rPr>
              <w:t>；</w:t>
            </w:r>
            <w:r>
              <w:rPr>
                <w:rFonts w:hint="default"/>
                <w:color w:val="auto"/>
                <w:sz w:val="24"/>
              </w:rPr>
              <w:t>甲醛</w:t>
            </w:r>
            <w:r>
              <w:rPr>
                <w:rFonts w:hint="eastAsia"/>
                <w:color w:val="auto"/>
                <w:sz w:val="24"/>
              </w:rPr>
              <w:t>排放量</w:t>
            </w:r>
            <w:r>
              <w:rPr>
                <w:rFonts w:hint="eastAsia"/>
                <w:color w:val="auto"/>
                <w:sz w:val="24"/>
                <w:lang w:val="en-US" w:eastAsia="zh-CN"/>
              </w:rPr>
              <w:t>0.238</w:t>
            </w:r>
            <w:r>
              <w:rPr>
                <w:rFonts w:hint="default"/>
                <w:color w:val="auto"/>
                <w:sz w:val="24"/>
              </w:rPr>
              <w:t>t/a</w:t>
            </w:r>
            <w:r>
              <w:rPr>
                <w:rFonts w:hint="eastAsia"/>
                <w:color w:val="auto"/>
                <w:sz w:val="24"/>
              </w:rPr>
              <w:t>；</w:t>
            </w:r>
            <w:r>
              <w:rPr>
                <w:rFonts w:hint="default"/>
                <w:color w:val="auto"/>
                <w:sz w:val="24"/>
              </w:rPr>
              <w:t>SO</w:t>
            </w:r>
            <w:r>
              <w:rPr>
                <w:rFonts w:hint="default"/>
                <w:color w:val="auto"/>
                <w:sz w:val="24"/>
                <w:vertAlign w:val="subscript"/>
              </w:rPr>
              <w:t>2</w:t>
            </w:r>
            <w:bookmarkStart w:id="9" w:name="_Hlk72278298"/>
            <w:r>
              <w:rPr>
                <w:rFonts w:hint="eastAsia"/>
                <w:color w:val="auto"/>
                <w:sz w:val="24"/>
              </w:rPr>
              <w:t>排放量</w:t>
            </w:r>
            <w:r>
              <w:rPr>
                <w:rFonts w:hint="default"/>
                <w:color w:val="auto"/>
                <w:sz w:val="24"/>
              </w:rPr>
              <w:t>0.0</w:t>
            </w:r>
            <w:r>
              <w:rPr>
                <w:rFonts w:hint="eastAsia"/>
                <w:color w:val="auto"/>
                <w:sz w:val="24"/>
              </w:rPr>
              <w:t>03</w:t>
            </w:r>
            <w:r>
              <w:rPr>
                <w:rFonts w:hint="default"/>
                <w:color w:val="auto"/>
                <w:sz w:val="24"/>
              </w:rPr>
              <w:t>t/a</w:t>
            </w:r>
            <w:bookmarkEnd w:id="9"/>
            <w:r>
              <w:rPr>
                <w:rFonts w:hint="default"/>
                <w:color w:val="auto"/>
                <w:sz w:val="24"/>
              </w:rPr>
              <w:t>，NO</w:t>
            </w:r>
            <w:r>
              <w:rPr>
                <w:rFonts w:hint="default"/>
                <w:color w:val="auto"/>
                <w:sz w:val="24"/>
                <w:vertAlign w:val="subscript"/>
              </w:rPr>
              <w:t>X</w:t>
            </w:r>
            <w:bookmarkStart w:id="10" w:name="_Hlk72278306"/>
            <w:r>
              <w:rPr>
                <w:rFonts w:hint="eastAsia"/>
                <w:color w:val="auto"/>
                <w:sz w:val="24"/>
              </w:rPr>
              <w:t>排放量</w:t>
            </w:r>
            <w:r>
              <w:rPr>
                <w:rFonts w:hint="default"/>
                <w:color w:val="auto"/>
                <w:sz w:val="24"/>
              </w:rPr>
              <w:t>0.</w:t>
            </w:r>
            <w:r>
              <w:rPr>
                <w:rFonts w:hint="eastAsia"/>
                <w:color w:val="auto"/>
                <w:sz w:val="24"/>
              </w:rPr>
              <w:t>1403</w:t>
            </w:r>
            <w:r>
              <w:rPr>
                <w:rFonts w:hint="default"/>
                <w:color w:val="auto"/>
                <w:sz w:val="24"/>
              </w:rPr>
              <w:t>t/a</w:t>
            </w:r>
            <w:bookmarkEnd w:id="10"/>
            <w:r>
              <w:rPr>
                <w:rFonts w:hint="eastAsia"/>
                <w:color w:val="auto"/>
                <w:sz w:val="24"/>
                <w:lang w:eastAsia="zh-CN"/>
              </w:rPr>
              <w:t>，</w:t>
            </w:r>
            <w:r>
              <w:rPr>
                <w:rFonts w:hint="default"/>
                <w:color w:val="auto"/>
                <w:sz w:val="24"/>
              </w:rPr>
              <w:t>颗粒物排放量为0.</w:t>
            </w:r>
            <w:r>
              <w:rPr>
                <w:rFonts w:hint="eastAsia"/>
                <w:color w:val="auto"/>
                <w:sz w:val="24"/>
              </w:rPr>
              <w:t>0215</w:t>
            </w:r>
            <w:r>
              <w:rPr>
                <w:rFonts w:hint="default"/>
                <w:color w:val="auto"/>
                <w:sz w:val="24"/>
              </w:rPr>
              <w:t>t/a。</w:t>
            </w:r>
          </w:p>
          <w:p w14:paraId="4AB5FCCB">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sz w:val="24"/>
                <w:lang w:val="en-US" w:eastAsia="zh-CN"/>
              </w:rPr>
            </w:pPr>
            <w:r>
              <w:rPr>
                <w:rFonts w:hint="eastAsia"/>
                <w:color w:val="auto"/>
                <w:sz w:val="24"/>
                <w:lang w:val="en-US" w:eastAsia="zh-CN"/>
              </w:rPr>
              <w:t>本次环评建议本项目废气总量控制指标：NOx：</w:t>
            </w:r>
            <w:r>
              <w:rPr>
                <w:rFonts w:hint="default"/>
                <w:color w:val="auto"/>
                <w:sz w:val="24"/>
              </w:rPr>
              <w:t>0.</w:t>
            </w:r>
            <w:r>
              <w:rPr>
                <w:rFonts w:hint="eastAsia"/>
                <w:color w:val="auto"/>
                <w:sz w:val="24"/>
              </w:rPr>
              <w:t>1403</w:t>
            </w:r>
            <w:r>
              <w:rPr>
                <w:rFonts w:hint="default"/>
                <w:color w:val="auto"/>
                <w:sz w:val="24"/>
              </w:rPr>
              <w:t>t/a</w:t>
            </w:r>
            <w:r>
              <w:rPr>
                <w:rFonts w:hint="eastAsia"/>
                <w:color w:val="auto"/>
                <w:sz w:val="24"/>
                <w:lang w:eastAsia="zh-CN"/>
              </w:rPr>
              <w:t>；</w:t>
            </w:r>
            <w:r>
              <w:rPr>
                <w:rFonts w:hint="eastAsia"/>
                <w:color w:val="auto"/>
                <w:sz w:val="24"/>
                <w:lang w:val="en-US" w:eastAsia="zh-CN"/>
              </w:rPr>
              <w:t>VOCs：2.778</w:t>
            </w:r>
            <w:r>
              <w:rPr>
                <w:rFonts w:hint="default"/>
                <w:color w:val="auto"/>
                <w:sz w:val="24"/>
              </w:rPr>
              <w:t>t/a</w:t>
            </w:r>
            <w:r>
              <w:rPr>
                <w:rFonts w:hint="eastAsia"/>
                <w:color w:val="auto"/>
                <w:sz w:val="24"/>
                <w:lang w:eastAsia="zh-CN"/>
              </w:rPr>
              <w:t>。</w:t>
            </w:r>
          </w:p>
          <w:p w14:paraId="3F5288E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（2）废水</w:t>
            </w:r>
          </w:p>
          <w:p w14:paraId="5EC3D664">
            <w:pPr>
              <w:pStyle w:val="13"/>
              <w:keepNext w:val="0"/>
              <w:keepLines w:val="0"/>
              <w:suppressLineNumbers w:val="0"/>
              <w:adjustRightInd w:val="0"/>
              <w:snapToGrid w:val="0"/>
              <w:spacing w:before="0" w:beforeAutospacing="0" w:after="0" w:afterAutospacing="0" w:line="348" w:lineRule="auto"/>
              <w:ind w:left="0" w:right="0" w:firstLine="480" w:firstLineChars="200"/>
              <w:rPr>
                <w:rFonts w:hint="default" w:ascii="Times New Roman" w:hAnsi="Times New Roman"/>
                <w:color w:val="auto"/>
                <w:kern w:val="0"/>
                <w:sz w:val="24"/>
              </w:rPr>
            </w:pPr>
            <w:r>
              <w:rPr>
                <w:rFonts w:hint="default" w:ascii="Times New Roman" w:hAnsi="Times New Roman"/>
                <w:color w:val="auto"/>
                <w:sz w:val="24"/>
              </w:rPr>
              <w:t>本项目生活污水经化粪池</w:t>
            </w:r>
            <w:r>
              <w:rPr>
                <w:rFonts w:hint="eastAsia" w:ascii="Times New Roman" w:hAnsi="Times New Roman"/>
                <w:color w:val="auto"/>
                <w:sz w:val="24"/>
                <w:lang w:val="en-US" w:eastAsia="zh-CN"/>
              </w:rPr>
              <w:t>和</w:t>
            </w:r>
            <w:r>
              <w:rPr>
                <w:rFonts w:hint="default" w:ascii="Times New Roman" w:hAnsi="Times New Roman"/>
                <w:color w:val="auto"/>
                <w:sz w:val="24"/>
                <w:lang w:val="zh-CN"/>
              </w:rPr>
              <w:t>生活污水处理站处理后回用于绿化及道路场地洒水，不外排</w:t>
            </w:r>
            <w:r>
              <w:rPr>
                <w:rFonts w:hint="default" w:ascii="Times New Roman" w:hAnsi="Times New Roman"/>
                <w:color w:val="auto"/>
                <w:sz w:val="24"/>
              </w:rPr>
              <w:t>。因此，不设总量控制指标</w:t>
            </w:r>
            <w:r>
              <w:rPr>
                <w:rFonts w:hint="default" w:ascii="Times New Roman" w:hAnsi="Times New Roman"/>
                <w:color w:val="auto"/>
                <w:kern w:val="0"/>
                <w:sz w:val="24"/>
              </w:rPr>
              <w:t>。</w:t>
            </w:r>
          </w:p>
          <w:p w14:paraId="1CB1E9C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rPr>
            </w:pPr>
            <w:r>
              <w:rPr>
                <w:rFonts w:hint="default"/>
                <w:color w:val="auto"/>
                <w:sz w:val="24"/>
              </w:rPr>
              <w:t>（3）固体废物</w:t>
            </w:r>
          </w:p>
          <w:p w14:paraId="706D219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宋体"/>
                <w:color w:val="auto"/>
                <w:kern w:val="0"/>
                <w:szCs w:val="21"/>
                <w:highlight w:val="yellow"/>
                <w:lang w:val="en-US" w:eastAsia="zh-CN"/>
              </w:rPr>
            </w:pPr>
            <w:r>
              <w:rPr>
                <w:rFonts w:hint="eastAsia"/>
                <w:color w:val="auto"/>
                <w:sz w:val="24"/>
              </w:rPr>
              <w:t>本项目固体废物</w:t>
            </w:r>
            <w:r>
              <w:rPr>
                <w:rFonts w:hint="default"/>
                <w:color w:val="auto"/>
                <w:sz w:val="24"/>
              </w:rPr>
              <w:t>处置率100%</w:t>
            </w:r>
            <w:r>
              <w:rPr>
                <w:rFonts w:hint="eastAsia"/>
                <w:color w:val="auto"/>
                <w:sz w:val="24"/>
              </w:rPr>
              <w:t>，不设总量控制指标</w:t>
            </w:r>
            <w:r>
              <w:rPr>
                <w:rFonts w:hint="default"/>
                <w:color w:val="auto"/>
                <w:sz w:val="24"/>
              </w:rPr>
              <w:t>。</w:t>
            </w:r>
          </w:p>
        </w:tc>
      </w:tr>
    </w:tbl>
    <w:p w14:paraId="23B4D4E9">
      <w:pPr>
        <w:pStyle w:val="28"/>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11" w:name="_Toc13622"/>
      <w:r>
        <w:rPr>
          <w:rFonts w:hint="eastAsia" w:ascii="黑体" w:hAnsi="黑体" w:eastAsia="黑体"/>
          <w:snapToGrid w:val="0"/>
          <w:color w:val="auto"/>
          <w:sz w:val="30"/>
          <w:szCs w:val="30"/>
        </w:rPr>
        <w:t>四、主要环境影响和保护措施</w:t>
      </w:r>
      <w:bookmarkEnd w:id="11"/>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0"/>
        <w:gridCol w:w="8771"/>
      </w:tblGrid>
      <w:tr w14:paraId="71054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0" w:hRule="atLeast"/>
          <w:jc w:val="center"/>
        </w:trPr>
        <w:tc>
          <w:tcPr>
            <w:tcW w:w="210" w:type="dxa"/>
            <w:noWrap w:val="0"/>
            <w:tcMar>
              <w:left w:w="28" w:type="dxa"/>
              <w:right w:w="28" w:type="dxa"/>
            </w:tcMar>
            <w:vAlign w:val="center"/>
          </w:tcPr>
          <w:p w14:paraId="337F6ED7">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14:paraId="4C620191">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14:paraId="17202962">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14:paraId="1E6A598A">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14:paraId="51EF894D">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施</w:t>
            </w:r>
          </w:p>
        </w:tc>
        <w:tc>
          <w:tcPr>
            <w:tcW w:w="8771" w:type="dxa"/>
            <w:noWrap w:val="0"/>
            <w:vAlign w:val="center"/>
          </w:tcPr>
          <w:p w14:paraId="5A2517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1、废气</w:t>
            </w:r>
          </w:p>
          <w:p w14:paraId="2CB4EF7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textAlignment w:val="auto"/>
              <w:rPr>
                <w:rFonts w:hint="default" w:ascii="Times New Roman" w:hAnsi="Times New Roman" w:eastAsia="宋体" w:cs="Times New Roman"/>
                <w:color w:val="auto"/>
                <w:kern w:val="0"/>
                <w:sz w:val="24"/>
                <w:szCs w:val="24"/>
                <w:highlight w:val="none"/>
                <w:lang w:val="zh-CN"/>
              </w:rPr>
            </w:pPr>
            <w:r>
              <w:rPr>
                <w:rFonts w:hint="default" w:ascii="Times New Roman" w:hAnsi="Times New Roman" w:eastAsia="宋体" w:cs="Times New Roman"/>
                <w:color w:val="auto"/>
                <w:sz w:val="24"/>
                <w:szCs w:val="24"/>
                <w:highlight w:val="none"/>
              </w:rPr>
              <w:t>项目施工期</w:t>
            </w:r>
            <w:r>
              <w:rPr>
                <w:rFonts w:hint="default" w:ascii="Times New Roman" w:hAnsi="Times New Roman" w:eastAsia="宋体" w:cs="Times New Roman"/>
                <w:color w:val="auto"/>
                <w:sz w:val="24"/>
                <w:szCs w:val="24"/>
                <w:highlight w:val="none"/>
                <w:lang w:eastAsia="zh-CN"/>
              </w:rPr>
              <w:t>产生的废气主要为车辆尾气及机械废气、扬尘、</w:t>
            </w:r>
            <w:r>
              <w:rPr>
                <w:rFonts w:hint="default" w:ascii="Times New Roman" w:hAnsi="Times New Roman" w:eastAsia="宋体" w:cs="Times New Roman"/>
                <w:color w:val="auto"/>
                <w:sz w:val="24"/>
                <w:szCs w:val="24"/>
                <w:highlight w:val="none"/>
              </w:rPr>
              <w:t>焊接烟尘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项目施工时</w:t>
            </w:r>
            <w:r>
              <w:rPr>
                <w:rFonts w:hint="default" w:ascii="Times New Roman" w:hAnsi="Times New Roman" w:eastAsia="宋体" w:cs="Times New Roman"/>
                <w:color w:val="auto"/>
                <w:kern w:val="0"/>
                <w:sz w:val="24"/>
                <w:szCs w:val="24"/>
                <w:highlight w:val="none"/>
                <w:lang w:val="zh-CN"/>
              </w:rPr>
              <w:t>应采取以下</w:t>
            </w:r>
            <w:r>
              <w:rPr>
                <w:rFonts w:hint="default" w:ascii="Times New Roman" w:hAnsi="Times New Roman" w:cs="Times New Roman"/>
                <w:color w:val="auto"/>
                <w:kern w:val="0"/>
                <w:sz w:val="24"/>
                <w:szCs w:val="24"/>
                <w:highlight w:val="none"/>
                <w:lang w:val="en-US" w:eastAsia="zh-CN"/>
              </w:rPr>
              <w:t>废气污染</w:t>
            </w:r>
            <w:r>
              <w:rPr>
                <w:rFonts w:hint="default" w:ascii="Times New Roman" w:hAnsi="Times New Roman" w:eastAsia="宋体" w:cs="Times New Roman"/>
                <w:color w:val="auto"/>
                <w:kern w:val="0"/>
                <w:sz w:val="24"/>
                <w:szCs w:val="24"/>
                <w:highlight w:val="none"/>
                <w:lang w:val="zh-CN"/>
              </w:rPr>
              <w:t>防治措施：</w:t>
            </w:r>
          </w:p>
          <w:p w14:paraId="087EA58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zh-CN" w:eastAsia="zh-CN"/>
              </w:rPr>
            </w:pPr>
            <w:r>
              <w:rPr>
                <w:rFonts w:hint="default" w:ascii="Times New Roman" w:hAnsi="Times New Roman" w:eastAsia="宋体" w:cs="Times New Roman"/>
                <w:color w:val="auto"/>
                <w:kern w:val="0"/>
                <w:sz w:val="24"/>
                <w:szCs w:val="24"/>
                <w:highlight w:val="none"/>
                <w:lang w:val="zh-CN" w:eastAsia="zh-CN"/>
              </w:rPr>
              <w:t>①建设单位在施工时对运输车辆限速行驶及保持路面的清洁</w:t>
            </w:r>
            <w:r>
              <w:rPr>
                <w:rFonts w:hint="default" w:ascii="Times New Roman" w:hAnsi="Times New Roman" w:cs="Times New Roman"/>
                <w:color w:val="auto"/>
                <w:kern w:val="0"/>
                <w:sz w:val="24"/>
                <w:szCs w:val="24"/>
                <w:highlight w:val="none"/>
                <w:lang w:val="zh-CN" w:eastAsia="zh-CN"/>
              </w:rPr>
              <w:t>。</w:t>
            </w:r>
          </w:p>
          <w:p w14:paraId="184B6DE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zh-CN" w:eastAsia="zh-CN"/>
              </w:rPr>
            </w:pPr>
            <w:r>
              <w:rPr>
                <w:rFonts w:hint="eastAsia" w:cs="Times New Roman"/>
                <w:color w:val="auto"/>
                <w:kern w:val="0"/>
                <w:sz w:val="24"/>
                <w:szCs w:val="24"/>
                <w:highlight w:val="none"/>
                <w:lang w:val="en-US" w:eastAsia="zh-CN"/>
              </w:rPr>
              <w:t>②</w:t>
            </w:r>
            <w:r>
              <w:rPr>
                <w:rFonts w:hint="default" w:ascii="Times New Roman" w:hAnsi="Times New Roman" w:eastAsia="宋体" w:cs="Times New Roman"/>
                <w:color w:val="auto"/>
                <w:kern w:val="0"/>
                <w:sz w:val="24"/>
                <w:szCs w:val="24"/>
                <w:highlight w:val="none"/>
                <w:lang w:val="zh-CN" w:eastAsia="zh-CN"/>
              </w:rPr>
              <w:t>对施工现场进行科学管理，</w:t>
            </w:r>
            <w:r>
              <w:rPr>
                <w:rFonts w:hint="default" w:ascii="Times New Roman" w:hAnsi="Times New Roman" w:cs="Times New Roman"/>
                <w:color w:val="auto"/>
                <w:kern w:val="0"/>
                <w:sz w:val="24"/>
                <w:szCs w:val="24"/>
                <w:highlight w:val="none"/>
                <w:lang w:val="en-US" w:eastAsia="zh-CN"/>
              </w:rPr>
              <w:t>施工物料</w:t>
            </w:r>
            <w:r>
              <w:rPr>
                <w:rFonts w:hint="default" w:ascii="Times New Roman" w:hAnsi="Times New Roman" w:eastAsia="宋体" w:cs="Times New Roman"/>
                <w:color w:val="auto"/>
                <w:kern w:val="0"/>
                <w:sz w:val="24"/>
                <w:szCs w:val="24"/>
                <w:highlight w:val="none"/>
                <w:lang w:val="zh-CN" w:eastAsia="zh-CN"/>
              </w:rPr>
              <w:t>统一堆放，露天堆存时应有防尘措施，如洒水抑尘、遮盖等，</w:t>
            </w:r>
            <w:r>
              <w:rPr>
                <w:rFonts w:hint="default" w:ascii="Times New Roman" w:hAnsi="Times New Roman" w:cs="Times New Roman"/>
                <w:color w:val="auto"/>
                <w:kern w:val="0"/>
                <w:sz w:val="24"/>
                <w:szCs w:val="24"/>
                <w:highlight w:val="none"/>
                <w:lang w:val="en-US" w:eastAsia="zh-CN"/>
              </w:rPr>
              <w:t>散料</w:t>
            </w:r>
            <w:r>
              <w:rPr>
                <w:rFonts w:hint="default" w:ascii="Times New Roman" w:hAnsi="Times New Roman" w:eastAsia="宋体" w:cs="Times New Roman"/>
                <w:color w:val="auto"/>
                <w:kern w:val="0"/>
                <w:sz w:val="24"/>
                <w:szCs w:val="24"/>
                <w:highlight w:val="none"/>
                <w:lang w:val="zh-CN" w:eastAsia="zh-CN"/>
              </w:rPr>
              <w:t>设置专门的堆棚堆放，尽量减少搬运环节</w:t>
            </w:r>
            <w:r>
              <w:rPr>
                <w:rFonts w:hint="default" w:ascii="Times New Roman" w:hAnsi="Times New Roman" w:cs="Times New Roman"/>
                <w:color w:val="auto"/>
                <w:kern w:val="0"/>
                <w:sz w:val="24"/>
                <w:szCs w:val="24"/>
                <w:highlight w:val="none"/>
                <w:lang w:val="zh-CN" w:eastAsia="zh-CN"/>
              </w:rPr>
              <w:t>。</w:t>
            </w:r>
          </w:p>
          <w:p w14:paraId="2D48089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zh-CN" w:eastAsia="zh-CN"/>
              </w:rPr>
            </w:pPr>
            <w:r>
              <w:rPr>
                <w:rFonts w:hint="eastAsia" w:cs="Times New Roman"/>
                <w:color w:val="auto"/>
                <w:kern w:val="0"/>
                <w:sz w:val="24"/>
                <w:szCs w:val="24"/>
                <w:highlight w:val="none"/>
                <w:lang w:val="en-US" w:eastAsia="zh-CN"/>
              </w:rPr>
              <w:t>③</w:t>
            </w:r>
            <w:r>
              <w:rPr>
                <w:rFonts w:hint="default" w:ascii="Times New Roman" w:hAnsi="Times New Roman" w:eastAsia="宋体" w:cs="Times New Roman"/>
                <w:color w:val="auto"/>
                <w:kern w:val="0"/>
                <w:sz w:val="24"/>
                <w:szCs w:val="24"/>
                <w:highlight w:val="none"/>
                <w:lang w:val="zh-CN" w:eastAsia="zh-CN"/>
              </w:rPr>
              <w:t>地面开挖时，对作业面适当喷水，使其保持一定的湿度，以减少扬尘产生量，建筑材料和建筑垃圾应及时清运</w:t>
            </w:r>
            <w:r>
              <w:rPr>
                <w:rFonts w:hint="default" w:ascii="Times New Roman" w:hAnsi="Times New Roman" w:cs="Times New Roman"/>
                <w:color w:val="auto"/>
                <w:kern w:val="0"/>
                <w:sz w:val="24"/>
                <w:szCs w:val="24"/>
                <w:highlight w:val="none"/>
                <w:lang w:val="zh-CN" w:eastAsia="zh-CN"/>
              </w:rPr>
              <w:t>。</w:t>
            </w:r>
          </w:p>
          <w:p w14:paraId="70ABE2F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zh-CN" w:eastAsia="zh-CN"/>
              </w:rPr>
            </w:pPr>
            <w:r>
              <w:rPr>
                <w:rFonts w:hint="eastAsia" w:cs="Times New Roman"/>
                <w:color w:val="auto"/>
                <w:kern w:val="0"/>
                <w:sz w:val="24"/>
                <w:szCs w:val="24"/>
                <w:highlight w:val="none"/>
                <w:lang w:val="en-US" w:eastAsia="zh-CN"/>
              </w:rPr>
              <w:t>④</w:t>
            </w:r>
            <w:r>
              <w:rPr>
                <w:rFonts w:hint="default" w:ascii="Times New Roman" w:hAnsi="Times New Roman" w:eastAsia="宋体" w:cs="Times New Roman"/>
                <w:color w:val="auto"/>
                <w:kern w:val="0"/>
                <w:sz w:val="24"/>
                <w:szCs w:val="24"/>
                <w:highlight w:val="none"/>
                <w:lang w:val="zh-CN" w:eastAsia="zh-CN"/>
              </w:rPr>
              <w:t>谨防运输车辆装载过满，需采取遮盖、密闭措施，减少其沿途遗撒，及时清扫洒落在路面的泥土和灰尘，定时洒水抑尘，减少运输过程中的扬尘</w:t>
            </w:r>
            <w:r>
              <w:rPr>
                <w:rFonts w:hint="default" w:ascii="Times New Roman" w:hAnsi="Times New Roman" w:cs="Times New Roman"/>
                <w:color w:val="auto"/>
                <w:kern w:val="0"/>
                <w:sz w:val="24"/>
                <w:szCs w:val="24"/>
                <w:highlight w:val="none"/>
                <w:lang w:val="zh-CN" w:eastAsia="zh-CN"/>
              </w:rPr>
              <w:t>。</w:t>
            </w:r>
          </w:p>
          <w:p w14:paraId="50D60DE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zh-CN"/>
              </w:rPr>
            </w:pPr>
            <w:r>
              <w:rPr>
                <w:rFonts w:hint="eastAsia" w:cs="Times New Roman"/>
                <w:color w:val="auto"/>
                <w:kern w:val="0"/>
                <w:sz w:val="24"/>
                <w:szCs w:val="24"/>
                <w:highlight w:val="none"/>
                <w:lang w:val="en-US" w:eastAsia="zh-CN"/>
              </w:rPr>
              <w:t>⑤</w:t>
            </w:r>
            <w:r>
              <w:rPr>
                <w:rFonts w:hint="default" w:ascii="Times New Roman" w:hAnsi="Times New Roman" w:eastAsia="宋体" w:cs="Times New Roman"/>
                <w:color w:val="auto"/>
                <w:kern w:val="0"/>
                <w:sz w:val="24"/>
                <w:szCs w:val="24"/>
                <w:highlight w:val="none"/>
                <w:lang w:val="zh-CN" w:eastAsia="zh-CN"/>
              </w:rPr>
              <w:t>风速大时应停止施工作业，并对堆放的</w:t>
            </w:r>
            <w:r>
              <w:rPr>
                <w:rFonts w:hint="default" w:ascii="Times New Roman" w:hAnsi="Times New Roman" w:cs="Times New Roman"/>
                <w:color w:val="auto"/>
                <w:kern w:val="0"/>
                <w:sz w:val="24"/>
                <w:szCs w:val="24"/>
                <w:highlight w:val="none"/>
                <w:lang w:val="en-US" w:eastAsia="zh-CN"/>
              </w:rPr>
              <w:t>物料</w:t>
            </w:r>
            <w:r>
              <w:rPr>
                <w:rFonts w:hint="default" w:ascii="Times New Roman" w:hAnsi="Times New Roman" w:eastAsia="宋体" w:cs="Times New Roman"/>
                <w:color w:val="auto"/>
                <w:kern w:val="0"/>
                <w:sz w:val="24"/>
                <w:szCs w:val="24"/>
                <w:highlight w:val="none"/>
                <w:lang w:val="zh-CN" w:eastAsia="zh-CN"/>
              </w:rPr>
              <w:t>进行遮盖处理。</w:t>
            </w:r>
          </w:p>
          <w:p w14:paraId="7C1DD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eastAsia="zh-CN"/>
              </w:rPr>
              <w:t>通过</w:t>
            </w:r>
            <w:r>
              <w:rPr>
                <w:rFonts w:hint="default" w:ascii="Times New Roman" w:hAnsi="Times New Roman" w:eastAsia="宋体" w:cs="Times New Roman"/>
                <w:color w:val="auto"/>
                <w:sz w:val="24"/>
                <w:szCs w:val="24"/>
                <w:highlight w:val="none"/>
              </w:rPr>
              <w:t>加强对施工车辆的检修和维护，严禁使用超期服役和尾气超标的车辆。</w:t>
            </w:r>
          </w:p>
          <w:p w14:paraId="0474B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⑦</w:t>
            </w:r>
            <w:r>
              <w:rPr>
                <w:rFonts w:hint="default" w:ascii="Times New Roman" w:hAnsi="Times New Roman" w:eastAsia="宋体" w:cs="Times New Roman"/>
                <w:color w:val="auto"/>
                <w:sz w:val="24"/>
                <w:szCs w:val="24"/>
                <w:highlight w:val="none"/>
              </w:rPr>
              <w:t>尽可能使用耗油低，排气小的施工车辆，选用优质燃油，减少机械和车辆的有害废气排放</w:t>
            </w:r>
            <w:r>
              <w:rPr>
                <w:rFonts w:hint="default" w:ascii="Times New Roman" w:hAnsi="Times New Roman" w:eastAsia="宋体" w:cs="Times New Roman"/>
                <w:color w:val="auto"/>
                <w:sz w:val="24"/>
                <w:szCs w:val="24"/>
                <w:highlight w:val="none"/>
                <w:lang w:eastAsia="zh-CN"/>
              </w:rPr>
              <w:t>。</w:t>
            </w:r>
          </w:p>
          <w:p w14:paraId="7D9998E9">
            <w:pPr>
              <w:pStyle w:val="7"/>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val="zh-CN"/>
              </w:rPr>
            </w:pPr>
            <w:r>
              <w:rPr>
                <w:rFonts w:hint="default" w:ascii="Times New Roman" w:hAnsi="Times New Roman" w:eastAsia="宋体" w:cs="Times New Roman"/>
                <w:color w:val="auto"/>
                <w:kern w:val="0"/>
                <w:sz w:val="24"/>
                <w:szCs w:val="24"/>
                <w:highlight w:val="none"/>
                <w:lang w:val="zh-CN"/>
              </w:rPr>
              <w:t>在采取上述措施治理后，</w:t>
            </w:r>
            <w:r>
              <w:rPr>
                <w:rFonts w:hint="default" w:ascii="Times New Roman" w:hAnsi="Times New Roman" w:cs="Times New Roman"/>
                <w:color w:val="auto"/>
                <w:kern w:val="0"/>
                <w:sz w:val="24"/>
                <w:szCs w:val="24"/>
                <w:highlight w:val="none"/>
                <w:lang w:val="en-US" w:eastAsia="zh-CN"/>
              </w:rPr>
              <w:t>施工期废气</w:t>
            </w:r>
            <w:r>
              <w:rPr>
                <w:rFonts w:hint="default" w:ascii="Times New Roman" w:hAnsi="Times New Roman" w:eastAsia="宋体" w:cs="Times New Roman"/>
                <w:color w:val="auto"/>
                <w:kern w:val="0"/>
                <w:sz w:val="24"/>
                <w:szCs w:val="24"/>
                <w:highlight w:val="none"/>
                <w:lang w:val="zh-CN"/>
              </w:rPr>
              <w:t>可以得到有效控制。</w:t>
            </w:r>
            <w:r>
              <w:rPr>
                <w:rFonts w:hint="default" w:ascii="Times New Roman" w:hAnsi="Times New Roman" w:cs="Times New Roman"/>
                <w:color w:val="auto"/>
                <w:kern w:val="0"/>
                <w:sz w:val="24"/>
                <w:szCs w:val="24"/>
                <w:highlight w:val="none"/>
                <w:lang w:val="en-US" w:eastAsia="zh-CN"/>
              </w:rPr>
              <w:t>项目施工期颗粒物</w:t>
            </w:r>
            <w:r>
              <w:rPr>
                <w:rFonts w:hint="default" w:ascii="Times New Roman" w:hAnsi="Times New Roman" w:cs="Times New Roman"/>
                <w:color w:val="auto"/>
              </w:rPr>
              <w:t>排放符合《大气污染物综合排放标准》（GB16297-1996）中的无组织排放监控浓度限值标准，即：颗粒物周界外浓度最高点≤1.0mg/m</w:t>
            </w:r>
            <w:r>
              <w:rPr>
                <w:rFonts w:hint="default" w:ascii="Times New Roman" w:hAnsi="Times New Roman" w:cs="Times New Roman"/>
                <w:color w:val="auto"/>
                <w:vertAlign w:val="superscript"/>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另外，</w:t>
            </w:r>
            <w:r>
              <w:rPr>
                <w:rFonts w:hint="default" w:ascii="Times New Roman" w:hAnsi="Times New Roman" w:cs="Times New Roman"/>
                <w:color w:val="auto"/>
              </w:rPr>
              <w:t>项目施工期较短，随着施工期的结束，</w:t>
            </w:r>
            <w:r>
              <w:rPr>
                <w:rFonts w:hint="default" w:ascii="Times New Roman" w:hAnsi="Times New Roman" w:cs="Times New Roman"/>
                <w:color w:val="auto"/>
                <w:lang w:val="en-US" w:eastAsia="zh-CN"/>
              </w:rPr>
              <w:t>施工废气</w:t>
            </w:r>
            <w:r>
              <w:rPr>
                <w:rFonts w:hint="default" w:ascii="Times New Roman" w:hAnsi="Times New Roman" w:cs="Times New Roman"/>
                <w:color w:val="auto"/>
              </w:rPr>
              <w:t>影响也将随之消失。</w:t>
            </w:r>
            <w:r>
              <w:rPr>
                <w:rFonts w:hint="default" w:ascii="Times New Roman" w:hAnsi="Times New Roman" w:eastAsia="宋体" w:cs="Times New Roman"/>
                <w:color w:val="auto"/>
                <w:kern w:val="0"/>
                <w:sz w:val="24"/>
                <w:szCs w:val="24"/>
                <w:highlight w:val="none"/>
                <w:lang w:val="zh-CN"/>
              </w:rPr>
              <w:t>综上，项目产生的</w:t>
            </w:r>
            <w:r>
              <w:rPr>
                <w:rFonts w:hint="default" w:ascii="Times New Roman" w:hAnsi="Times New Roman" w:cs="Times New Roman"/>
                <w:color w:val="auto"/>
                <w:kern w:val="0"/>
                <w:sz w:val="24"/>
                <w:szCs w:val="24"/>
                <w:highlight w:val="none"/>
                <w:lang w:val="en-US" w:eastAsia="zh-CN"/>
              </w:rPr>
              <w:t>施工废气</w:t>
            </w:r>
            <w:r>
              <w:rPr>
                <w:rFonts w:hint="default" w:ascii="Times New Roman" w:hAnsi="Times New Roman" w:eastAsia="宋体" w:cs="Times New Roman"/>
                <w:color w:val="auto"/>
                <w:kern w:val="0"/>
                <w:sz w:val="24"/>
                <w:szCs w:val="24"/>
                <w:highlight w:val="none"/>
                <w:lang w:val="zh-CN"/>
              </w:rPr>
              <w:t>对周围环境影响较小。</w:t>
            </w:r>
          </w:p>
          <w:p w14:paraId="6465A1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14:paraId="66D7E9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施工期废水主要为施工废水</w:t>
            </w:r>
            <w:r>
              <w:rPr>
                <w:rFonts w:hint="default" w:ascii="Times New Roman" w:hAnsi="Times New Roman" w:eastAsia="宋体" w:cs="Times New Roman"/>
                <w:color w:val="auto"/>
                <w:sz w:val="24"/>
                <w:szCs w:val="24"/>
                <w:highlight w:val="none"/>
                <w:lang w:eastAsia="zh-CN"/>
              </w:rPr>
              <w:t>及施工人员生活污水</w:t>
            </w:r>
            <w:r>
              <w:rPr>
                <w:rFonts w:hint="default" w:ascii="Times New Roman" w:hAnsi="Times New Roman" w:eastAsia="宋体" w:cs="Times New Roman"/>
                <w:color w:val="auto"/>
                <w:sz w:val="24"/>
                <w:szCs w:val="24"/>
                <w:highlight w:val="none"/>
              </w:rPr>
              <w:t>。</w:t>
            </w:r>
          </w:p>
          <w:p w14:paraId="1F775B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项目环保工程</w:t>
            </w:r>
            <w:r>
              <w:rPr>
                <w:rFonts w:hint="default" w:ascii="Times New Roman" w:hAnsi="Times New Roman" w:eastAsia="宋体" w:cs="Times New Roman"/>
                <w:color w:val="auto"/>
                <w:sz w:val="24"/>
                <w:szCs w:val="24"/>
                <w:highlight w:val="none"/>
              </w:rPr>
              <w:t>施工</w:t>
            </w:r>
            <w:r>
              <w:rPr>
                <w:rFonts w:hint="default" w:ascii="Times New Roman" w:hAnsi="Times New Roman" w:eastAsia="宋体" w:cs="Times New Roman"/>
                <w:color w:val="auto"/>
                <w:sz w:val="24"/>
                <w:szCs w:val="24"/>
                <w:highlight w:val="none"/>
                <w:lang w:val="en-US" w:eastAsia="zh-CN"/>
              </w:rPr>
              <w:t>过程使用</w:t>
            </w:r>
            <w:r>
              <w:rPr>
                <w:rFonts w:hint="default" w:ascii="Times New Roman" w:hAnsi="Times New Roman" w:eastAsia="宋体" w:cs="Times New Roman"/>
                <w:color w:val="auto"/>
                <w:sz w:val="24"/>
                <w:szCs w:val="24"/>
                <w:highlight w:val="none"/>
              </w:rPr>
              <w:t>混凝土</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商品砼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混凝土不在项目区内</w:t>
            </w:r>
            <w:r>
              <w:rPr>
                <w:rFonts w:hint="eastAsia" w:cs="Times New Roman"/>
                <w:color w:val="auto"/>
                <w:sz w:val="24"/>
                <w:szCs w:val="24"/>
                <w:highlight w:val="none"/>
                <w:lang w:eastAsia="zh-CN"/>
              </w:rPr>
              <w:t>拌和</w:t>
            </w:r>
            <w:r>
              <w:rPr>
                <w:rFonts w:hint="default" w:ascii="Times New Roman" w:hAnsi="Times New Roman" w:eastAsia="宋体" w:cs="Times New Roman"/>
                <w:color w:val="auto"/>
                <w:sz w:val="24"/>
                <w:szCs w:val="24"/>
                <w:highlight w:val="none"/>
              </w:rPr>
              <w:t>，无拌合废水产生。</w:t>
            </w:r>
            <w:r>
              <w:rPr>
                <w:rFonts w:hint="default" w:ascii="Times New Roman" w:hAnsi="Times New Roman" w:eastAsia="宋体" w:cs="Times New Roman"/>
                <w:color w:val="auto"/>
                <w:sz w:val="24"/>
                <w:szCs w:val="24"/>
                <w:highlight w:val="none"/>
                <w:lang w:eastAsia="zh-CN"/>
              </w:rPr>
              <w:t>施工废水主要为</w:t>
            </w:r>
            <w:r>
              <w:rPr>
                <w:rFonts w:hint="default" w:ascii="Times New Roman" w:hAnsi="Times New Roman" w:eastAsia="宋体" w:cs="Times New Roman"/>
                <w:b w:val="0"/>
                <w:bCs w:val="0"/>
                <w:color w:val="auto"/>
                <w:sz w:val="24"/>
                <w:szCs w:val="24"/>
                <w:highlight w:val="none"/>
                <w:lang w:eastAsia="zh-CN"/>
              </w:rPr>
              <w:t>混凝土养护废水及施工机械清洗废水，</w:t>
            </w:r>
            <w:r>
              <w:rPr>
                <w:rFonts w:hint="default" w:ascii="Times New Roman" w:hAnsi="Times New Roman" w:eastAsia="宋体" w:cs="Times New Roman"/>
                <w:color w:val="auto"/>
                <w:sz w:val="24"/>
                <w:szCs w:val="24"/>
                <w:highlight w:val="none"/>
              </w:rPr>
              <w:t>废水产生量约</w:t>
            </w:r>
            <w:r>
              <w:rPr>
                <w:rFonts w:hint="default" w:ascii="Times New Roman" w:hAnsi="Times New Roman"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/d，主要污染物为悬浮物，经沉淀处理后回用于项目内的施工过程或施工现场洒水降尘，不外排，对周边地表水环境影响较小。</w:t>
            </w:r>
          </w:p>
          <w:p w14:paraId="7A5E1A9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施工期施工人员不在项目区食宿，</w:t>
            </w:r>
            <w:r>
              <w:rPr>
                <w:rFonts w:hint="default" w:ascii="Times New Roman" w:hAnsi="Times New Roman" w:cs="Times New Roman"/>
                <w:b w:val="0"/>
                <w:bCs w:val="0"/>
                <w:color w:val="auto"/>
                <w:sz w:val="24"/>
                <w:szCs w:val="24"/>
                <w:highlight w:val="none"/>
                <w:lang w:val="en-US" w:eastAsia="zh-CN"/>
              </w:rPr>
              <w:t>如厕依托云南宣茂木业有限公司的卫生间，故</w:t>
            </w:r>
            <w:r>
              <w:rPr>
                <w:rFonts w:hint="default" w:ascii="Times New Roman" w:hAnsi="Times New Roman" w:eastAsia="宋体" w:cs="Times New Roman"/>
                <w:b w:val="0"/>
                <w:bCs w:val="0"/>
                <w:color w:val="auto"/>
                <w:sz w:val="24"/>
                <w:szCs w:val="24"/>
                <w:highlight w:val="none"/>
              </w:rPr>
              <w:t>生活废水主要为施工人员洗手</w:t>
            </w:r>
            <w:r>
              <w:rPr>
                <w:rFonts w:hint="default" w:ascii="Times New Roman" w:hAnsi="Times New Roman" w:cs="Times New Roman"/>
                <w:b w:val="0"/>
                <w:bCs w:val="0"/>
                <w:color w:val="auto"/>
                <w:sz w:val="24"/>
                <w:szCs w:val="24"/>
                <w:highlight w:val="none"/>
                <w:lang w:val="en-US" w:eastAsia="zh-CN"/>
              </w:rPr>
              <w:t>废</w:t>
            </w:r>
            <w:r>
              <w:rPr>
                <w:rFonts w:hint="default" w:ascii="Times New Roman" w:hAnsi="Times New Roman" w:eastAsia="宋体" w:cs="Times New Roman"/>
                <w:b w:val="0"/>
                <w:bCs w:val="0"/>
                <w:color w:val="auto"/>
                <w:sz w:val="24"/>
                <w:szCs w:val="24"/>
                <w:highlight w:val="none"/>
              </w:rPr>
              <w:t>水等，主要污染物为</w:t>
            </w:r>
            <w:r>
              <w:rPr>
                <w:rFonts w:hint="default" w:ascii="Times New Roman" w:hAnsi="Times New Roman" w:eastAsia="宋体" w:cs="Times New Roman"/>
                <w:b w:val="0"/>
                <w:bCs w:val="0"/>
                <w:color w:val="auto"/>
                <w:sz w:val="24"/>
                <w:szCs w:val="24"/>
                <w:highlight w:val="none"/>
                <w:lang w:val="en-US" w:eastAsia="zh-CN"/>
              </w:rPr>
              <w:t>SS</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施工期施工人员约为</w:t>
            </w:r>
            <w:r>
              <w:rPr>
                <w:rFonts w:hint="default" w:ascii="Times New Roman" w:hAnsi="Times New Roman" w:eastAsia="宋体" w:cs="Times New Roman"/>
                <w:b w:val="0"/>
                <w:bCs w:val="0"/>
                <w:color w:val="auto"/>
                <w:sz w:val="24"/>
                <w:szCs w:val="24"/>
                <w:highlight w:val="none"/>
                <w:lang w:val="en-US" w:eastAsia="zh-CN"/>
              </w:rPr>
              <w:t>10人，按40L/（人·d）计，则施工人员生活用水量为0.4m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/d，污水产生系数按0.8计，则施工人员生活污水产生量为0.32m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/d。施工人员生活污水经沉淀处理后回用于施工场地洒水降尘等，</w:t>
            </w:r>
            <w:r>
              <w:rPr>
                <w:rFonts w:hint="default" w:ascii="Times New Roman" w:hAnsi="Times New Roman" w:eastAsia="宋体" w:cs="Times New Roman"/>
                <w:b w:val="0"/>
                <w:bCs w:val="0"/>
                <w:color w:val="auto"/>
                <w:sz w:val="24"/>
                <w:szCs w:val="24"/>
                <w:highlight w:val="none"/>
                <w:lang w:eastAsia="zh-CN"/>
              </w:rPr>
              <w:t>不外排</w:t>
            </w:r>
            <w:r>
              <w:rPr>
                <w:rFonts w:hint="default" w:ascii="Times New Roman" w:hAnsi="Times New Roman" w:eastAsia="宋体" w:cs="Times New Roman"/>
                <w:b w:val="0"/>
                <w:bCs w:val="0"/>
                <w:color w:val="auto"/>
                <w:sz w:val="24"/>
                <w:szCs w:val="24"/>
                <w:highlight w:val="none"/>
                <w:lang w:val="en-US" w:eastAsia="zh-CN"/>
              </w:rPr>
              <w:t>。</w:t>
            </w:r>
          </w:p>
          <w:p w14:paraId="524F7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rPr>
              <w:t>施工区</w:t>
            </w:r>
            <w:r>
              <w:rPr>
                <w:rFonts w:hint="default" w:ascii="Times New Roman" w:hAnsi="Times New Roman" w:cs="Times New Roman"/>
                <w:b w:val="0"/>
                <w:bCs w:val="0"/>
                <w:color w:val="auto"/>
                <w:sz w:val="24"/>
                <w:szCs w:val="24"/>
                <w:highlight w:val="none"/>
                <w:lang w:val="en-US" w:eastAsia="zh-CN"/>
              </w:rPr>
              <w:t>拟</w:t>
            </w:r>
            <w:r>
              <w:rPr>
                <w:rFonts w:hint="default" w:ascii="Times New Roman" w:hAnsi="Times New Roman" w:eastAsia="宋体" w:cs="Times New Roman"/>
                <w:b w:val="0"/>
                <w:bCs w:val="0"/>
                <w:color w:val="auto"/>
                <w:sz w:val="24"/>
                <w:szCs w:val="24"/>
                <w:highlight w:val="none"/>
              </w:rPr>
              <w:t>设置1个</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的临时沉淀池，临时沉淀池沉淀时间</w:t>
            </w:r>
            <w:r>
              <w:rPr>
                <w:rFonts w:hint="default" w:ascii="Times New Roman" w:hAnsi="Times New Roman" w:eastAsia="宋体" w:cs="Times New Roman"/>
                <w:b w:val="0"/>
                <w:bCs w:val="0"/>
                <w:color w:val="auto"/>
                <w:sz w:val="24"/>
                <w:szCs w:val="24"/>
                <w:highlight w:val="none"/>
                <w:lang w:eastAsia="zh-CN"/>
              </w:rPr>
              <w:t>为</w:t>
            </w:r>
            <w:r>
              <w:rPr>
                <w:rFonts w:hint="default" w:ascii="Times New Roman" w:hAnsi="Times New Roman" w:eastAsia="宋体" w:cs="Times New Roman"/>
                <w:b w:val="0"/>
                <w:bCs w:val="0"/>
                <w:color w:val="auto"/>
                <w:sz w:val="24"/>
                <w:szCs w:val="24"/>
                <w:highlight w:val="none"/>
              </w:rPr>
              <w:t>48小时，能满足项目施工过程</w:t>
            </w:r>
            <w:r>
              <w:rPr>
                <w:rFonts w:hint="default" w:ascii="Times New Roman" w:hAnsi="Times New Roman" w:eastAsia="宋体" w:cs="Times New Roman"/>
                <w:b w:val="0"/>
                <w:bCs w:val="0"/>
                <w:color w:val="auto"/>
                <w:sz w:val="24"/>
                <w:szCs w:val="24"/>
                <w:highlight w:val="none"/>
                <w:lang w:eastAsia="zh-CN"/>
              </w:rPr>
              <w:t>施工废水、生活污水的收集</w:t>
            </w:r>
            <w:r>
              <w:rPr>
                <w:rFonts w:hint="default" w:ascii="Times New Roman" w:hAnsi="Times New Roman" w:eastAsia="宋体" w:cs="Times New Roman"/>
                <w:b w:val="0"/>
                <w:bCs w:val="0"/>
                <w:color w:val="auto"/>
                <w:sz w:val="24"/>
                <w:szCs w:val="24"/>
                <w:highlight w:val="none"/>
              </w:rPr>
              <w:t>暂存要求</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rPr>
              <w:t>无废水外排，对周边地表水环境影响较小。</w:t>
            </w:r>
          </w:p>
          <w:p w14:paraId="3B213FF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14:paraId="27628F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为减缓施工噪声的影响，本环评提出如下措施：</w:t>
            </w:r>
          </w:p>
          <w:p w14:paraId="680754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选择性能良好且低噪声的施工机械，并注意保养，维持其最低噪声水平。</w:t>
            </w:r>
          </w:p>
          <w:p w14:paraId="275C60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rPr>
              <w:t>合理布局施工现场，尽量将施工机械远离关心点布置。</w:t>
            </w:r>
          </w:p>
          <w:p w14:paraId="7F675C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fldChar w:fldCharType="begin"/>
            </w:r>
            <w:r>
              <w:rPr>
                <w:rFonts w:hint="default" w:ascii="Times New Roman" w:hAnsi="Times New Roman" w:eastAsia="宋体" w:cs="Times New Roman"/>
                <w:color w:val="auto"/>
                <w:sz w:val="24"/>
                <w:szCs w:val="24"/>
                <w:highlight w:val="none"/>
                <w:lang w:eastAsia="zh-CN"/>
              </w:rPr>
              <w:instrText xml:space="preserve"> = 3 \* GB3 </w:instrText>
            </w:r>
            <w:r>
              <w:rPr>
                <w:rFonts w:hint="default" w:ascii="Times New Roman" w:hAnsi="Times New Roman" w:eastAsia="宋体" w:cs="Times New Roman"/>
                <w:color w:val="auto"/>
                <w:sz w:val="24"/>
                <w:szCs w:val="24"/>
                <w:highlight w:val="none"/>
                <w:lang w:eastAsia="zh-CN"/>
              </w:rPr>
              <w:fldChar w:fldCharType="separate"/>
            </w:r>
            <w:r>
              <w:rPr>
                <w:rFonts w:hint="default"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eastAsia="zh-CN"/>
              </w:rPr>
              <w:fldChar w:fldCharType="end"/>
            </w:r>
            <w:r>
              <w:rPr>
                <w:rFonts w:hint="default" w:ascii="Times New Roman" w:hAnsi="Times New Roman" w:eastAsia="宋体" w:cs="Times New Roman"/>
                <w:color w:val="auto"/>
                <w:sz w:val="24"/>
                <w:szCs w:val="24"/>
                <w:highlight w:val="none"/>
                <w:lang w:eastAsia="zh-CN"/>
              </w:rPr>
              <w:t>合理安排施工时间，禁止夜间施工</w:t>
            </w:r>
            <w:r>
              <w:rPr>
                <w:rFonts w:hint="default" w:ascii="Times New Roman" w:hAnsi="Times New Roman" w:eastAsia="宋体" w:cs="Times New Roman"/>
                <w:color w:val="auto"/>
                <w:sz w:val="24"/>
                <w:szCs w:val="24"/>
                <w:highlight w:val="none"/>
                <w:lang w:val="zh-CN" w:eastAsia="zh-CN"/>
              </w:rPr>
              <w:t>，如</w:t>
            </w:r>
            <w:r>
              <w:rPr>
                <w:rFonts w:hint="eastAsia" w:cs="Times New Roman"/>
                <w:color w:val="auto"/>
                <w:sz w:val="24"/>
                <w:szCs w:val="24"/>
                <w:highlight w:val="none"/>
                <w:lang w:val="zh-CN" w:eastAsia="zh-CN"/>
              </w:rPr>
              <w:t>确需</w:t>
            </w:r>
            <w:r>
              <w:rPr>
                <w:rFonts w:hint="default" w:ascii="Times New Roman" w:hAnsi="Times New Roman" w:eastAsia="宋体" w:cs="Times New Roman"/>
                <w:color w:val="auto"/>
                <w:sz w:val="24"/>
                <w:szCs w:val="24"/>
                <w:highlight w:val="none"/>
                <w:lang w:val="zh-CN" w:eastAsia="zh-CN"/>
              </w:rPr>
              <w:t>夜间</w:t>
            </w:r>
            <w:r>
              <w:rPr>
                <w:rFonts w:hint="default" w:ascii="Times New Roman" w:hAnsi="Times New Roman" w:eastAsia="宋体" w:cs="Times New Roman"/>
                <w:color w:val="auto"/>
                <w:sz w:val="24"/>
                <w:szCs w:val="24"/>
                <w:highlight w:val="none"/>
                <w:lang w:val="zh-CN"/>
              </w:rPr>
              <w:t>施工的，报请相关管理部门和环境保护部门批准，在夜间施工前将施工时间、天数告知附近村民</w:t>
            </w:r>
            <w:r>
              <w:rPr>
                <w:rFonts w:hint="default" w:ascii="Times New Roman" w:hAnsi="Times New Roman" w:cs="Times New Roman"/>
                <w:color w:val="auto"/>
                <w:sz w:val="24"/>
                <w:szCs w:val="24"/>
                <w:highlight w:val="none"/>
                <w:lang w:val="zh-CN"/>
              </w:rPr>
              <w:t>。</w:t>
            </w:r>
          </w:p>
          <w:p w14:paraId="6BF7400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highlight w:val="none"/>
              </w:rPr>
              <w:t>通过以上措施的实施，可以最大限度的减小施工期机械噪声对环境的影响。项目施工期较短，施工期噪声的影响符合</w:t>
            </w:r>
            <w:r>
              <w:rPr>
                <w:rFonts w:hint="default" w:ascii="Times New Roman" w:hAnsi="Times New Roman" w:cs="Times New Roman"/>
                <w:color w:val="auto"/>
                <w:sz w:val="24"/>
                <w:highlight w:val="none"/>
                <w:lang w:bidi="ar"/>
              </w:rPr>
              <w:t>《建筑施工场界环境噪声排放标准》（GB 12523－2011）要求</w:t>
            </w:r>
            <w:r>
              <w:rPr>
                <w:rFonts w:hint="default" w:ascii="Times New Roman" w:hAnsi="Times New Roman" w:cs="Times New Roman"/>
                <w:color w:val="auto"/>
                <w:sz w:val="24"/>
                <w:highlight w:val="none"/>
              </w:rPr>
              <w:t>。</w:t>
            </w:r>
          </w:p>
          <w:p w14:paraId="467530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both"/>
              <w:textAlignment w:val="auto"/>
              <w:outlineLvl w:val="9"/>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4、固体废物</w:t>
            </w:r>
          </w:p>
          <w:p w14:paraId="216E68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施工期的固体废物主要有建筑垃圾、土石方</w:t>
            </w:r>
            <w:r>
              <w:rPr>
                <w:rFonts w:hint="default" w:ascii="Times New Roman" w:hAnsi="Times New Roman" w:eastAsia="宋体" w:cs="Times New Roman"/>
                <w:color w:val="auto"/>
                <w:sz w:val="24"/>
                <w:szCs w:val="24"/>
                <w:highlight w:val="none"/>
                <w:lang w:eastAsia="zh-CN"/>
              </w:rPr>
              <w:t>及</w:t>
            </w:r>
            <w:r>
              <w:rPr>
                <w:rFonts w:hint="default" w:ascii="Times New Roman" w:hAnsi="Times New Roman" w:eastAsia="宋体" w:cs="Times New Roman"/>
                <w:color w:val="auto"/>
                <w:sz w:val="24"/>
                <w:szCs w:val="24"/>
                <w:highlight w:val="none"/>
              </w:rPr>
              <w:t>生活垃圾。</w:t>
            </w:r>
          </w:p>
          <w:p w14:paraId="433C40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sz w:val="24"/>
                <w:highlight w:val="none"/>
                <w:lang w:val="zh-CN"/>
              </w:rPr>
              <w:t>根据</w:t>
            </w:r>
            <w:r>
              <w:rPr>
                <w:rFonts w:hint="default" w:ascii="Times New Roman" w:hAnsi="Times New Roman" w:eastAsia="宋体" w:cs="Times New Roman"/>
                <w:color w:val="auto"/>
                <w:sz w:val="24"/>
                <w:highlight w:val="none"/>
                <w:lang w:val="en-US" w:eastAsia="zh-CN"/>
              </w:rPr>
              <w:t>建设单位提供的资料，</w:t>
            </w:r>
            <w:r>
              <w:rPr>
                <w:rFonts w:hint="default" w:ascii="Times New Roman" w:hAnsi="Times New Roman" w:eastAsia="宋体" w:cs="Times New Roman"/>
                <w:color w:val="auto"/>
                <w:sz w:val="24"/>
                <w:highlight w:val="none"/>
                <w:lang w:val="zh-CN"/>
              </w:rPr>
              <w:t>项目</w:t>
            </w:r>
            <w:r>
              <w:rPr>
                <w:rFonts w:hint="default" w:ascii="Times New Roman" w:hAnsi="Times New Roman" w:eastAsia="宋体" w:cs="Times New Roman"/>
                <w:color w:val="auto"/>
                <w:sz w:val="24"/>
                <w:highlight w:val="none"/>
                <w:lang w:val="en-US" w:eastAsia="zh-CN"/>
              </w:rPr>
              <w:t>环保工程涉及的</w:t>
            </w:r>
            <w:r>
              <w:rPr>
                <w:rFonts w:hint="default" w:ascii="Times New Roman" w:hAnsi="Times New Roman" w:eastAsia="宋体" w:cs="Times New Roman"/>
                <w:color w:val="auto"/>
                <w:sz w:val="24"/>
                <w:highlight w:val="none"/>
                <w:lang w:val="zh-CN"/>
              </w:rPr>
              <w:t>土石方开挖量约</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zh-CN"/>
              </w:rPr>
              <w:t>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lang w:val="en-US" w:eastAsia="zh-CN"/>
              </w:rPr>
              <w:t>用于办公楼外地面填筑，</w:t>
            </w:r>
            <w:r>
              <w:rPr>
                <w:rFonts w:hint="default" w:ascii="Times New Roman" w:hAnsi="Times New Roman" w:eastAsia="宋体" w:cs="Times New Roman"/>
                <w:color w:val="auto"/>
                <w:sz w:val="24"/>
                <w:highlight w:val="none"/>
                <w:lang w:val="zh-CN"/>
              </w:rPr>
              <w:t>土石方可完全内部平衡，无弃土产生。</w:t>
            </w:r>
            <w:r>
              <w:rPr>
                <w:rFonts w:hint="default" w:ascii="Times New Roman" w:hAnsi="Times New Roman" w:eastAsia="宋体" w:cs="Times New Roman"/>
                <w:color w:val="auto"/>
                <w:sz w:val="24"/>
                <w:szCs w:val="24"/>
                <w:highlight w:val="none"/>
              </w:rPr>
              <w:t>施工场地内不设弃渣场，需回填利用的土石方</w:t>
            </w:r>
            <w:r>
              <w:rPr>
                <w:rFonts w:hint="default" w:ascii="Times New Roman" w:hAnsi="Times New Roman" w:eastAsia="宋体" w:cs="Times New Roman"/>
                <w:color w:val="auto"/>
                <w:sz w:val="24"/>
                <w:szCs w:val="24"/>
                <w:highlight w:val="none"/>
                <w:lang w:val="en-US" w:eastAsia="zh-CN"/>
              </w:rPr>
              <w:t>即产即</w:t>
            </w:r>
            <w:r>
              <w:rPr>
                <w:rFonts w:hint="default" w:ascii="Times New Roman" w:hAnsi="Times New Roman" w:eastAsia="宋体" w:cs="Times New Roman"/>
                <w:color w:val="auto"/>
                <w:sz w:val="24"/>
                <w:szCs w:val="24"/>
                <w:highlight w:val="none"/>
              </w:rPr>
              <w:t>填</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对周围环境影响较小。</w:t>
            </w:r>
          </w:p>
          <w:p w14:paraId="54D7943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zh-CN" w:eastAsia="zh-CN"/>
              </w:rPr>
              <w:t>建筑垃圾主要在</w:t>
            </w:r>
            <w:r>
              <w:rPr>
                <w:rFonts w:hint="default" w:ascii="Times New Roman" w:hAnsi="Times New Roman" w:eastAsia="宋体" w:cs="Times New Roman"/>
                <w:color w:val="auto"/>
                <w:sz w:val="24"/>
                <w:highlight w:val="none"/>
                <w:lang w:val="en-US" w:eastAsia="zh-CN"/>
              </w:rPr>
              <w:t>环保工程</w:t>
            </w:r>
            <w:r>
              <w:rPr>
                <w:rFonts w:hint="default" w:ascii="Times New Roman" w:hAnsi="Times New Roman" w:eastAsia="宋体" w:cs="Times New Roman"/>
                <w:b w:val="0"/>
                <w:bCs w:val="0"/>
                <w:color w:val="auto"/>
                <w:sz w:val="24"/>
                <w:szCs w:val="24"/>
                <w:highlight w:val="none"/>
                <w:lang w:val="zh-CN" w:eastAsia="zh-CN"/>
              </w:rPr>
              <w:t>构筑物建造过程中产生</w:t>
            </w:r>
            <w:r>
              <w:rPr>
                <w:rFonts w:hint="default" w:ascii="Times New Roman" w:hAnsi="Times New Roman" w:eastAsia="宋体" w:cs="Times New Roman"/>
                <w:b w:val="0"/>
                <w:bCs w:val="0"/>
                <w:color w:val="auto"/>
                <w:sz w:val="24"/>
                <w:szCs w:val="24"/>
                <w:highlight w:val="none"/>
                <w:lang w:val="en-US" w:eastAsia="zh-CN"/>
              </w:rPr>
              <w:t>，产生量参照《昆明市城市建筑垃圾管理实施办法实施细则》，单位面积建筑废弃物产生量为：钢架结构按每平方米0.02立方，每方按1.51t计；砖混结构按每平方米0.04立方，每方按1.51t计。</w:t>
            </w:r>
            <w:r>
              <w:rPr>
                <w:rFonts w:hint="default" w:ascii="Times New Roman" w:hAnsi="Times New Roman" w:eastAsia="宋体" w:cs="Times New Roman"/>
                <w:b w:val="0"/>
                <w:bCs w:val="0"/>
                <w:color w:val="auto"/>
                <w:sz w:val="24"/>
                <w:szCs w:val="24"/>
                <w:highlight w:val="none"/>
                <w:lang w:val="zh-CN" w:eastAsia="zh-CN"/>
              </w:rPr>
              <w:t>本项目一体化污水处理站</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color w:val="auto"/>
                <w:sz w:val="24"/>
                <w:szCs w:val="24"/>
                <w:lang w:val="en-US" w:eastAsia="zh-CN"/>
              </w:rPr>
              <w:t>暂存池</w:t>
            </w:r>
            <w:r>
              <w:rPr>
                <w:rFonts w:hint="default" w:ascii="Times New Roman" w:hAnsi="Times New Roman" w:cs="Times New Roman"/>
                <w:b w:val="0"/>
                <w:bCs w:val="0"/>
                <w:color w:val="auto"/>
                <w:sz w:val="24"/>
                <w:szCs w:val="24"/>
                <w:highlight w:val="none"/>
                <w:lang w:val="en-US" w:eastAsia="zh-CN"/>
              </w:rPr>
              <w:t>土建</w:t>
            </w:r>
            <w:r>
              <w:rPr>
                <w:rFonts w:hint="default" w:ascii="Times New Roman" w:hAnsi="Times New Roman" w:eastAsia="宋体" w:cs="Times New Roman"/>
                <w:b w:val="0"/>
                <w:bCs w:val="0"/>
                <w:color w:val="auto"/>
                <w:sz w:val="24"/>
                <w:szCs w:val="24"/>
                <w:highlight w:val="none"/>
                <w:lang w:val="en-US" w:eastAsia="zh-CN"/>
              </w:rPr>
              <w:t>建筑面积约为</w:t>
            </w:r>
            <w:r>
              <w:rPr>
                <w:rFonts w:hint="default" w:ascii="Times New Roman" w:hAnsi="Times New Roman"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则建筑垃圾产生量为</w:t>
            </w:r>
            <w:r>
              <w:rPr>
                <w:rFonts w:hint="default" w:ascii="Times New Roman" w:hAnsi="Times New Roman" w:cs="Times New Roman"/>
                <w:b w:val="0"/>
                <w:bCs w:val="0"/>
                <w:color w:val="auto"/>
                <w:sz w:val="24"/>
                <w:szCs w:val="24"/>
                <w:highlight w:val="none"/>
                <w:vertAlign w:val="baseline"/>
                <w:lang w:val="en-US" w:eastAsia="zh-CN"/>
              </w:rPr>
              <w:t>0.4</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，折合重量约为</w:t>
            </w:r>
            <w:r>
              <w:rPr>
                <w:rFonts w:hint="default" w:ascii="Times New Roman" w:hAnsi="Times New Roman" w:cs="Times New Roman"/>
                <w:b w:val="0"/>
                <w:bCs w:val="0"/>
                <w:color w:val="auto"/>
                <w:sz w:val="24"/>
                <w:szCs w:val="24"/>
                <w:highlight w:val="none"/>
                <w:vertAlign w:val="baseline"/>
                <w:lang w:val="en-US" w:eastAsia="zh-CN"/>
              </w:rPr>
              <w:t>0.604</w:t>
            </w:r>
            <w:r>
              <w:rPr>
                <w:rFonts w:hint="default" w:ascii="Times New Roman" w:hAnsi="Times New Roman" w:eastAsia="宋体" w:cs="Times New Roman"/>
                <w:b w:val="0"/>
                <w:bCs w:val="0"/>
                <w:color w:val="auto"/>
                <w:sz w:val="24"/>
                <w:szCs w:val="24"/>
                <w:highlight w:val="none"/>
                <w:vertAlign w:val="baseline"/>
                <w:lang w:val="en-US" w:eastAsia="zh-CN"/>
              </w:rPr>
              <w:t>t。</w:t>
            </w:r>
            <w:r>
              <w:rPr>
                <w:rFonts w:hint="default" w:ascii="Times New Roman" w:hAnsi="Times New Roman" w:eastAsia="宋体" w:cs="Times New Roman"/>
                <w:b w:val="0"/>
                <w:bCs w:val="0"/>
                <w:color w:val="auto"/>
                <w:sz w:val="24"/>
                <w:szCs w:val="24"/>
                <w:highlight w:val="none"/>
                <w:lang w:val="en-US" w:eastAsia="zh-CN"/>
              </w:rPr>
              <w:t>施工过程中产生的废钢筋、金属边角料等属于可回收利用部分，产生量按照30%计算，则产生量为0.181t，统一收集出售给废品回收站回收利用；剩余不可回收利用的废弃砂石、石块等为0.423t，</w:t>
            </w:r>
            <w:r>
              <w:rPr>
                <w:rFonts w:hint="default" w:ascii="Times New Roman" w:hAnsi="Times New Roman" w:eastAsia="宋体" w:cs="Times New Roman"/>
                <w:b w:val="0"/>
                <w:bCs w:val="0"/>
                <w:color w:val="auto"/>
                <w:sz w:val="24"/>
                <w:szCs w:val="24"/>
                <w:highlight w:val="none"/>
              </w:rPr>
              <w:t>统一收集后按照当地住建部门要求清运处置。</w:t>
            </w:r>
          </w:p>
          <w:p w14:paraId="510171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施工期施工人员</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0人，施工人员不在项目区食宿，每人每天生活垃圾产生量按0.2kg计，则施工期生活垃圾产生量为</w:t>
            </w:r>
            <w:r>
              <w:rPr>
                <w:rFonts w:hint="default" w:ascii="Times New Roman" w:hAnsi="Times New Roman" w:eastAsia="宋体" w:cs="Times New Roman"/>
                <w:color w:val="auto"/>
                <w:sz w:val="24"/>
                <w:highlight w:val="none"/>
                <w:lang w:val="en-US" w:eastAsia="zh-CN"/>
              </w:rPr>
              <w:t>2kg/d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施工人员</w:t>
            </w:r>
            <w:r>
              <w:rPr>
                <w:rFonts w:hint="default" w:ascii="Times New Roman" w:hAnsi="Times New Roman" w:eastAsia="宋体" w:cs="Times New Roman"/>
                <w:color w:val="auto"/>
                <w:sz w:val="24"/>
                <w:highlight w:val="none"/>
                <w:lang w:eastAsia="zh-CN"/>
              </w:rPr>
              <w:t>生活垃圾统一集中收集后，委托</w:t>
            </w:r>
            <w:r>
              <w:rPr>
                <w:rFonts w:hint="default" w:ascii="Times New Roman" w:hAnsi="Times New Roman" w:eastAsia="宋体" w:cs="Times New Roman"/>
                <w:color w:val="auto"/>
                <w:sz w:val="24"/>
                <w:highlight w:val="none"/>
              </w:rPr>
              <w:t>当地环卫部门</w:t>
            </w:r>
            <w:r>
              <w:rPr>
                <w:rFonts w:hint="default" w:ascii="Times New Roman" w:hAnsi="Times New Roman" w:eastAsia="宋体" w:cs="Times New Roman"/>
                <w:color w:val="auto"/>
                <w:sz w:val="24"/>
                <w:highlight w:val="none"/>
                <w:lang w:eastAsia="zh-CN"/>
              </w:rPr>
              <w:t>定期</w:t>
            </w:r>
            <w:r>
              <w:rPr>
                <w:rFonts w:hint="default" w:ascii="Times New Roman" w:hAnsi="Times New Roman" w:eastAsia="宋体" w:cs="Times New Roman"/>
                <w:color w:val="auto"/>
                <w:sz w:val="24"/>
                <w:highlight w:val="none"/>
              </w:rPr>
              <w:t>清运处置。</w:t>
            </w:r>
          </w:p>
          <w:p w14:paraId="56848B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eastAsia="zh-CN"/>
              </w:rPr>
              <w:t>综上分析，</w:t>
            </w:r>
            <w:r>
              <w:rPr>
                <w:rFonts w:hint="default" w:ascii="Times New Roman" w:hAnsi="Times New Roman" w:eastAsia="宋体" w:cs="Times New Roman"/>
                <w:color w:val="auto"/>
                <w:sz w:val="24"/>
                <w:szCs w:val="24"/>
                <w:highlight w:val="none"/>
              </w:rPr>
              <w:t>施工期固体废弃物产生量较少，处置方式合理、可行，去向明确，处置率达到100%，对周围环境影响不大</w:t>
            </w:r>
            <w:r>
              <w:rPr>
                <w:rFonts w:hint="default" w:ascii="Times New Roman" w:hAnsi="Times New Roman" w:eastAsia="宋体" w:cs="Times New Roman"/>
                <w:color w:val="auto"/>
                <w:spacing w:val="2"/>
                <w:sz w:val="24"/>
                <w:szCs w:val="24"/>
                <w:highlight w:val="none"/>
              </w:rPr>
              <w:t>。</w:t>
            </w:r>
          </w:p>
        </w:tc>
      </w:tr>
      <w:tr w14:paraId="4F11D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47" w:hRule="atLeast"/>
          <w:jc w:val="center"/>
        </w:trPr>
        <w:tc>
          <w:tcPr>
            <w:tcW w:w="210" w:type="dxa"/>
            <w:noWrap w:val="0"/>
            <w:tcMar>
              <w:left w:w="28" w:type="dxa"/>
              <w:right w:w="28" w:type="dxa"/>
            </w:tcMar>
            <w:vAlign w:val="center"/>
          </w:tcPr>
          <w:p w14:paraId="0E29F4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285C82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118407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0BE579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743927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14EE68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771" w:type="dxa"/>
            <w:noWrap w:val="0"/>
            <w:vAlign w:val="center"/>
          </w:tcPr>
          <w:p w14:paraId="1321F937">
            <w:pPr>
              <w:pStyle w:val="16"/>
              <w:keepNext w:val="0"/>
              <w:keepLines w:val="0"/>
              <w:suppressLineNumbers w:val="0"/>
              <w:adjustRightInd w:val="0"/>
              <w:snapToGrid w:val="0"/>
              <w:spacing w:before="0" w:beforeAutospacing="0" w:afterAutospacing="0" w:line="360" w:lineRule="auto"/>
              <w:ind w:right="0" w:firstLine="0" w:firstLineChars="0"/>
              <w:rPr>
                <w:rFonts w:hint="default" w:ascii="Times New Roman" w:hAnsi="Times New Roman" w:cs="Times New Roman"/>
                <w:b/>
                <w:bCs/>
                <w:color w:val="auto"/>
                <w:sz w:val="24"/>
                <w:szCs w:val="28"/>
              </w:rPr>
            </w:pPr>
            <w:r>
              <w:rPr>
                <w:rFonts w:hint="default" w:ascii="Times New Roman" w:hAnsi="Times New Roman" w:cs="Times New Roman"/>
                <w:b/>
                <w:bCs/>
                <w:color w:val="auto"/>
                <w:sz w:val="24"/>
                <w:szCs w:val="28"/>
              </w:rPr>
              <w:t>一、环境空气影响分析</w:t>
            </w:r>
          </w:p>
          <w:p w14:paraId="4469A1F6">
            <w:pPr>
              <w:pStyle w:val="16"/>
              <w:keepNext w:val="0"/>
              <w:keepLines w:val="0"/>
              <w:suppressLineNumbers w:val="0"/>
              <w:adjustRightInd w:val="0"/>
              <w:snapToGrid w:val="0"/>
              <w:spacing w:before="0" w:beforeAutospacing="0" w:afterAutospacing="0" w:line="360" w:lineRule="auto"/>
              <w:ind w:right="0" w:firstLine="0" w:firstLineChars="0"/>
              <w:rPr>
                <w:rFonts w:hint="default" w:ascii="Times New Roman" w:hAnsi="Times New Roman" w:cs="Times New Roman"/>
                <w:b/>
                <w:bCs/>
                <w:color w:val="auto"/>
                <w:sz w:val="24"/>
                <w:szCs w:val="28"/>
              </w:rPr>
            </w:pPr>
            <w:r>
              <w:rPr>
                <w:rFonts w:hint="default" w:ascii="Times New Roman" w:hAnsi="Times New Roman" w:cs="Times New Roman"/>
                <w:b/>
                <w:bCs/>
                <w:color w:val="auto"/>
                <w:sz w:val="24"/>
                <w:szCs w:val="28"/>
              </w:rPr>
              <w:t>（1）废气污染源分析</w:t>
            </w:r>
          </w:p>
          <w:p w14:paraId="399BE2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项目生产过程中产生的废气主要为</w:t>
            </w:r>
            <w:r>
              <w:rPr>
                <w:rFonts w:hint="eastAsia" w:cs="Times New Roman"/>
                <w:color w:val="auto"/>
                <w:sz w:val="24"/>
                <w:highlight w:val="none"/>
                <w:lang w:val="en-US" w:eastAsia="zh-CN"/>
              </w:rPr>
              <w:t>调胶</w:t>
            </w:r>
            <w:r>
              <w:rPr>
                <w:rFonts w:hint="default" w:ascii="Times New Roman" w:hAnsi="Times New Roman" w:eastAsia="宋体" w:cs="Times New Roman"/>
                <w:color w:val="auto"/>
                <w:sz w:val="24"/>
                <w:highlight w:val="none"/>
              </w:rPr>
              <w:t>、浸渍、</w:t>
            </w:r>
            <w:r>
              <w:rPr>
                <w:rFonts w:hint="eastAsia" w:cs="Times New Roman"/>
                <w:color w:val="auto"/>
                <w:sz w:val="24"/>
                <w:highlight w:val="none"/>
                <w:lang w:val="en-US" w:eastAsia="zh-CN"/>
              </w:rPr>
              <w:t>烘干</w:t>
            </w:r>
            <w:r>
              <w:rPr>
                <w:rFonts w:hint="default" w:ascii="Times New Roman" w:hAnsi="Times New Roman" w:eastAsia="宋体" w:cs="Times New Roman"/>
                <w:color w:val="auto"/>
                <w:sz w:val="24"/>
                <w:highlight w:val="none"/>
              </w:rPr>
              <w:t>废气、天然气燃烧废气。</w:t>
            </w:r>
          </w:p>
          <w:p w14:paraId="308FB4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调胶过程中产生的废气主要为甲醛和VOCs，外购胶水通过密闭管道注入调胶罐中，调胶过程为全密闭，调配好的三聚氰胺甲醛树脂胶以及调胶过程中产生的甲醛和VOCs通过密闭管道同时注入密闭储胶罐中储存，备用于生产；储胶罐中的三聚氰胺甲醛树脂胶以及挥发的甲醛和VOCs通过密闭管道注到卧式浸渍烘干一体化设备进口（浸渍工段）的浸胶槽中，浸胶槽内装有电导热棒，通电对浸胶槽内的胶水进行加热，浸胶工段不属于密闭空间，因此浸胶工段上方设置负压集气罩，收集调胶、浸渍工段产生的甲醛和VOCs；烘干工段位于卧式浸渍烘干一体化设备中段，在全密闭空间内进行，烘干过程产生的废气与浸胶工段负压集气罩收集的废气一同收集至</w:t>
            </w:r>
            <w:r>
              <w:rPr>
                <w:rFonts w:hint="default" w:ascii="Times New Roman" w:hAnsi="Times New Roman" w:cs="Times New Roman"/>
                <w:color w:val="auto"/>
                <w:kern w:val="2"/>
                <w:sz w:val="24"/>
                <w:szCs w:val="24"/>
                <w:lang w:val="en-US"/>
              </w:rPr>
              <w:t>UV光解+三级活性炭吸附装置处理后通过一根15m高排气简</w:t>
            </w:r>
            <w:r>
              <w:rPr>
                <w:rFonts w:hint="eastAsia" w:ascii="Times New Roman" w:hAnsi="Times New Roman" w:cs="Times New Roman"/>
                <w:color w:val="auto"/>
                <w:kern w:val="2"/>
                <w:sz w:val="24"/>
                <w:szCs w:val="24"/>
                <w:lang w:val="en-US" w:eastAsia="zh-CN"/>
              </w:rPr>
              <w:t>（DA001）</w:t>
            </w:r>
            <w:r>
              <w:rPr>
                <w:rFonts w:hint="default" w:ascii="Times New Roman" w:hAnsi="Times New Roman" w:cs="Times New Roman"/>
                <w:color w:val="auto"/>
                <w:kern w:val="2"/>
                <w:sz w:val="24"/>
                <w:szCs w:val="24"/>
                <w:lang w:val="en-US"/>
              </w:rPr>
              <w:t>排放</w:t>
            </w:r>
            <w:r>
              <w:rPr>
                <w:rFonts w:hint="eastAsia" w:cs="Times New Roman"/>
                <w:color w:val="auto"/>
                <w:kern w:val="2"/>
                <w:sz w:val="24"/>
                <w:szCs w:val="24"/>
                <w:lang w:val="en-US" w:eastAsia="zh-CN"/>
              </w:rPr>
              <w:t>。</w:t>
            </w:r>
          </w:p>
          <w:p w14:paraId="57EC6A88">
            <w:pPr>
              <w:pStyle w:val="38"/>
              <w:keepNext w:val="0"/>
              <w:keepLines w:val="0"/>
              <w:numPr>
                <w:ilvl w:val="0"/>
                <w:numId w:val="9"/>
              </w:numPr>
              <w:suppressLineNumbers w:val="0"/>
              <w:spacing w:before="0" w:beforeAutospacing="0" w:after="0" w:afterAutospacing="0"/>
              <w:ind w:left="0" w:right="0" w:firstLineChars="200"/>
              <w:jc w:val="both"/>
              <w:rPr>
                <w:rFonts w:hint="default" w:ascii="Times New Roman" w:hAnsi="Times New Roman" w:cs="Times New Roman"/>
                <w:b/>
                <w:bCs/>
                <w:color w:val="auto"/>
                <w:sz w:val="24"/>
                <w:szCs w:val="24"/>
              </w:rPr>
            </w:pPr>
            <w:r>
              <w:rPr>
                <w:rFonts w:hint="eastAsia" w:hAnsi="Times New Roman" w:cs="Times New Roman"/>
                <w:b/>
                <w:bCs/>
                <w:color w:val="auto"/>
                <w:sz w:val="24"/>
                <w:szCs w:val="24"/>
                <w:lang w:val="en-US" w:eastAsia="zh-CN"/>
              </w:rPr>
              <w:t>调胶</w:t>
            </w:r>
            <w:r>
              <w:rPr>
                <w:rFonts w:hint="default" w:ascii="Times New Roman" w:hAnsi="Times New Roman" w:cs="Times New Roman"/>
                <w:b/>
                <w:bCs/>
                <w:color w:val="auto"/>
                <w:sz w:val="24"/>
                <w:szCs w:val="24"/>
              </w:rPr>
              <w:t>、浸渍、干燥废气</w:t>
            </w:r>
            <w:r>
              <w:rPr>
                <w:rFonts w:hint="eastAsia" w:hAnsi="Times New Roman" w:cs="Times New Roman"/>
                <w:b/>
                <w:bCs/>
                <w:color w:val="auto"/>
                <w:sz w:val="24"/>
                <w:szCs w:val="24"/>
                <w:lang w:eastAsia="zh-CN"/>
              </w:rPr>
              <w:t>（</w:t>
            </w:r>
            <w:r>
              <w:rPr>
                <w:rFonts w:hint="eastAsia" w:hAnsi="Times New Roman" w:cs="Times New Roman"/>
                <w:b/>
                <w:bCs/>
                <w:color w:val="auto"/>
                <w:sz w:val="24"/>
                <w:szCs w:val="24"/>
                <w:lang w:val="en-US" w:eastAsia="zh-CN"/>
              </w:rPr>
              <w:t>DA001）</w:t>
            </w:r>
          </w:p>
          <w:p w14:paraId="25AC2A98">
            <w:pPr>
              <w:pStyle w:val="38"/>
              <w:keepNext w:val="0"/>
              <w:keepLines w:val="0"/>
              <w:suppressLineNumbers w:val="0"/>
              <w:spacing w:before="0" w:beforeAutospacing="0" w:after="0" w:afterAutospacing="0"/>
              <w:ind w:left="0" w:right="0" w:firstLine="422" w:firstLineChars="200"/>
              <w:rPr>
                <w:rFonts w:hint="default" w:ascii="Times New Roman" w:hAnsi="Times New Roman" w:cs="Times New Roman"/>
                <w:color w:val="auto"/>
              </w:rPr>
            </w:pPr>
            <w:r>
              <w:rPr>
                <w:rFonts w:hint="default" w:ascii="Times New Roman" w:hAnsi="Times New Roman" w:cs="Times New Roman"/>
                <w:b/>
                <w:bCs/>
                <w:color w:val="auto"/>
                <w:sz w:val="21"/>
                <w:szCs w:val="21"/>
              </w:rPr>
              <w:t>表4-1 搅拌、浸渍、干燥废气分析表</w:t>
            </w:r>
          </w:p>
          <w:tbl>
            <w:tblPr>
              <w:tblStyle w:val="31"/>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689"/>
              <w:gridCol w:w="1469"/>
              <w:gridCol w:w="1470"/>
              <w:gridCol w:w="1722"/>
              <w:gridCol w:w="1722"/>
            </w:tblGrid>
            <w:tr w14:paraId="1C86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79" w:type="dxa"/>
                  <w:gridSpan w:val="6"/>
                  <w:vAlign w:val="center"/>
                </w:tcPr>
                <w:p w14:paraId="5CC26D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eastAsia" w:cs="Times New Roman"/>
                      <w:b/>
                      <w:bCs/>
                      <w:color w:val="auto"/>
                      <w:szCs w:val="21"/>
                      <w:lang w:val="en-US" w:eastAsia="zh-CN"/>
                    </w:rPr>
                    <w:t>调胶</w:t>
                  </w:r>
                  <w:r>
                    <w:rPr>
                      <w:rFonts w:hint="default" w:ascii="Times New Roman" w:hAnsi="Times New Roman" w:cs="Times New Roman"/>
                      <w:b/>
                      <w:bCs/>
                      <w:color w:val="auto"/>
                      <w:szCs w:val="21"/>
                    </w:rPr>
                    <w:t>、浸渍、</w:t>
                  </w:r>
                  <w:r>
                    <w:rPr>
                      <w:rFonts w:hint="eastAsia" w:cs="Times New Roman"/>
                      <w:b/>
                      <w:bCs/>
                      <w:color w:val="auto"/>
                      <w:szCs w:val="21"/>
                      <w:lang w:val="en-US" w:eastAsia="zh-CN"/>
                    </w:rPr>
                    <w:t>烘干</w:t>
                  </w:r>
                  <w:r>
                    <w:rPr>
                      <w:rFonts w:hint="default" w:ascii="Times New Roman" w:hAnsi="Times New Roman" w:cs="Times New Roman"/>
                      <w:b/>
                      <w:bCs/>
                      <w:color w:val="auto"/>
                      <w:szCs w:val="21"/>
                    </w:rPr>
                    <w:t>废气产排排放情况</w:t>
                  </w:r>
                </w:p>
              </w:tc>
            </w:tr>
            <w:tr w14:paraId="06BE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6" w:type="dxa"/>
                  <w:gridSpan w:val="2"/>
                  <w:vAlign w:val="center"/>
                </w:tcPr>
                <w:p w14:paraId="05C53F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产污排污环节</w:t>
                  </w:r>
                </w:p>
              </w:tc>
              <w:tc>
                <w:tcPr>
                  <w:tcW w:w="6383" w:type="dxa"/>
                  <w:gridSpan w:val="4"/>
                  <w:vAlign w:val="center"/>
                </w:tcPr>
                <w:p w14:paraId="1A94006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搅拌、浸渍、干燥废气</w:t>
                  </w:r>
                </w:p>
              </w:tc>
            </w:tr>
            <w:tr w14:paraId="3EC6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2698E5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污染物种类</w:t>
                  </w:r>
                </w:p>
              </w:tc>
              <w:tc>
                <w:tcPr>
                  <w:tcW w:w="1469" w:type="dxa"/>
                  <w:vAlign w:val="center"/>
                </w:tcPr>
                <w:p w14:paraId="6A8F7759">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甲醛</w:t>
                  </w:r>
                </w:p>
              </w:tc>
              <w:tc>
                <w:tcPr>
                  <w:tcW w:w="1470" w:type="dxa"/>
                  <w:vAlign w:val="center"/>
                </w:tcPr>
                <w:p w14:paraId="787599AD">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bCs/>
                      <w:color w:val="auto"/>
                      <w:spacing w:val="-10"/>
                      <w:w w:val="100"/>
                      <w:kern w:val="2"/>
                      <w:szCs w:val="21"/>
                      <w:lang w:val="en-US" w:eastAsia="zh-CN"/>
                    </w:rPr>
                  </w:pPr>
                  <w:r>
                    <w:rPr>
                      <w:rFonts w:hint="eastAsia" w:ascii="Times New Roman" w:hAnsi="Times New Roman" w:cs="Times New Roman"/>
                      <w:bCs/>
                      <w:color w:val="auto"/>
                      <w:spacing w:val="-10"/>
                      <w:w w:val="100"/>
                      <w:kern w:val="2"/>
                      <w:szCs w:val="21"/>
                      <w:lang w:val="en-US" w:eastAsia="zh-CN"/>
                    </w:rPr>
                    <w:t>VOCs</w:t>
                  </w:r>
                </w:p>
              </w:tc>
              <w:tc>
                <w:tcPr>
                  <w:tcW w:w="1722" w:type="dxa"/>
                  <w:vAlign w:val="center"/>
                </w:tcPr>
                <w:p w14:paraId="3A585442">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甲醛</w:t>
                  </w:r>
                </w:p>
              </w:tc>
              <w:tc>
                <w:tcPr>
                  <w:tcW w:w="1722" w:type="dxa"/>
                  <w:vAlign w:val="center"/>
                </w:tcPr>
                <w:p w14:paraId="478A7613">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eastAsia" w:ascii="Times New Roman" w:hAnsi="Times New Roman" w:cs="Times New Roman"/>
                      <w:bCs/>
                      <w:color w:val="auto"/>
                      <w:spacing w:val="-10"/>
                      <w:w w:val="100"/>
                      <w:kern w:val="2"/>
                      <w:szCs w:val="21"/>
                      <w:lang w:val="en-US" w:eastAsia="zh-CN"/>
                    </w:rPr>
                    <w:t>VOCs</w:t>
                  </w:r>
                </w:p>
              </w:tc>
            </w:tr>
            <w:tr w14:paraId="45E6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6F5DEB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污染物产生量（t/a）</w:t>
                  </w:r>
                </w:p>
              </w:tc>
              <w:tc>
                <w:tcPr>
                  <w:tcW w:w="1469" w:type="dxa"/>
                  <w:vAlign w:val="center"/>
                </w:tcPr>
                <w:p w14:paraId="24A875A7">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default" w:ascii="Times New Roman" w:hAnsi="Times New Roman" w:cs="Times New Roman"/>
                      <w:color w:val="auto"/>
                      <w:w w:val="100"/>
                      <w:kern w:val="2"/>
                      <w:szCs w:val="21"/>
                    </w:rPr>
                    <w:t>0.8</w:t>
                  </w:r>
                  <w:r>
                    <w:rPr>
                      <w:rFonts w:hint="eastAsia" w:ascii="Times New Roman" w:hAnsi="Times New Roman" w:cs="Times New Roman"/>
                      <w:color w:val="auto"/>
                      <w:w w:val="100"/>
                      <w:kern w:val="2"/>
                      <w:szCs w:val="21"/>
                      <w:lang w:val="en-US" w:eastAsia="zh-CN"/>
                    </w:rPr>
                    <w:t>51</w:t>
                  </w:r>
                </w:p>
              </w:tc>
              <w:tc>
                <w:tcPr>
                  <w:tcW w:w="1470" w:type="dxa"/>
                  <w:vAlign w:val="center"/>
                </w:tcPr>
                <w:p w14:paraId="034F54EA">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9.923</w:t>
                  </w:r>
                </w:p>
              </w:tc>
              <w:tc>
                <w:tcPr>
                  <w:tcW w:w="1722" w:type="dxa"/>
                  <w:vAlign w:val="center"/>
                </w:tcPr>
                <w:p w14:paraId="43559A46">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0.0891</w:t>
                  </w:r>
                </w:p>
              </w:tc>
              <w:tc>
                <w:tcPr>
                  <w:tcW w:w="1722" w:type="dxa"/>
                  <w:vAlign w:val="center"/>
                </w:tcPr>
                <w:p w14:paraId="76E24BC7">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default" w:ascii="Times New Roman" w:hAnsi="Times New Roman" w:cs="Times New Roman"/>
                      <w:color w:val="auto"/>
                      <w:w w:val="100"/>
                      <w:kern w:val="2"/>
                      <w:szCs w:val="21"/>
                    </w:rPr>
                    <w:t>0.</w:t>
                  </w:r>
                  <w:r>
                    <w:rPr>
                      <w:rFonts w:hint="eastAsia" w:ascii="Times New Roman" w:hAnsi="Times New Roman" w:cs="Times New Roman"/>
                      <w:color w:val="auto"/>
                      <w:w w:val="100"/>
                      <w:kern w:val="2"/>
                      <w:szCs w:val="21"/>
                      <w:lang w:val="en-US" w:eastAsia="zh-CN"/>
                    </w:rPr>
                    <w:t>992</w:t>
                  </w:r>
                </w:p>
              </w:tc>
            </w:tr>
            <w:tr w14:paraId="5980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1F2A9D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污染物产生浓度（mg/m</w:t>
                  </w:r>
                  <w:r>
                    <w:rPr>
                      <w:rFonts w:hint="default" w:ascii="Times New Roman" w:hAnsi="Times New Roman" w:cs="Times New Roman"/>
                      <w:b/>
                      <w:color w:val="auto"/>
                      <w:spacing w:val="-10"/>
                      <w:szCs w:val="21"/>
                      <w:vertAlign w:val="superscript"/>
                    </w:rPr>
                    <w:t>3</w:t>
                  </w:r>
                  <w:r>
                    <w:rPr>
                      <w:rFonts w:hint="default" w:ascii="Times New Roman" w:hAnsi="Times New Roman" w:cs="Times New Roman"/>
                      <w:b/>
                      <w:color w:val="auto"/>
                      <w:spacing w:val="-10"/>
                      <w:szCs w:val="21"/>
                    </w:rPr>
                    <w:t>）</w:t>
                  </w:r>
                </w:p>
              </w:tc>
              <w:tc>
                <w:tcPr>
                  <w:tcW w:w="1469" w:type="dxa"/>
                  <w:vAlign w:val="center"/>
                </w:tcPr>
                <w:p w14:paraId="561F188E">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17.47</w:t>
                  </w:r>
                </w:p>
              </w:tc>
              <w:tc>
                <w:tcPr>
                  <w:tcW w:w="1470" w:type="dxa"/>
                  <w:vAlign w:val="center"/>
                </w:tcPr>
                <w:p w14:paraId="5B57A4A5">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203.445</w:t>
                  </w:r>
                </w:p>
              </w:tc>
              <w:tc>
                <w:tcPr>
                  <w:tcW w:w="3444" w:type="dxa"/>
                  <w:gridSpan w:val="2"/>
                  <w:vAlign w:val="center"/>
                </w:tcPr>
                <w:p w14:paraId="1701F0FB">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w:t>
                  </w:r>
                </w:p>
              </w:tc>
            </w:tr>
            <w:tr w14:paraId="6AB8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77688C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排放形式</w:t>
                  </w:r>
                </w:p>
              </w:tc>
              <w:tc>
                <w:tcPr>
                  <w:tcW w:w="2939" w:type="dxa"/>
                  <w:gridSpan w:val="2"/>
                  <w:vAlign w:val="center"/>
                </w:tcPr>
                <w:p w14:paraId="71202F2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有组织</w:t>
                  </w:r>
                </w:p>
              </w:tc>
              <w:tc>
                <w:tcPr>
                  <w:tcW w:w="3444" w:type="dxa"/>
                  <w:gridSpan w:val="2"/>
                  <w:vAlign w:val="center"/>
                </w:tcPr>
                <w:p w14:paraId="1E0ED7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无组织</w:t>
                  </w:r>
                </w:p>
              </w:tc>
            </w:tr>
            <w:tr w14:paraId="3EC6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restart"/>
                  <w:vAlign w:val="center"/>
                </w:tcPr>
                <w:p w14:paraId="31C672A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治理设施</w:t>
                  </w:r>
                </w:p>
              </w:tc>
              <w:tc>
                <w:tcPr>
                  <w:tcW w:w="1689" w:type="dxa"/>
                  <w:vAlign w:val="center"/>
                </w:tcPr>
                <w:p w14:paraId="6C2CA8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pacing w:val="-10"/>
                      <w:szCs w:val="21"/>
                      <w:lang w:val="en-US" w:eastAsia="zh-CN"/>
                    </w:rPr>
                  </w:pPr>
                  <w:r>
                    <w:rPr>
                      <w:rFonts w:hint="eastAsia" w:cs="Times New Roman"/>
                      <w:b/>
                      <w:color w:val="auto"/>
                      <w:spacing w:val="-10"/>
                      <w:szCs w:val="21"/>
                      <w:lang w:val="en-US" w:eastAsia="zh-CN"/>
                    </w:rPr>
                    <w:t>风机风量</w:t>
                  </w:r>
                </w:p>
              </w:tc>
              <w:tc>
                <w:tcPr>
                  <w:tcW w:w="2939" w:type="dxa"/>
                  <w:gridSpan w:val="2"/>
                  <w:vAlign w:val="center"/>
                </w:tcPr>
                <w:p w14:paraId="58DD87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eastAsia" w:cs="Times New Roman"/>
                      <w:color w:val="auto"/>
                      <w:lang w:val="en-US" w:eastAsia="zh-CN"/>
                    </w:rPr>
                    <w:t>20320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3444" w:type="dxa"/>
                  <w:gridSpan w:val="2"/>
                  <w:vAlign w:val="center"/>
                </w:tcPr>
                <w:p w14:paraId="0F66E32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14:paraId="34B1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262864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1689" w:type="dxa"/>
                  <w:vAlign w:val="center"/>
                </w:tcPr>
                <w:p w14:paraId="27BA8E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收集效率</w:t>
                  </w:r>
                </w:p>
              </w:tc>
              <w:tc>
                <w:tcPr>
                  <w:tcW w:w="2939" w:type="dxa"/>
                  <w:gridSpan w:val="2"/>
                  <w:vAlign w:val="center"/>
                </w:tcPr>
                <w:p w14:paraId="17B7E8E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90%</w:t>
                  </w:r>
                </w:p>
              </w:tc>
              <w:tc>
                <w:tcPr>
                  <w:tcW w:w="3444" w:type="dxa"/>
                  <w:gridSpan w:val="2"/>
                  <w:vAlign w:val="center"/>
                </w:tcPr>
                <w:p w14:paraId="276F97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14:paraId="489A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44A3AF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1689" w:type="dxa"/>
                  <w:vAlign w:val="center"/>
                </w:tcPr>
                <w:p w14:paraId="20C6BC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治理工艺</w:t>
                  </w:r>
                </w:p>
              </w:tc>
              <w:tc>
                <w:tcPr>
                  <w:tcW w:w="2939" w:type="dxa"/>
                  <w:gridSpan w:val="2"/>
                  <w:vAlign w:val="center"/>
                </w:tcPr>
                <w:p w14:paraId="7F9EF5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UV光解+活性炭吸附</w:t>
                  </w:r>
                </w:p>
              </w:tc>
              <w:tc>
                <w:tcPr>
                  <w:tcW w:w="3444" w:type="dxa"/>
                  <w:gridSpan w:val="2"/>
                  <w:vAlign w:val="center"/>
                </w:tcPr>
                <w:p w14:paraId="1B2FB7F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0"/>
                    </w:rPr>
                  </w:pPr>
                  <w:r>
                    <w:rPr>
                      <w:rFonts w:hint="default" w:ascii="Times New Roman" w:hAnsi="Times New Roman" w:cs="Times New Roman"/>
                      <w:bCs/>
                      <w:color w:val="auto"/>
                      <w:kern w:val="0"/>
                    </w:rPr>
                    <w:t>/</w:t>
                  </w:r>
                </w:p>
              </w:tc>
            </w:tr>
            <w:tr w14:paraId="5CD4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650819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1689" w:type="dxa"/>
                  <w:vAlign w:val="center"/>
                </w:tcPr>
                <w:p w14:paraId="461F89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治理工艺去除率</w:t>
                  </w:r>
                </w:p>
              </w:tc>
              <w:tc>
                <w:tcPr>
                  <w:tcW w:w="2939" w:type="dxa"/>
                  <w:gridSpan w:val="2"/>
                  <w:vAlign w:val="center"/>
                </w:tcPr>
                <w:p w14:paraId="5A8EEE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80%</w:t>
                  </w:r>
                </w:p>
              </w:tc>
              <w:tc>
                <w:tcPr>
                  <w:tcW w:w="3444" w:type="dxa"/>
                  <w:gridSpan w:val="2"/>
                  <w:vAlign w:val="center"/>
                </w:tcPr>
                <w:p w14:paraId="4E5BC30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14:paraId="4EB1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0A07E40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1689" w:type="dxa"/>
                  <w:vAlign w:val="center"/>
                </w:tcPr>
                <w:p w14:paraId="146373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是否为可行技术</w:t>
                  </w:r>
                </w:p>
              </w:tc>
              <w:tc>
                <w:tcPr>
                  <w:tcW w:w="2939" w:type="dxa"/>
                  <w:gridSpan w:val="2"/>
                  <w:vAlign w:val="center"/>
                </w:tcPr>
                <w:p w14:paraId="47331A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是</w:t>
                  </w:r>
                </w:p>
              </w:tc>
              <w:tc>
                <w:tcPr>
                  <w:tcW w:w="3444" w:type="dxa"/>
                  <w:gridSpan w:val="2"/>
                  <w:vAlign w:val="center"/>
                </w:tcPr>
                <w:p w14:paraId="0A29EF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14:paraId="7B65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47270DF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污染物排放浓度（mg/m</w:t>
                  </w:r>
                  <w:r>
                    <w:rPr>
                      <w:rFonts w:hint="default" w:ascii="Times New Roman" w:hAnsi="Times New Roman" w:cs="Times New Roman"/>
                      <w:b/>
                      <w:color w:val="auto"/>
                      <w:spacing w:val="-10"/>
                      <w:szCs w:val="21"/>
                      <w:vertAlign w:val="superscript"/>
                    </w:rPr>
                    <w:t>3</w:t>
                  </w:r>
                  <w:r>
                    <w:rPr>
                      <w:rFonts w:hint="default" w:ascii="Times New Roman" w:hAnsi="Times New Roman" w:cs="Times New Roman"/>
                      <w:b/>
                      <w:color w:val="auto"/>
                      <w:spacing w:val="-10"/>
                      <w:szCs w:val="21"/>
                    </w:rPr>
                    <w:t>）</w:t>
                  </w:r>
                </w:p>
              </w:tc>
              <w:tc>
                <w:tcPr>
                  <w:tcW w:w="1469" w:type="dxa"/>
                  <w:vAlign w:val="center"/>
                </w:tcPr>
                <w:p w14:paraId="61745D79">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3.150</w:t>
                  </w:r>
                </w:p>
              </w:tc>
              <w:tc>
                <w:tcPr>
                  <w:tcW w:w="1470" w:type="dxa"/>
                  <w:vAlign w:val="center"/>
                </w:tcPr>
                <w:p w14:paraId="18489319">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36.614</w:t>
                  </w:r>
                </w:p>
              </w:tc>
              <w:tc>
                <w:tcPr>
                  <w:tcW w:w="3444" w:type="dxa"/>
                  <w:gridSpan w:val="2"/>
                  <w:vAlign w:val="center"/>
                </w:tcPr>
                <w:p w14:paraId="6E63E30C">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w:t>
                  </w:r>
                </w:p>
              </w:tc>
            </w:tr>
            <w:tr w14:paraId="3518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6D86FB6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污染物排放速率（kg/h）</w:t>
                  </w:r>
                </w:p>
              </w:tc>
              <w:tc>
                <w:tcPr>
                  <w:tcW w:w="1469" w:type="dxa"/>
                  <w:vAlign w:val="center"/>
                </w:tcPr>
                <w:p w14:paraId="7B60C6B3">
                  <w:pPr>
                    <w:pStyle w:val="75"/>
                    <w:keepLines w:val="0"/>
                    <w:suppressLineNumbers w:val="0"/>
                    <w:tabs>
                      <w:tab w:val="left" w:pos="0"/>
                    </w:tabs>
                    <w:spacing w:before="0" w:beforeAutospacing="0" w:after="0" w:afterAutospacing="0" w:line="240" w:lineRule="auto"/>
                    <w:ind w:left="0" w:right="0"/>
                    <w:rPr>
                      <w:rFonts w:hint="eastAsia" w:ascii="Times New Roman" w:hAnsi="Times New Roman" w:eastAsia="宋体" w:cs="Times New Roman"/>
                      <w:color w:val="auto"/>
                      <w:w w:val="100"/>
                      <w:kern w:val="2"/>
                      <w:szCs w:val="21"/>
                      <w:lang w:eastAsia="zh-CN"/>
                    </w:rPr>
                  </w:pPr>
                  <w:r>
                    <w:rPr>
                      <w:rFonts w:hint="default" w:ascii="Times New Roman" w:hAnsi="Times New Roman" w:cs="Times New Roman"/>
                      <w:color w:val="auto"/>
                      <w:w w:val="100"/>
                      <w:kern w:val="2"/>
                      <w:szCs w:val="21"/>
                    </w:rPr>
                    <w:t>0.06</w:t>
                  </w:r>
                  <w:r>
                    <w:rPr>
                      <w:rFonts w:hint="eastAsia" w:ascii="Times New Roman" w:hAnsi="Times New Roman" w:cs="Times New Roman"/>
                      <w:color w:val="auto"/>
                      <w:w w:val="100"/>
                      <w:kern w:val="2"/>
                      <w:szCs w:val="21"/>
                      <w:lang w:val="en-US" w:eastAsia="zh-CN"/>
                    </w:rPr>
                    <w:t>4</w:t>
                  </w:r>
                </w:p>
              </w:tc>
              <w:tc>
                <w:tcPr>
                  <w:tcW w:w="1470" w:type="dxa"/>
                  <w:vAlign w:val="center"/>
                </w:tcPr>
                <w:p w14:paraId="634B2B20">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0.744</w:t>
                  </w:r>
                </w:p>
              </w:tc>
              <w:tc>
                <w:tcPr>
                  <w:tcW w:w="1722" w:type="dxa"/>
                  <w:vAlign w:val="center"/>
                </w:tcPr>
                <w:p w14:paraId="215E4028">
                  <w:pPr>
                    <w:pStyle w:val="75"/>
                    <w:keepLines w:val="0"/>
                    <w:suppressLineNumbers w:val="0"/>
                    <w:tabs>
                      <w:tab w:val="left" w:pos="0"/>
                    </w:tabs>
                    <w:spacing w:before="0" w:beforeAutospacing="0" w:after="0" w:afterAutospacing="0" w:line="240" w:lineRule="auto"/>
                    <w:ind w:left="0" w:right="0"/>
                    <w:rPr>
                      <w:rFonts w:hint="eastAsia" w:ascii="Times New Roman" w:hAnsi="Times New Roman" w:eastAsia="宋体" w:cs="Times New Roman"/>
                      <w:color w:val="auto"/>
                      <w:w w:val="100"/>
                      <w:kern w:val="2"/>
                      <w:szCs w:val="21"/>
                      <w:lang w:eastAsia="zh-CN"/>
                    </w:rPr>
                  </w:pPr>
                  <w:r>
                    <w:rPr>
                      <w:rFonts w:hint="default" w:ascii="Times New Roman" w:hAnsi="Times New Roman" w:cs="Times New Roman"/>
                      <w:color w:val="auto"/>
                      <w:w w:val="100"/>
                      <w:kern w:val="2"/>
                      <w:szCs w:val="21"/>
                    </w:rPr>
                    <w:t>0.03</w:t>
                  </w:r>
                  <w:r>
                    <w:rPr>
                      <w:rFonts w:hint="eastAsia" w:ascii="Times New Roman" w:hAnsi="Times New Roman" w:cs="Times New Roman"/>
                      <w:color w:val="auto"/>
                      <w:w w:val="100"/>
                      <w:kern w:val="2"/>
                      <w:szCs w:val="21"/>
                      <w:lang w:val="en-US" w:eastAsia="zh-CN"/>
                    </w:rPr>
                    <w:t>5</w:t>
                  </w:r>
                </w:p>
              </w:tc>
              <w:tc>
                <w:tcPr>
                  <w:tcW w:w="1722" w:type="dxa"/>
                  <w:vAlign w:val="center"/>
                </w:tcPr>
                <w:p w14:paraId="78D9B115">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default" w:ascii="Times New Roman" w:hAnsi="Times New Roman" w:cs="Times New Roman"/>
                      <w:color w:val="auto"/>
                      <w:w w:val="100"/>
                      <w:kern w:val="2"/>
                      <w:szCs w:val="21"/>
                    </w:rPr>
                    <w:t>0.</w:t>
                  </w:r>
                  <w:r>
                    <w:rPr>
                      <w:rFonts w:hint="eastAsia" w:ascii="Times New Roman" w:hAnsi="Times New Roman" w:cs="Times New Roman"/>
                      <w:color w:val="auto"/>
                      <w:w w:val="100"/>
                      <w:kern w:val="2"/>
                      <w:szCs w:val="21"/>
                      <w:lang w:val="en-US" w:eastAsia="zh-CN"/>
                    </w:rPr>
                    <w:t>413</w:t>
                  </w:r>
                </w:p>
              </w:tc>
            </w:tr>
            <w:tr w14:paraId="04E2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3543A1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污染物排放量（t/a）</w:t>
                  </w:r>
                </w:p>
              </w:tc>
              <w:tc>
                <w:tcPr>
                  <w:tcW w:w="1469" w:type="dxa"/>
                  <w:vAlign w:val="center"/>
                </w:tcPr>
                <w:p w14:paraId="670F5543">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default" w:ascii="Times New Roman" w:hAnsi="Times New Roman" w:cs="Times New Roman"/>
                      <w:color w:val="auto"/>
                      <w:w w:val="100"/>
                      <w:kern w:val="2"/>
                      <w:szCs w:val="21"/>
                    </w:rPr>
                    <w:t>0.1</w:t>
                  </w:r>
                  <w:r>
                    <w:rPr>
                      <w:rFonts w:hint="eastAsia" w:ascii="Times New Roman" w:hAnsi="Times New Roman" w:cs="Times New Roman"/>
                      <w:color w:val="auto"/>
                      <w:w w:val="100"/>
                      <w:kern w:val="2"/>
                      <w:szCs w:val="21"/>
                      <w:lang w:val="en-US" w:eastAsia="zh-CN"/>
                    </w:rPr>
                    <w:t>53</w:t>
                  </w:r>
                </w:p>
              </w:tc>
              <w:tc>
                <w:tcPr>
                  <w:tcW w:w="1470" w:type="dxa"/>
                  <w:vAlign w:val="center"/>
                </w:tcPr>
                <w:p w14:paraId="7BC61567">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eastAsia" w:ascii="Times New Roman" w:hAnsi="Times New Roman" w:cs="Times New Roman"/>
                      <w:color w:val="auto"/>
                      <w:w w:val="100"/>
                      <w:kern w:val="2"/>
                      <w:szCs w:val="21"/>
                      <w:lang w:val="en-US" w:eastAsia="zh-CN"/>
                    </w:rPr>
                    <w:t>1.786</w:t>
                  </w:r>
                </w:p>
              </w:tc>
              <w:tc>
                <w:tcPr>
                  <w:tcW w:w="1722" w:type="dxa"/>
                  <w:vAlign w:val="center"/>
                </w:tcPr>
                <w:p w14:paraId="251F3A2A">
                  <w:pPr>
                    <w:pStyle w:val="75"/>
                    <w:keepLines w:val="0"/>
                    <w:suppressLineNumbers w:val="0"/>
                    <w:tabs>
                      <w:tab w:val="left" w:pos="0"/>
                    </w:tabs>
                    <w:spacing w:before="0" w:beforeAutospacing="0" w:after="0" w:afterAutospacing="0" w:line="240" w:lineRule="auto"/>
                    <w:ind w:left="0" w:right="0"/>
                    <w:rPr>
                      <w:rFonts w:hint="eastAsia" w:ascii="Times New Roman" w:hAnsi="Times New Roman" w:eastAsia="宋体" w:cs="Times New Roman"/>
                      <w:color w:val="auto"/>
                      <w:w w:val="100"/>
                      <w:kern w:val="2"/>
                      <w:szCs w:val="21"/>
                      <w:lang w:eastAsia="zh-CN"/>
                    </w:rPr>
                  </w:pPr>
                  <w:r>
                    <w:rPr>
                      <w:rFonts w:hint="default" w:ascii="Times New Roman" w:hAnsi="Times New Roman" w:cs="Times New Roman"/>
                      <w:color w:val="auto"/>
                      <w:w w:val="100"/>
                      <w:kern w:val="2"/>
                      <w:szCs w:val="21"/>
                    </w:rPr>
                    <w:t>0.08</w:t>
                  </w:r>
                  <w:r>
                    <w:rPr>
                      <w:rFonts w:hint="eastAsia" w:ascii="Times New Roman" w:hAnsi="Times New Roman" w:cs="Times New Roman"/>
                      <w:color w:val="auto"/>
                      <w:w w:val="100"/>
                      <w:kern w:val="2"/>
                      <w:szCs w:val="21"/>
                      <w:lang w:val="en-US" w:eastAsia="zh-CN"/>
                    </w:rPr>
                    <w:t>5</w:t>
                  </w:r>
                </w:p>
              </w:tc>
              <w:tc>
                <w:tcPr>
                  <w:tcW w:w="1722" w:type="dxa"/>
                  <w:vAlign w:val="center"/>
                </w:tcPr>
                <w:p w14:paraId="1E8786D8">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default" w:ascii="Times New Roman" w:hAnsi="Times New Roman" w:cs="Times New Roman"/>
                      <w:color w:val="auto"/>
                      <w:w w:val="100"/>
                      <w:kern w:val="2"/>
                      <w:szCs w:val="21"/>
                    </w:rPr>
                    <w:t>0.</w:t>
                  </w:r>
                  <w:r>
                    <w:rPr>
                      <w:rFonts w:hint="eastAsia" w:ascii="Times New Roman" w:hAnsi="Times New Roman" w:cs="Times New Roman"/>
                      <w:color w:val="auto"/>
                      <w:w w:val="100"/>
                      <w:kern w:val="2"/>
                      <w:szCs w:val="21"/>
                      <w:lang w:val="en-US" w:eastAsia="zh-CN"/>
                    </w:rPr>
                    <w:t>992</w:t>
                  </w:r>
                </w:p>
              </w:tc>
            </w:tr>
            <w:tr w14:paraId="14B2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9" w:type="dxa"/>
                  <w:gridSpan w:val="6"/>
                  <w:vAlign w:val="center"/>
                </w:tcPr>
                <w:p w14:paraId="4D2697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
                      <w:color w:val="auto"/>
                      <w:spacing w:val="-10"/>
                      <w:szCs w:val="21"/>
                    </w:rPr>
                    <w:t>排放口基本情况</w:t>
                  </w:r>
                </w:p>
              </w:tc>
            </w:tr>
            <w:tr w14:paraId="7F6F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2F6540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排气筒高度</w:t>
                  </w:r>
                </w:p>
              </w:tc>
              <w:tc>
                <w:tcPr>
                  <w:tcW w:w="2939" w:type="dxa"/>
                  <w:gridSpan w:val="2"/>
                  <w:vAlign w:val="center"/>
                </w:tcPr>
                <w:p w14:paraId="62BFB42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eastAsia" w:cs="Times New Roman"/>
                      <w:bCs/>
                      <w:color w:val="auto"/>
                      <w:spacing w:val="-10"/>
                      <w:szCs w:val="21"/>
                      <w:lang w:val="en-US" w:eastAsia="zh-CN"/>
                    </w:rPr>
                    <w:t>15</w:t>
                  </w:r>
                  <w:r>
                    <w:rPr>
                      <w:rFonts w:hint="default" w:ascii="Times New Roman" w:hAnsi="Times New Roman" w:cs="Times New Roman"/>
                      <w:bCs/>
                      <w:color w:val="auto"/>
                      <w:spacing w:val="-10"/>
                      <w:szCs w:val="21"/>
                    </w:rPr>
                    <w:t>m</w:t>
                  </w:r>
                </w:p>
              </w:tc>
              <w:tc>
                <w:tcPr>
                  <w:tcW w:w="3444" w:type="dxa"/>
                  <w:gridSpan w:val="2"/>
                  <w:vAlign w:val="center"/>
                </w:tcPr>
                <w:p w14:paraId="265739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192E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2EFA65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排气筒内径</w:t>
                  </w:r>
                </w:p>
              </w:tc>
              <w:tc>
                <w:tcPr>
                  <w:tcW w:w="2939" w:type="dxa"/>
                  <w:gridSpan w:val="2"/>
                  <w:vAlign w:val="center"/>
                </w:tcPr>
                <w:p w14:paraId="1635FA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0.5m</w:t>
                  </w:r>
                </w:p>
              </w:tc>
              <w:tc>
                <w:tcPr>
                  <w:tcW w:w="3444" w:type="dxa"/>
                  <w:gridSpan w:val="2"/>
                  <w:vAlign w:val="center"/>
                </w:tcPr>
                <w:p w14:paraId="7606E9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1AE2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1BA2B04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color w:val="auto"/>
                      <w:spacing w:val="-10"/>
                      <w:szCs w:val="21"/>
                      <w:lang w:val="en-US" w:eastAsia="zh-CN"/>
                    </w:rPr>
                  </w:pPr>
                  <w:r>
                    <w:rPr>
                      <w:rFonts w:hint="default" w:ascii="Times New Roman" w:hAnsi="Times New Roman" w:cs="Times New Roman"/>
                      <w:b/>
                      <w:color w:val="auto"/>
                      <w:spacing w:val="-10"/>
                      <w:szCs w:val="21"/>
                    </w:rPr>
                    <w:t>温度</w:t>
                  </w:r>
                  <w:r>
                    <w:rPr>
                      <w:rFonts w:hint="default" w:ascii="Times New Roman" w:hAnsi="Times New Roman" w:cs="Times New Roman"/>
                      <w:b/>
                      <w:color w:val="auto"/>
                      <w:spacing w:val="-10"/>
                      <w:szCs w:val="21"/>
                      <w:lang w:val="en-US" w:eastAsia="zh-CN"/>
                    </w:rPr>
                    <w:t>℃</w:t>
                  </w:r>
                </w:p>
              </w:tc>
              <w:tc>
                <w:tcPr>
                  <w:tcW w:w="2939" w:type="dxa"/>
                  <w:gridSpan w:val="2"/>
                  <w:vAlign w:val="center"/>
                </w:tcPr>
                <w:p w14:paraId="7D008D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25</w:t>
                  </w:r>
                </w:p>
              </w:tc>
              <w:tc>
                <w:tcPr>
                  <w:tcW w:w="3444" w:type="dxa"/>
                  <w:gridSpan w:val="2"/>
                  <w:vAlign w:val="center"/>
                </w:tcPr>
                <w:p w14:paraId="3E3E0D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1105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036D75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编号</w:t>
                  </w:r>
                </w:p>
              </w:tc>
              <w:tc>
                <w:tcPr>
                  <w:tcW w:w="2939" w:type="dxa"/>
                  <w:gridSpan w:val="2"/>
                  <w:vAlign w:val="center"/>
                </w:tcPr>
                <w:p w14:paraId="5CF67C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szCs w:val="21"/>
                      <w:lang w:val="en-US" w:eastAsia="zh-CN"/>
                    </w:rPr>
                  </w:pPr>
                  <w:r>
                    <w:rPr>
                      <w:rFonts w:hint="eastAsia" w:ascii="Times New Roman" w:hAnsi="Times New Roman" w:cs="Times New Roman"/>
                      <w:bCs/>
                      <w:color w:val="auto"/>
                      <w:spacing w:val="-10"/>
                      <w:szCs w:val="21"/>
                      <w:lang w:val="en-US" w:eastAsia="zh-CN"/>
                    </w:rPr>
                    <w:t>DA00</w:t>
                  </w:r>
                  <w:r>
                    <w:rPr>
                      <w:rFonts w:hint="eastAsia" w:cs="Times New Roman"/>
                      <w:bCs/>
                      <w:color w:val="auto"/>
                      <w:spacing w:val="-10"/>
                      <w:szCs w:val="21"/>
                      <w:lang w:val="en-US" w:eastAsia="zh-CN"/>
                    </w:rPr>
                    <w:t>1</w:t>
                  </w:r>
                </w:p>
              </w:tc>
              <w:tc>
                <w:tcPr>
                  <w:tcW w:w="3444" w:type="dxa"/>
                  <w:gridSpan w:val="2"/>
                  <w:vAlign w:val="center"/>
                </w:tcPr>
                <w:p w14:paraId="5B162A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510E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328B6B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类型</w:t>
                  </w:r>
                </w:p>
              </w:tc>
              <w:tc>
                <w:tcPr>
                  <w:tcW w:w="2939" w:type="dxa"/>
                  <w:gridSpan w:val="2"/>
                  <w:vAlign w:val="center"/>
                </w:tcPr>
                <w:p w14:paraId="784629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一般排放口</w:t>
                  </w:r>
                </w:p>
              </w:tc>
              <w:tc>
                <w:tcPr>
                  <w:tcW w:w="3444" w:type="dxa"/>
                  <w:gridSpan w:val="2"/>
                  <w:vAlign w:val="center"/>
                </w:tcPr>
                <w:p w14:paraId="411EE3B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1B72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7DBFD4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地理坐标</w:t>
                  </w:r>
                </w:p>
              </w:tc>
              <w:tc>
                <w:tcPr>
                  <w:tcW w:w="2939" w:type="dxa"/>
                  <w:gridSpan w:val="2"/>
                  <w:vAlign w:val="center"/>
                </w:tcPr>
                <w:p w14:paraId="6A0EE5F2">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Cs/>
                      <w:color w:val="auto"/>
                      <w:spacing w:val="-10"/>
                      <w:szCs w:val="21"/>
                      <w:lang w:eastAsia="zh-CN"/>
                    </w:rPr>
                  </w:pPr>
                  <w:r>
                    <w:rPr>
                      <w:rFonts w:hint="eastAsia" w:ascii="Times New Roman" w:hAnsi="Times New Roman" w:cs="Times New Roman"/>
                      <w:bCs/>
                      <w:color w:val="auto"/>
                      <w:spacing w:val="-10"/>
                      <w:szCs w:val="21"/>
                      <w:lang w:val="en-US" w:eastAsia="zh-CN"/>
                    </w:rPr>
                    <w:t>DA002：</w:t>
                  </w:r>
                  <w:r>
                    <w:rPr>
                      <w:rFonts w:hint="default" w:ascii="Times New Roman" w:hAnsi="Times New Roman" w:cs="Times New Roman"/>
                      <w:color w:val="auto"/>
                      <w:szCs w:val="21"/>
                    </w:rPr>
                    <w:t>E103°9′</w:t>
                  </w:r>
                  <w:r>
                    <w:rPr>
                      <w:rFonts w:hint="eastAsia" w:ascii="Times New Roman" w:hAnsi="Times New Roman" w:cs="Times New Roman"/>
                      <w:color w:val="auto"/>
                      <w:szCs w:val="21"/>
                      <w:lang w:val="en-US" w:eastAsia="zh-CN"/>
                    </w:rPr>
                    <w:t>12.617</w:t>
                  </w:r>
                  <w:r>
                    <w:rPr>
                      <w:rFonts w:hint="default" w:ascii="Times New Roman" w:hAnsi="Times New Roman" w:cs="Times New Roman"/>
                      <w:color w:val="auto"/>
                      <w:szCs w:val="21"/>
                    </w:rPr>
                    <w:t>″，N25°27′</w:t>
                  </w:r>
                  <w:r>
                    <w:rPr>
                      <w:rFonts w:hint="eastAsia" w:ascii="Times New Roman" w:hAnsi="Times New Roman" w:cs="Times New Roman"/>
                      <w:color w:val="auto"/>
                      <w:szCs w:val="21"/>
                      <w:lang w:val="en-US" w:eastAsia="zh-CN"/>
                    </w:rPr>
                    <w:t>39.331</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w:t>
                  </w:r>
                </w:p>
              </w:tc>
              <w:tc>
                <w:tcPr>
                  <w:tcW w:w="3444" w:type="dxa"/>
                  <w:gridSpan w:val="2"/>
                  <w:vAlign w:val="center"/>
                </w:tcPr>
                <w:p w14:paraId="228360E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14:paraId="5CE7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9" w:type="dxa"/>
                  <w:gridSpan w:val="6"/>
                  <w:vAlign w:val="center"/>
                </w:tcPr>
                <w:p w14:paraId="789CAC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
                      <w:color w:val="auto"/>
                      <w:spacing w:val="-10"/>
                      <w:szCs w:val="21"/>
                    </w:rPr>
                    <w:t>监测要求</w:t>
                  </w:r>
                </w:p>
              </w:tc>
            </w:tr>
            <w:tr w14:paraId="06FD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4BF3B0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监测点位</w:t>
                  </w:r>
                </w:p>
              </w:tc>
              <w:tc>
                <w:tcPr>
                  <w:tcW w:w="2939" w:type="dxa"/>
                  <w:gridSpan w:val="2"/>
                  <w:vAlign w:val="center"/>
                </w:tcPr>
                <w:p w14:paraId="51C8F9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排气筒出口</w:t>
                  </w:r>
                </w:p>
              </w:tc>
              <w:tc>
                <w:tcPr>
                  <w:tcW w:w="3444" w:type="dxa"/>
                  <w:gridSpan w:val="2"/>
                  <w:vAlign w:val="center"/>
                </w:tcPr>
                <w:p w14:paraId="33AECA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cs="Times New Roman"/>
                      <w:bCs/>
                      <w:color w:val="auto"/>
                      <w:spacing w:val="-10"/>
                      <w:szCs w:val="21"/>
                    </w:rPr>
                    <w:t>厂界</w:t>
                  </w:r>
                  <w:r>
                    <w:rPr>
                      <w:rFonts w:hint="eastAsia" w:cs="Times New Roman"/>
                      <w:bCs/>
                      <w:color w:val="auto"/>
                      <w:spacing w:val="-10"/>
                      <w:szCs w:val="21"/>
                      <w:lang w:eastAsia="zh-CN"/>
                    </w:rPr>
                    <w:t>、</w:t>
                  </w:r>
                  <w:r>
                    <w:rPr>
                      <w:rFonts w:hint="eastAsia" w:cs="Times New Roman"/>
                      <w:bCs/>
                      <w:color w:val="auto"/>
                      <w:spacing w:val="-10"/>
                      <w:szCs w:val="21"/>
                      <w:lang w:val="en-US" w:eastAsia="zh-CN"/>
                    </w:rPr>
                    <w:t>厂内</w:t>
                  </w:r>
                </w:p>
              </w:tc>
            </w:tr>
            <w:tr w14:paraId="387B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28209FB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监测因子</w:t>
                  </w:r>
                </w:p>
              </w:tc>
              <w:tc>
                <w:tcPr>
                  <w:tcW w:w="2939" w:type="dxa"/>
                  <w:gridSpan w:val="2"/>
                  <w:vAlign w:val="center"/>
                </w:tcPr>
                <w:p w14:paraId="62AD9F03">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甲醛、非甲烷总烃</w:t>
                  </w:r>
                </w:p>
              </w:tc>
              <w:tc>
                <w:tcPr>
                  <w:tcW w:w="3444" w:type="dxa"/>
                  <w:gridSpan w:val="2"/>
                  <w:vAlign w:val="center"/>
                </w:tcPr>
                <w:p w14:paraId="68C3E9BE">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甲醛、非甲烷总烃</w:t>
                  </w:r>
                </w:p>
              </w:tc>
            </w:tr>
            <w:tr w14:paraId="6BBC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4CEC3B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监测频次</w:t>
                  </w:r>
                </w:p>
              </w:tc>
              <w:tc>
                <w:tcPr>
                  <w:tcW w:w="2939" w:type="dxa"/>
                  <w:gridSpan w:val="2"/>
                  <w:vAlign w:val="center"/>
                </w:tcPr>
                <w:p w14:paraId="29B0E38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1年/次</w:t>
                  </w:r>
                </w:p>
              </w:tc>
              <w:tc>
                <w:tcPr>
                  <w:tcW w:w="3444" w:type="dxa"/>
                  <w:gridSpan w:val="2"/>
                  <w:vAlign w:val="center"/>
                </w:tcPr>
                <w:p w14:paraId="7EBB431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1年/次</w:t>
                  </w:r>
                </w:p>
              </w:tc>
            </w:tr>
            <w:tr w14:paraId="5AC0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gridSpan w:val="2"/>
                  <w:vAlign w:val="center"/>
                </w:tcPr>
                <w:p w14:paraId="14873E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执行标准</w:t>
                  </w:r>
                </w:p>
              </w:tc>
              <w:tc>
                <w:tcPr>
                  <w:tcW w:w="6383" w:type="dxa"/>
                  <w:gridSpan w:val="4"/>
                  <w:vAlign w:val="center"/>
                </w:tcPr>
                <w:p w14:paraId="7C5E60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lang w:val="zh-CN"/>
                    </w:rPr>
                    <w:t>《大气污染物综合排放标准》（GB16297-1996）表2中二级标准</w:t>
                  </w:r>
                  <w:r>
                    <w:rPr>
                      <w:rFonts w:hint="default" w:ascii="Times New Roman" w:hAnsi="Times New Roman" w:cs="Times New Roman"/>
                      <w:bCs/>
                      <w:color w:val="auto"/>
                      <w:spacing w:val="-10"/>
                      <w:szCs w:val="21"/>
                    </w:rPr>
                    <w:t>和厂内无组织总挥发性有机物排放浓度限值执行《挥发性有机物无组织排放控制标准》（GB37822-2019）中的要求</w:t>
                  </w:r>
                </w:p>
              </w:tc>
            </w:tr>
          </w:tbl>
          <w:p w14:paraId="6C10290B">
            <w:pPr>
              <w:pStyle w:val="38"/>
              <w:keepNext w:val="0"/>
              <w:keepLines w:val="0"/>
              <w:suppressLineNumbers w:val="0"/>
              <w:snapToGrid w:val="0"/>
              <w:spacing w:before="0" w:beforeAutospacing="0" w:after="0" w:afterAutospacing="0"/>
              <w:ind w:left="0" w:firstLine="480" w:firstLineChars="200"/>
              <w:jc w:val="both"/>
              <w:rPr>
                <w:rFonts w:hint="default" w:ascii="Times New Roman" w:hAnsi="Times New Roman" w:eastAsia="宋体" w:cs="Times New Roman"/>
                <w:color w:val="auto"/>
                <w:kern w:val="2"/>
                <w:sz w:val="24"/>
                <w:szCs w:val="24"/>
                <w:lang w:val="en-US"/>
              </w:rPr>
            </w:pPr>
            <w:r>
              <w:rPr>
                <w:rFonts w:hint="default" w:ascii="Times New Roman" w:hAnsi="Times New Roman" w:cs="Times New Roman"/>
                <w:color w:val="auto"/>
                <w:sz w:val="24"/>
                <w:szCs w:val="24"/>
              </w:rPr>
              <w:t>据建设单位提供资料，本项目年工作300d，每天工作时间8h，搅拌、浸渍、干燥工序集气风机风量为</w:t>
            </w:r>
            <w:r>
              <w:rPr>
                <w:rFonts w:hint="eastAsia" w:hAnsi="Times New Roman" w:cs="Times New Roman"/>
                <w:color w:val="auto"/>
                <w:sz w:val="24"/>
                <w:szCs w:val="24"/>
                <w:lang w:val="en-US" w:eastAsia="zh-CN"/>
              </w:rPr>
              <w:t>20320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w:t>
            </w:r>
            <w:r>
              <w:rPr>
                <w:rFonts w:hint="eastAsia" w:hAnsi="Times New Roman" w:cs="Times New Roman"/>
                <w:color w:val="auto"/>
                <w:sz w:val="24"/>
                <w:szCs w:val="24"/>
                <w:lang w:eastAsia="zh-CN"/>
              </w:rPr>
              <w:t>；</w:t>
            </w:r>
            <w:r>
              <w:rPr>
                <w:rFonts w:hint="default" w:ascii="Times New Roman" w:hAnsi="Times New Roman" w:eastAsia="宋体" w:cs="Times New Roman"/>
                <w:color w:val="auto"/>
                <w:kern w:val="2"/>
                <w:sz w:val="24"/>
                <w:szCs w:val="24"/>
                <w:lang w:val="en-US"/>
              </w:rPr>
              <w:t>污染因子为甲醛、</w:t>
            </w:r>
            <w:r>
              <w:rPr>
                <w:rFonts w:hint="eastAsia" w:hAnsi="Times New Roman" w:cs="Times New Roman"/>
                <w:color w:val="auto"/>
                <w:kern w:val="2"/>
                <w:sz w:val="24"/>
                <w:szCs w:val="24"/>
                <w:lang w:val="en-US" w:eastAsia="zh-CN"/>
              </w:rPr>
              <w:t>VOCs</w:t>
            </w:r>
            <w:r>
              <w:rPr>
                <w:rFonts w:hint="default" w:ascii="Times New Roman" w:hAnsi="Times New Roman" w:eastAsia="宋体" w:cs="Times New Roman"/>
                <w:color w:val="auto"/>
                <w:kern w:val="2"/>
                <w:sz w:val="24"/>
                <w:szCs w:val="24"/>
                <w:lang w:val="en-US"/>
              </w:rPr>
              <w:t>。</w:t>
            </w:r>
          </w:p>
          <w:p w14:paraId="279EDB02">
            <w:pPr>
              <w:pStyle w:val="38"/>
              <w:keepNext w:val="0"/>
              <w:keepLines w:val="0"/>
              <w:suppressLineNumbers w:val="0"/>
              <w:snapToGrid w:val="0"/>
              <w:spacing w:before="0" w:beforeAutospacing="0" w:after="0" w:afterAutospacing="0"/>
              <w:ind w:left="0" w:firstLine="480" w:firstLineChars="200"/>
              <w:jc w:val="both"/>
              <w:rPr>
                <w:rFonts w:hint="default" w:ascii="Times New Roman" w:hAnsi="Times New Roman" w:eastAsia="宋体" w:cs="Times New Roman"/>
                <w:color w:val="auto"/>
                <w:kern w:val="2"/>
                <w:sz w:val="24"/>
                <w:szCs w:val="24"/>
                <w:lang w:val="en-US"/>
              </w:rPr>
            </w:pPr>
            <w:r>
              <w:rPr>
                <w:rFonts w:hint="default" w:ascii="Times New Roman" w:hAnsi="Times New Roman" w:eastAsia="宋体" w:cs="Times New Roman"/>
                <w:color w:val="auto"/>
                <w:kern w:val="2"/>
                <w:sz w:val="24"/>
                <w:szCs w:val="24"/>
                <w:lang w:val="en-US"/>
              </w:rPr>
              <w:t>①甲醛</w:t>
            </w:r>
          </w:p>
          <w:p w14:paraId="7A9E12EE">
            <w:pPr>
              <w:pStyle w:val="38"/>
              <w:keepNext w:val="0"/>
              <w:keepLines w:val="0"/>
              <w:suppressLineNumbers w:val="0"/>
              <w:snapToGrid w:val="0"/>
              <w:spacing w:before="0" w:beforeAutospacing="0" w:after="0" w:afterAutospacing="0"/>
              <w:ind w:left="0" w:firstLine="480" w:firstLineChars="200"/>
              <w:jc w:val="both"/>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rPr>
              <w:t>在</w:t>
            </w:r>
            <w:r>
              <w:rPr>
                <w:rFonts w:hint="eastAsia" w:hAnsi="Times New Roman" w:cs="Times New Roman"/>
                <w:color w:val="auto"/>
                <w:kern w:val="2"/>
                <w:sz w:val="24"/>
                <w:szCs w:val="24"/>
                <w:lang w:val="en-US" w:eastAsia="zh-CN"/>
              </w:rPr>
              <w:t>调胶</w:t>
            </w:r>
            <w:r>
              <w:rPr>
                <w:rFonts w:hint="default" w:ascii="Times New Roman" w:hAnsi="Times New Roman" w:eastAsia="宋体" w:cs="Times New Roman"/>
                <w:color w:val="auto"/>
                <w:kern w:val="2"/>
                <w:sz w:val="24"/>
                <w:szCs w:val="24"/>
                <w:lang w:val="en-US"/>
              </w:rPr>
              <w:t>、浸渍</w:t>
            </w:r>
            <w:r>
              <w:rPr>
                <w:rFonts w:hint="eastAsia" w:hAnsi="Times New Roman" w:cs="Times New Roman"/>
                <w:color w:val="auto"/>
                <w:kern w:val="2"/>
                <w:sz w:val="24"/>
                <w:szCs w:val="24"/>
                <w:lang w:val="en-US" w:eastAsia="zh-CN"/>
              </w:rPr>
              <w:t>、烘干</w:t>
            </w:r>
            <w:r>
              <w:rPr>
                <w:rFonts w:hint="default" w:ascii="Times New Roman" w:hAnsi="Times New Roman" w:eastAsia="宋体" w:cs="Times New Roman"/>
                <w:color w:val="auto"/>
                <w:kern w:val="2"/>
                <w:sz w:val="24"/>
                <w:szCs w:val="24"/>
                <w:lang w:val="en-US"/>
              </w:rPr>
              <w:t>工序中，胶水会挥发出少量甲醛，根据《木材工业胶粘剂用脲醛、酚醛、三聚氰胺甲醛树脂》（GB/T 14732-2017），浸渍用三聚氰胺甲醛树脂要求甲醛含量小于等于0.3%。本项目按最不利情况，即三聚氰胺甲醛树脂中游离甲醛含量取0.3%。</w:t>
            </w:r>
            <w:r>
              <w:rPr>
                <w:rFonts w:hint="default" w:ascii="Times New Roman" w:hAnsi="Times New Roman" w:cs="Times New Roman"/>
                <w:color w:val="auto"/>
                <w:kern w:val="2"/>
                <w:sz w:val="24"/>
                <w:szCs w:val="24"/>
                <w:lang w:val="en-US" w:eastAsia="zh-CN"/>
              </w:rPr>
              <w:t>项目年产三聚氰胺浸渍纸450万张，单张规格为248cm×125cm×0.8mm，重90g，则项目</w:t>
            </w:r>
            <w:r>
              <w:rPr>
                <w:rFonts w:hint="default" w:ascii="Times New Roman" w:hAnsi="Times New Roman" w:eastAsia="宋体" w:cs="Times New Roman"/>
                <w:color w:val="auto"/>
                <w:kern w:val="2"/>
                <w:sz w:val="24"/>
                <w:szCs w:val="24"/>
                <w:lang w:val="en-US" w:eastAsia="zh-CN"/>
              </w:rPr>
              <w:t>年产三聚氰胺浸渍纸的总重为405t。根据《饰面用浸渍胶膜纸（LY/T 1143-2006）》附录A中装饰层胶膜纸装饰层压板涂胶量区间为55%-130%之间，本项目取70%，则项目三聚氰胺甲醛树脂年使用量为283.5t，原纸用量为121.5t。在生产过程中甲醛挥发量按80%计，则项目甲醛产生量为0.851t/a。</w:t>
            </w:r>
          </w:p>
          <w:p w14:paraId="7D3C1FA9">
            <w:pPr>
              <w:pStyle w:val="38"/>
              <w:keepNext w:val="0"/>
              <w:keepLines w:val="0"/>
              <w:suppressLineNumbers w:val="0"/>
              <w:snapToGrid w:val="0"/>
              <w:spacing w:before="0" w:beforeAutospacing="0" w:after="0" w:afterAutospacing="0"/>
              <w:ind w:left="0" w:firstLine="480" w:firstLineChars="200"/>
              <w:jc w:val="both"/>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rPr>
              <w:t>②</w:t>
            </w:r>
            <w:r>
              <w:rPr>
                <w:rFonts w:hint="default" w:ascii="Times New Roman" w:hAnsi="Times New Roman" w:cs="Times New Roman"/>
                <w:color w:val="auto"/>
                <w:kern w:val="2"/>
                <w:sz w:val="24"/>
                <w:szCs w:val="24"/>
                <w:lang w:val="en-US" w:eastAsia="zh-CN"/>
              </w:rPr>
              <w:t>挥发性有机物</w:t>
            </w:r>
          </w:p>
          <w:p w14:paraId="76872FC0">
            <w:pPr>
              <w:pStyle w:val="38"/>
              <w:keepNext w:val="0"/>
              <w:keepLines w:val="0"/>
              <w:suppressLineNumbers w:val="0"/>
              <w:snapToGrid w:val="0"/>
              <w:spacing w:before="0" w:beforeAutospacing="0" w:after="0" w:afterAutospacing="0"/>
              <w:ind w:left="0" w:firstLine="480" w:firstLineChars="200"/>
              <w:jc w:val="both"/>
              <w:rPr>
                <w:rFonts w:hint="default" w:ascii="Times New Roman" w:hAnsi="Times New Roman" w:eastAsia="宋体" w:cs="Times New Roman"/>
                <w:color w:val="auto"/>
                <w:kern w:val="2"/>
                <w:sz w:val="24"/>
                <w:szCs w:val="24"/>
                <w:lang w:val="en-US" w:eastAsia="zh-CN"/>
              </w:rPr>
            </w:pPr>
            <w:r>
              <w:rPr>
                <w:rFonts w:hint="default" w:ascii="Times New Roman" w:hAnsi="Times New Roman" w:cs="Times New Roman"/>
                <w:color w:val="auto"/>
                <w:kern w:val="2"/>
                <w:sz w:val="24"/>
                <w:szCs w:val="24"/>
                <w:lang w:val="en-US"/>
              </w:rPr>
              <w:t>浸胶纸中有机废气在</w:t>
            </w:r>
            <w:r>
              <w:rPr>
                <w:rFonts w:hint="eastAsia" w:hAnsi="Times New Roman" w:cs="Times New Roman"/>
                <w:color w:val="auto"/>
                <w:kern w:val="2"/>
                <w:sz w:val="24"/>
                <w:szCs w:val="24"/>
                <w:lang w:val="en-US" w:eastAsia="zh-CN"/>
              </w:rPr>
              <w:t>调胶</w:t>
            </w:r>
            <w:r>
              <w:rPr>
                <w:rFonts w:hint="default" w:ascii="Times New Roman" w:hAnsi="Times New Roman" w:cs="Times New Roman"/>
                <w:color w:val="auto"/>
                <w:kern w:val="2"/>
                <w:sz w:val="24"/>
                <w:szCs w:val="24"/>
                <w:lang w:val="en-US"/>
              </w:rPr>
              <w:t>、浸渍、干燥工序中散发，</w:t>
            </w:r>
            <w:r>
              <w:rPr>
                <w:rFonts w:hint="eastAsia" w:hAnsi="Times New Roman" w:cs="Times New Roman"/>
                <w:color w:val="auto"/>
                <w:kern w:val="2"/>
                <w:sz w:val="24"/>
                <w:szCs w:val="24"/>
                <w:lang w:val="en-US" w:eastAsia="zh-CN"/>
              </w:rPr>
              <w:t>根据《家具制造业挥发性有机物治理实用手册》（生态环境部大气环境司编）表1-2中“水基型胶粘剂-其他”类的VOCs含量限值为≤50g/kg-原料</w:t>
            </w:r>
            <w:r>
              <w:rPr>
                <w:rFonts w:hint="default" w:ascii="Times New Roman" w:hAnsi="Times New Roman" w:cs="Times New Roman"/>
                <w:color w:val="auto"/>
                <w:kern w:val="2"/>
                <w:sz w:val="24"/>
                <w:szCs w:val="24"/>
                <w:lang w:val="en-US" w:eastAsia="zh-CN"/>
              </w:rPr>
              <w:t>，</w:t>
            </w:r>
            <w:r>
              <w:rPr>
                <w:rFonts w:hint="eastAsia" w:hAnsi="Times New Roman" w:cs="Times New Roman"/>
                <w:color w:val="auto"/>
                <w:kern w:val="2"/>
                <w:sz w:val="24"/>
                <w:szCs w:val="24"/>
                <w:lang w:val="en-US" w:eastAsia="zh-CN"/>
              </w:rPr>
              <w:t>本项目按最不利情况，即</w:t>
            </w:r>
            <w:r>
              <w:rPr>
                <w:rFonts w:hint="default" w:ascii="Times New Roman" w:hAnsi="Times New Roman" w:eastAsia="宋体" w:cs="Times New Roman"/>
                <w:color w:val="auto"/>
                <w:kern w:val="2"/>
                <w:sz w:val="24"/>
                <w:szCs w:val="24"/>
                <w:lang w:val="en-US" w:eastAsia="zh-CN"/>
              </w:rPr>
              <w:t>三聚氰胺甲醛树脂</w:t>
            </w:r>
            <w:r>
              <w:rPr>
                <w:rFonts w:hint="eastAsia" w:hAnsi="Times New Roman" w:cs="Times New Roman"/>
                <w:color w:val="auto"/>
                <w:kern w:val="2"/>
                <w:sz w:val="24"/>
                <w:szCs w:val="24"/>
                <w:lang w:val="en-US" w:eastAsia="zh-CN"/>
              </w:rPr>
              <w:t>中VOCs含量为50g/kg-原料；项目</w:t>
            </w:r>
            <w:r>
              <w:rPr>
                <w:rFonts w:hint="default" w:ascii="Times New Roman" w:hAnsi="Times New Roman" w:eastAsia="宋体" w:cs="Times New Roman"/>
                <w:color w:val="auto"/>
                <w:kern w:val="2"/>
                <w:sz w:val="24"/>
                <w:szCs w:val="24"/>
                <w:lang w:val="en-US" w:eastAsia="zh-CN"/>
              </w:rPr>
              <w:t>三聚氰胺甲醛树脂年使用量为283.5t，</w:t>
            </w:r>
            <w:r>
              <w:rPr>
                <w:rFonts w:hint="eastAsia" w:hAnsi="Times New Roman" w:cs="Times New Roman"/>
                <w:color w:val="auto"/>
                <w:kern w:val="2"/>
                <w:sz w:val="24"/>
                <w:szCs w:val="24"/>
                <w:lang w:val="en-US" w:eastAsia="zh-CN"/>
              </w:rPr>
              <w:t>生产过程中VOCs挥发量按70%计，</w:t>
            </w:r>
            <w:r>
              <w:rPr>
                <w:rFonts w:hint="default" w:ascii="Times New Roman" w:hAnsi="Times New Roman" w:cs="Times New Roman"/>
                <w:color w:val="auto"/>
                <w:kern w:val="2"/>
                <w:sz w:val="24"/>
                <w:szCs w:val="24"/>
                <w:lang w:val="en-US" w:eastAsia="zh-CN"/>
              </w:rPr>
              <w:t>则本项目VOCs</w:t>
            </w:r>
            <w:r>
              <w:rPr>
                <w:rFonts w:hint="default" w:ascii="Times New Roman" w:hAnsi="Times New Roman" w:cs="Times New Roman"/>
                <w:color w:val="auto"/>
                <w:kern w:val="2"/>
                <w:sz w:val="24"/>
                <w:szCs w:val="24"/>
              </w:rPr>
              <w:t>产生量为</w:t>
            </w:r>
            <w:r>
              <w:rPr>
                <w:rFonts w:hint="eastAsia" w:hAnsi="Times New Roman" w:cs="Times New Roman"/>
                <w:color w:val="auto"/>
                <w:kern w:val="2"/>
                <w:sz w:val="24"/>
                <w:szCs w:val="24"/>
                <w:lang w:val="en-US" w:eastAsia="zh-CN"/>
              </w:rPr>
              <w:t>9.923</w:t>
            </w:r>
            <w:r>
              <w:rPr>
                <w:rFonts w:hint="default" w:ascii="Times New Roman" w:hAnsi="Times New Roman" w:cs="Times New Roman"/>
                <w:color w:val="auto"/>
                <w:kern w:val="2"/>
                <w:sz w:val="24"/>
                <w:szCs w:val="24"/>
              </w:rPr>
              <w:t>t/a</w:t>
            </w:r>
            <w:r>
              <w:rPr>
                <w:rFonts w:hint="default" w:ascii="Times New Roman" w:hAnsi="Times New Roman" w:cs="Times New Roman"/>
                <w:color w:val="auto"/>
                <w:kern w:val="2"/>
                <w:sz w:val="24"/>
                <w:szCs w:val="24"/>
                <w:lang w:eastAsia="zh-CN"/>
              </w:rPr>
              <w:t>。</w:t>
            </w:r>
          </w:p>
          <w:p w14:paraId="1C9BEA4C">
            <w:pPr>
              <w:pStyle w:val="41"/>
              <w:ind w:firstLine="496" w:firstLineChars="200"/>
              <w:rPr>
                <w:rFonts w:hint="default" w:ascii="Times New Roman" w:hAnsi="Times New Roman" w:cs="Times New Roman"/>
                <w:b/>
                <w:bCs/>
                <w:color w:val="auto"/>
                <w:szCs w:val="21"/>
              </w:rPr>
            </w:pPr>
            <w:r>
              <w:rPr>
                <w:rFonts w:hint="default" w:ascii="Times New Roman" w:hAnsi="Times New Roman" w:cs="Times New Roman"/>
                <w:color w:val="auto"/>
                <w:kern w:val="2"/>
                <w:sz w:val="24"/>
                <w:szCs w:val="24"/>
                <w:lang w:val="en-US"/>
              </w:rPr>
              <w:t>项目在三条生产线中的</w:t>
            </w:r>
            <w:r>
              <w:rPr>
                <w:rFonts w:hint="eastAsia" w:ascii="Times New Roman" w:hAnsi="Times New Roman" w:cs="Times New Roman"/>
                <w:color w:val="auto"/>
                <w:kern w:val="2"/>
                <w:sz w:val="24"/>
                <w:szCs w:val="24"/>
                <w:lang w:val="en-US" w:eastAsia="zh-CN"/>
              </w:rPr>
              <w:t>卧式浸渍烘干一体化设备中</w:t>
            </w:r>
            <w:r>
              <w:rPr>
                <w:rFonts w:hint="default" w:ascii="Times New Roman" w:hAnsi="Times New Roman" w:cs="Times New Roman"/>
                <w:color w:val="auto"/>
                <w:kern w:val="2"/>
                <w:sz w:val="24"/>
                <w:szCs w:val="24"/>
                <w:lang w:val="en-US"/>
              </w:rPr>
              <w:t>设置负压集气罩收集后经一套UV光解+三级活性炭吸附装置处理后通过一根15m高排气简</w:t>
            </w:r>
            <w:r>
              <w:rPr>
                <w:rFonts w:hint="eastAsia" w:ascii="Times New Roman" w:hAnsi="Times New Roman" w:cs="Times New Roman"/>
                <w:color w:val="auto"/>
                <w:kern w:val="2"/>
                <w:sz w:val="24"/>
                <w:szCs w:val="24"/>
                <w:lang w:val="en-US" w:eastAsia="zh-CN"/>
              </w:rPr>
              <w:t>（DA001）</w:t>
            </w:r>
            <w:r>
              <w:rPr>
                <w:rFonts w:hint="default" w:ascii="Times New Roman" w:hAnsi="Times New Roman" w:cs="Times New Roman"/>
                <w:color w:val="auto"/>
                <w:kern w:val="2"/>
                <w:sz w:val="24"/>
                <w:szCs w:val="24"/>
                <w:lang w:val="en-US"/>
              </w:rPr>
              <w:t>排放，未被收集的甲醛、</w:t>
            </w:r>
            <w:r>
              <w:rPr>
                <w:rFonts w:hint="eastAsia" w:ascii="Times New Roman" w:hAnsi="Times New Roman" w:cs="Times New Roman"/>
                <w:color w:val="auto"/>
                <w:kern w:val="2"/>
                <w:sz w:val="24"/>
                <w:szCs w:val="24"/>
                <w:lang w:val="en-US" w:eastAsia="zh-CN"/>
              </w:rPr>
              <w:t>VOCs</w:t>
            </w:r>
            <w:r>
              <w:rPr>
                <w:rFonts w:hint="default" w:ascii="Times New Roman" w:hAnsi="Times New Roman" w:cs="Times New Roman"/>
                <w:color w:val="auto"/>
                <w:kern w:val="2"/>
                <w:sz w:val="24"/>
                <w:szCs w:val="24"/>
                <w:lang w:val="en-US"/>
              </w:rPr>
              <w:t>为无组织排放。负压集气罩收集效率为90%，处理效率为80%。据此计算出甲醛有组织排放量为0.</w:t>
            </w:r>
            <w:r>
              <w:rPr>
                <w:rFonts w:hint="eastAsia" w:ascii="Times New Roman" w:hAnsi="Times New Roman" w:cs="Times New Roman"/>
                <w:color w:val="auto"/>
                <w:kern w:val="2"/>
                <w:sz w:val="24"/>
                <w:szCs w:val="24"/>
                <w:lang w:val="en-US" w:eastAsia="zh-CN"/>
              </w:rPr>
              <w:t>153</w:t>
            </w:r>
            <w:r>
              <w:rPr>
                <w:rFonts w:hint="default" w:ascii="Times New Roman" w:hAnsi="Times New Roman" w:cs="Times New Roman"/>
                <w:color w:val="auto"/>
                <w:kern w:val="2"/>
                <w:sz w:val="24"/>
                <w:szCs w:val="24"/>
                <w:lang w:val="en-US"/>
              </w:rPr>
              <w:t>t/a，未能收集的甲醛无组织排放量为0.</w:t>
            </w:r>
            <w:r>
              <w:rPr>
                <w:rFonts w:hint="eastAsia" w:ascii="Times New Roman" w:hAnsi="Times New Roman" w:cs="Times New Roman"/>
                <w:color w:val="auto"/>
                <w:kern w:val="2"/>
                <w:sz w:val="24"/>
                <w:szCs w:val="24"/>
                <w:lang w:val="en-US" w:eastAsia="zh-CN"/>
              </w:rPr>
              <w:t>085</w:t>
            </w:r>
            <w:r>
              <w:rPr>
                <w:rFonts w:hint="default" w:ascii="Times New Roman" w:hAnsi="Times New Roman" w:cs="Times New Roman"/>
                <w:color w:val="auto"/>
                <w:kern w:val="2"/>
                <w:sz w:val="24"/>
                <w:szCs w:val="24"/>
                <w:lang w:val="en-US"/>
              </w:rPr>
              <w:t>t/a；</w:t>
            </w:r>
            <w:r>
              <w:rPr>
                <w:rFonts w:hint="eastAsia" w:ascii="Times New Roman" w:hAnsi="Times New Roman" w:cs="Times New Roman"/>
                <w:color w:val="auto"/>
                <w:kern w:val="2"/>
                <w:sz w:val="24"/>
                <w:szCs w:val="24"/>
                <w:lang w:val="en-US" w:eastAsia="zh-CN"/>
              </w:rPr>
              <w:t>VOCs</w:t>
            </w:r>
            <w:r>
              <w:rPr>
                <w:rFonts w:hint="default" w:ascii="Times New Roman" w:hAnsi="Times New Roman" w:cs="Times New Roman"/>
                <w:color w:val="auto"/>
                <w:kern w:val="2"/>
                <w:sz w:val="24"/>
                <w:szCs w:val="24"/>
                <w:lang w:val="en-US"/>
              </w:rPr>
              <w:t>有组织排放量为</w:t>
            </w:r>
            <w:r>
              <w:rPr>
                <w:rFonts w:hint="eastAsia" w:ascii="Times New Roman" w:hAnsi="Times New Roman" w:cs="Times New Roman"/>
                <w:color w:val="auto"/>
                <w:kern w:val="2"/>
                <w:sz w:val="24"/>
                <w:szCs w:val="24"/>
                <w:lang w:val="en-US" w:eastAsia="zh-CN"/>
              </w:rPr>
              <w:t>1.786</w:t>
            </w:r>
            <w:r>
              <w:rPr>
                <w:rFonts w:hint="default" w:ascii="Times New Roman" w:hAnsi="Times New Roman" w:cs="Times New Roman"/>
                <w:color w:val="auto"/>
                <w:kern w:val="2"/>
                <w:sz w:val="24"/>
                <w:szCs w:val="24"/>
                <w:lang w:val="en-US"/>
              </w:rPr>
              <w:t>t/a，未能收集的</w:t>
            </w:r>
            <w:r>
              <w:rPr>
                <w:rFonts w:hint="eastAsia" w:ascii="Times New Roman" w:hAnsi="Times New Roman" w:cs="Times New Roman"/>
                <w:color w:val="auto"/>
                <w:kern w:val="2"/>
                <w:sz w:val="24"/>
                <w:szCs w:val="24"/>
                <w:lang w:val="en-US" w:eastAsia="zh-CN"/>
              </w:rPr>
              <w:t>VOCs</w:t>
            </w:r>
            <w:r>
              <w:rPr>
                <w:rFonts w:hint="default" w:ascii="Times New Roman" w:hAnsi="Times New Roman" w:cs="Times New Roman"/>
                <w:color w:val="auto"/>
                <w:kern w:val="2"/>
                <w:sz w:val="24"/>
                <w:szCs w:val="24"/>
                <w:lang w:val="en-US"/>
              </w:rPr>
              <w:t>无组织排放量为</w:t>
            </w:r>
            <w:r>
              <w:rPr>
                <w:rFonts w:hint="eastAsia" w:ascii="Times New Roman" w:hAnsi="Times New Roman" w:cs="Times New Roman"/>
                <w:color w:val="auto"/>
                <w:kern w:val="2"/>
                <w:sz w:val="24"/>
                <w:szCs w:val="24"/>
                <w:lang w:val="en-US" w:eastAsia="zh-CN"/>
              </w:rPr>
              <w:t>0.992</w:t>
            </w:r>
            <w:r>
              <w:rPr>
                <w:rFonts w:hint="default" w:ascii="Times New Roman" w:hAnsi="Times New Roman" w:cs="Times New Roman"/>
                <w:color w:val="auto"/>
                <w:kern w:val="2"/>
                <w:sz w:val="24"/>
                <w:szCs w:val="24"/>
                <w:lang w:val="en-US"/>
              </w:rPr>
              <w:t>t/a。废</w:t>
            </w:r>
            <w:r>
              <w:rPr>
                <w:rFonts w:hint="eastAsia" w:ascii="Times New Roman" w:hAnsi="Times New Roman" w:cs="Times New Roman"/>
                <w:color w:val="auto"/>
                <w:kern w:val="2"/>
                <w:sz w:val="24"/>
                <w:szCs w:val="24"/>
                <w:lang w:val="en-US" w:eastAsia="zh-CN"/>
              </w:rPr>
              <w:t>气生</w:t>
            </w:r>
            <w:r>
              <w:rPr>
                <w:rFonts w:hint="default" w:ascii="Times New Roman" w:hAnsi="Times New Roman" w:cs="Times New Roman"/>
                <w:color w:val="auto"/>
                <w:kern w:val="2"/>
                <w:sz w:val="24"/>
                <w:szCs w:val="24"/>
                <w:lang w:val="en-US"/>
              </w:rPr>
              <w:t>产排放情况见表4-2。</w:t>
            </w:r>
          </w:p>
          <w:p w14:paraId="2F6E6B46">
            <w:pPr>
              <w:pStyle w:val="95"/>
              <w:keepNext w:val="0"/>
              <w:keepLines w:val="0"/>
              <w:suppressLineNumbers w:val="0"/>
              <w:snapToGrid w:val="0"/>
              <w:spacing w:before="0" w:beforeAutospacing="0" w:after="0" w:afterAutospacing="0" w:line="36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表4-2  项目运营期废气产排情况</w:t>
            </w:r>
          </w:p>
          <w:tbl>
            <w:tblPr>
              <w:tblStyle w:val="30"/>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644"/>
              <w:gridCol w:w="831"/>
              <w:gridCol w:w="841"/>
              <w:gridCol w:w="802"/>
              <w:gridCol w:w="884"/>
              <w:gridCol w:w="1292"/>
              <w:gridCol w:w="1185"/>
              <w:gridCol w:w="708"/>
            </w:tblGrid>
            <w:tr w14:paraId="650E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2" w:type="dxa"/>
                  <w:gridSpan w:val="2"/>
                  <w:noWrap/>
                  <w:vAlign w:val="center"/>
                </w:tcPr>
                <w:p w14:paraId="6849DA87">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产污工序</w:t>
                  </w:r>
                </w:p>
              </w:tc>
              <w:tc>
                <w:tcPr>
                  <w:tcW w:w="831" w:type="dxa"/>
                  <w:noWrap/>
                  <w:vAlign w:val="center"/>
                </w:tcPr>
                <w:p w14:paraId="61C67773">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污染物名称</w:t>
                  </w:r>
                </w:p>
              </w:tc>
              <w:tc>
                <w:tcPr>
                  <w:tcW w:w="841" w:type="dxa"/>
                  <w:noWrap/>
                  <w:vAlign w:val="center"/>
                </w:tcPr>
                <w:p w14:paraId="0C30FFA9">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风机</w:t>
                  </w:r>
                </w:p>
                <w:p w14:paraId="6872E4B2">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风量</w:t>
                  </w:r>
                </w:p>
              </w:tc>
              <w:tc>
                <w:tcPr>
                  <w:tcW w:w="802" w:type="dxa"/>
                  <w:noWrap/>
                  <w:vAlign w:val="center"/>
                </w:tcPr>
                <w:p w14:paraId="6630D69C">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产生量(t/a)</w:t>
                  </w:r>
                </w:p>
              </w:tc>
              <w:tc>
                <w:tcPr>
                  <w:tcW w:w="884" w:type="dxa"/>
                  <w:noWrap/>
                  <w:vAlign w:val="center"/>
                </w:tcPr>
                <w:p w14:paraId="1EB3C326">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排放量（t/a)</w:t>
                  </w:r>
                </w:p>
              </w:tc>
              <w:tc>
                <w:tcPr>
                  <w:tcW w:w="1292" w:type="dxa"/>
                  <w:noWrap/>
                  <w:vAlign w:val="center"/>
                </w:tcPr>
                <w:p w14:paraId="674B3720">
                  <w:pPr>
                    <w:pStyle w:val="16"/>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bCs/>
                      <w:color w:val="auto"/>
                      <w:sz w:val="18"/>
                      <w:szCs w:val="18"/>
                    </w:rPr>
                    <w:t>排放浓度（mg/m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c>
                <w:tcPr>
                  <w:tcW w:w="1185" w:type="dxa"/>
                  <w:noWrap/>
                  <w:vAlign w:val="center"/>
                </w:tcPr>
                <w:p w14:paraId="2EA5E0B6">
                  <w:pPr>
                    <w:pStyle w:val="16"/>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bCs/>
                      <w:color w:val="auto"/>
                      <w:sz w:val="18"/>
                      <w:szCs w:val="18"/>
                    </w:rPr>
                    <w:t>排放速率（kg/h）</w:t>
                  </w:r>
                </w:p>
              </w:tc>
              <w:tc>
                <w:tcPr>
                  <w:tcW w:w="708" w:type="dxa"/>
                  <w:noWrap/>
                  <w:vAlign w:val="center"/>
                </w:tcPr>
                <w:p w14:paraId="3A376286">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color w:val="auto"/>
                      <w:sz w:val="18"/>
                      <w:szCs w:val="18"/>
                      <w:lang w:eastAsia="zh-CN"/>
                    </w:rPr>
                  </w:pPr>
                  <w:r>
                    <w:rPr>
                      <w:rFonts w:hint="eastAsia" w:cs="Times New Roman"/>
                      <w:b/>
                      <w:color w:val="auto"/>
                      <w:sz w:val="18"/>
                      <w:szCs w:val="18"/>
                      <w:lang w:val="en-US" w:eastAsia="zh-CN"/>
                    </w:rPr>
                    <w:t>达标情况</w:t>
                  </w:r>
                </w:p>
              </w:tc>
            </w:tr>
            <w:tr w14:paraId="6816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vMerge w:val="restart"/>
                  <w:noWrap/>
                  <w:vAlign w:val="center"/>
                </w:tcPr>
                <w:p w14:paraId="2794922C">
                  <w:pPr>
                    <w:keepNext w:val="0"/>
                    <w:keepLines w:val="0"/>
                    <w:suppressLineNumbers w:val="0"/>
                    <w:snapToGrid w:val="0"/>
                    <w:spacing w:before="0" w:beforeAutospacing="0" w:after="0" w:afterAutospacing="0"/>
                    <w:ind w:left="0" w:right="0"/>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调胶</w:t>
                  </w:r>
                  <w:r>
                    <w:rPr>
                      <w:rFonts w:hint="default" w:ascii="Times New Roman" w:hAnsi="Times New Roman" w:cs="Times New Roman"/>
                      <w:color w:val="auto"/>
                      <w:szCs w:val="21"/>
                    </w:rPr>
                    <w:t>、浸渍、</w:t>
                  </w:r>
                  <w:r>
                    <w:rPr>
                      <w:rFonts w:hint="eastAsia" w:cs="Times New Roman"/>
                      <w:color w:val="auto"/>
                      <w:szCs w:val="21"/>
                      <w:lang w:val="en-US" w:eastAsia="zh-CN"/>
                    </w:rPr>
                    <w:t>烘干</w:t>
                  </w:r>
                </w:p>
              </w:tc>
              <w:tc>
                <w:tcPr>
                  <w:tcW w:w="644" w:type="dxa"/>
                  <w:noWrap/>
                  <w:vAlign w:val="center"/>
                </w:tcPr>
                <w:p w14:paraId="12E5850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831" w:type="dxa"/>
                  <w:noWrap/>
                  <w:vAlign w:val="center"/>
                </w:tcPr>
                <w:p w14:paraId="5149D11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甲醛</w:t>
                  </w:r>
                </w:p>
              </w:tc>
              <w:tc>
                <w:tcPr>
                  <w:tcW w:w="841" w:type="dxa"/>
                  <w:noWrap/>
                  <w:vAlign w:val="center"/>
                </w:tcPr>
                <w:p w14:paraId="20A28698">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20320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802" w:type="dxa"/>
                  <w:noWrap/>
                  <w:vAlign w:val="center"/>
                </w:tcPr>
                <w:p w14:paraId="38FBFC8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0.851</w:t>
                  </w:r>
                </w:p>
              </w:tc>
              <w:tc>
                <w:tcPr>
                  <w:tcW w:w="884" w:type="dxa"/>
                  <w:noWrap/>
                  <w:vAlign w:val="center"/>
                </w:tcPr>
                <w:p w14:paraId="51C4056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0.153</w:t>
                  </w:r>
                </w:p>
              </w:tc>
              <w:tc>
                <w:tcPr>
                  <w:tcW w:w="1292" w:type="dxa"/>
                  <w:noWrap/>
                  <w:vAlign w:val="center"/>
                </w:tcPr>
                <w:p w14:paraId="2C502CB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3.150</w:t>
                  </w:r>
                </w:p>
              </w:tc>
              <w:tc>
                <w:tcPr>
                  <w:tcW w:w="1185" w:type="dxa"/>
                  <w:noWrap/>
                  <w:vAlign w:val="center"/>
                </w:tcPr>
                <w:p w14:paraId="612DCD4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0.064</w:t>
                  </w:r>
                </w:p>
              </w:tc>
              <w:tc>
                <w:tcPr>
                  <w:tcW w:w="708" w:type="dxa"/>
                  <w:noWrap/>
                  <w:vAlign w:val="center"/>
                </w:tcPr>
                <w:p w14:paraId="749B01FB">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达标</w:t>
                  </w:r>
                </w:p>
              </w:tc>
            </w:tr>
            <w:tr w14:paraId="31B9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358" w:type="dxa"/>
                  <w:vMerge w:val="continue"/>
                  <w:noWrap/>
                  <w:vAlign w:val="center"/>
                </w:tcPr>
                <w:p w14:paraId="4A38C2E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p>
              </w:tc>
              <w:tc>
                <w:tcPr>
                  <w:tcW w:w="644" w:type="dxa"/>
                  <w:noWrap/>
                  <w:vAlign w:val="center"/>
                </w:tcPr>
                <w:p w14:paraId="6A72D852">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831" w:type="dxa"/>
                  <w:noWrap/>
                  <w:vAlign w:val="center"/>
                </w:tcPr>
                <w:p w14:paraId="414CF86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甲醛</w:t>
                  </w:r>
                </w:p>
              </w:tc>
              <w:tc>
                <w:tcPr>
                  <w:tcW w:w="841" w:type="dxa"/>
                  <w:noWrap/>
                  <w:vAlign w:val="center"/>
                </w:tcPr>
                <w:p w14:paraId="43FBFE10">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02" w:type="dxa"/>
                  <w:noWrap/>
                  <w:vAlign w:val="center"/>
                </w:tcPr>
                <w:p w14:paraId="369D2FBC">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0.08</w:t>
                  </w:r>
                  <w:r>
                    <w:rPr>
                      <w:rFonts w:hint="eastAsia" w:cs="Times New Roman"/>
                      <w:color w:val="auto"/>
                      <w:szCs w:val="21"/>
                      <w:lang w:val="en-US" w:eastAsia="zh-CN"/>
                    </w:rPr>
                    <w:t>5</w:t>
                  </w:r>
                </w:p>
              </w:tc>
              <w:tc>
                <w:tcPr>
                  <w:tcW w:w="884" w:type="dxa"/>
                  <w:noWrap/>
                  <w:vAlign w:val="center"/>
                </w:tcPr>
                <w:p w14:paraId="5730710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0.08</w:t>
                  </w:r>
                  <w:r>
                    <w:rPr>
                      <w:rFonts w:hint="eastAsia" w:cs="Times New Roman"/>
                      <w:color w:val="auto"/>
                      <w:szCs w:val="21"/>
                      <w:lang w:val="en-US" w:eastAsia="zh-CN"/>
                    </w:rPr>
                    <w:t>5</w:t>
                  </w:r>
                </w:p>
              </w:tc>
              <w:tc>
                <w:tcPr>
                  <w:tcW w:w="1292" w:type="dxa"/>
                  <w:noWrap/>
                  <w:vAlign w:val="center"/>
                </w:tcPr>
                <w:p w14:paraId="156B346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85" w:type="dxa"/>
                  <w:noWrap/>
                  <w:vAlign w:val="center"/>
                </w:tcPr>
                <w:p w14:paraId="4679738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0.03</w:t>
                  </w:r>
                  <w:r>
                    <w:rPr>
                      <w:rFonts w:hint="eastAsia" w:cs="Times New Roman"/>
                      <w:color w:val="auto"/>
                      <w:szCs w:val="21"/>
                      <w:lang w:val="en-US" w:eastAsia="zh-CN"/>
                    </w:rPr>
                    <w:t>5</w:t>
                  </w:r>
                </w:p>
              </w:tc>
              <w:tc>
                <w:tcPr>
                  <w:tcW w:w="708" w:type="dxa"/>
                  <w:noWrap/>
                  <w:vAlign w:val="center"/>
                </w:tcPr>
                <w:p w14:paraId="265C96D7">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w:t>
                  </w:r>
                </w:p>
              </w:tc>
            </w:tr>
            <w:tr w14:paraId="55B7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358" w:type="dxa"/>
                  <w:vMerge w:val="continue"/>
                  <w:noWrap/>
                  <w:vAlign w:val="center"/>
                </w:tcPr>
                <w:p w14:paraId="3A03C19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p>
              </w:tc>
              <w:tc>
                <w:tcPr>
                  <w:tcW w:w="644" w:type="dxa"/>
                  <w:noWrap/>
                  <w:vAlign w:val="center"/>
                </w:tcPr>
                <w:p w14:paraId="1F261C6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831" w:type="dxa"/>
                  <w:noWrap/>
                  <w:vAlign w:val="center"/>
                </w:tcPr>
                <w:p w14:paraId="27E8D53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VOCs</w:t>
                  </w:r>
                </w:p>
              </w:tc>
              <w:tc>
                <w:tcPr>
                  <w:tcW w:w="841" w:type="dxa"/>
                  <w:noWrap/>
                  <w:vAlign w:val="center"/>
                </w:tcPr>
                <w:p w14:paraId="08D3F0A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20320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802" w:type="dxa"/>
                  <w:noWrap/>
                  <w:vAlign w:val="center"/>
                </w:tcPr>
                <w:p w14:paraId="73C9E8E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9.923</w:t>
                  </w:r>
                </w:p>
              </w:tc>
              <w:tc>
                <w:tcPr>
                  <w:tcW w:w="884" w:type="dxa"/>
                  <w:noWrap/>
                  <w:vAlign w:val="center"/>
                </w:tcPr>
                <w:p w14:paraId="5DD5FCA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1.786</w:t>
                  </w:r>
                </w:p>
              </w:tc>
              <w:tc>
                <w:tcPr>
                  <w:tcW w:w="1292" w:type="dxa"/>
                  <w:noWrap/>
                  <w:vAlign w:val="center"/>
                </w:tcPr>
                <w:p w14:paraId="62CCB5A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36.614</w:t>
                  </w:r>
                </w:p>
              </w:tc>
              <w:tc>
                <w:tcPr>
                  <w:tcW w:w="1185" w:type="dxa"/>
                  <w:noWrap/>
                  <w:vAlign w:val="center"/>
                </w:tcPr>
                <w:p w14:paraId="4067DAA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cs="Times New Roman"/>
                      <w:color w:val="auto"/>
                      <w:szCs w:val="21"/>
                      <w:lang w:val="en-US" w:eastAsia="zh-CN"/>
                    </w:rPr>
                    <w:t>744</w:t>
                  </w:r>
                </w:p>
              </w:tc>
              <w:tc>
                <w:tcPr>
                  <w:tcW w:w="708" w:type="dxa"/>
                  <w:noWrap/>
                  <w:vAlign w:val="center"/>
                </w:tcPr>
                <w:p w14:paraId="7EB7402F">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Cs w:val="21"/>
                      <w:lang w:val="en-US" w:eastAsia="zh-CN"/>
                    </w:rPr>
                    <w:t>达标</w:t>
                  </w:r>
                </w:p>
              </w:tc>
            </w:tr>
            <w:tr w14:paraId="5D74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358" w:type="dxa"/>
                  <w:vMerge w:val="continue"/>
                  <w:noWrap/>
                  <w:vAlign w:val="center"/>
                </w:tcPr>
                <w:p w14:paraId="1E0C0C30">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rPr>
                  </w:pPr>
                </w:p>
              </w:tc>
              <w:tc>
                <w:tcPr>
                  <w:tcW w:w="644" w:type="dxa"/>
                  <w:noWrap/>
                  <w:vAlign w:val="center"/>
                </w:tcPr>
                <w:p w14:paraId="6603F323">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831" w:type="dxa"/>
                  <w:noWrap/>
                  <w:vAlign w:val="center"/>
                </w:tcPr>
                <w:p w14:paraId="3464BCF6">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VOCs</w:t>
                  </w:r>
                </w:p>
              </w:tc>
              <w:tc>
                <w:tcPr>
                  <w:tcW w:w="841" w:type="dxa"/>
                  <w:noWrap/>
                  <w:vAlign w:val="center"/>
                </w:tcPr>
                <w:p w14:paraId="6C9CB36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02" w:type="dxa"/>
                  <w:noWrap/>
                  <w:vAlign w:val="center"/>
                </w:tcPr>
                <w:p w14:paraId="2A6212D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cs="Times New Roman"/>
                      <w:color w:val="auto"/>
                      <w:szCs w:val="21"/>
                      <w:lang w:val="en-US" w:eastAsia="zh-CN"/>
                    </w:rPr>
                    <w:t>992</w:t>
                  </w:r>
                </w:p>
              </w:tc>
              <w:tc>
                <w:tcPr>
                  <w:tcW w:w="884" w:type="dxa"/>
                  <w:noWrap/>
                  <w:vAlign w:val="center"/>
                </w:tcPr>
                <w:p w14:paraId="3002004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cs="Times New Roman"/>
                      <w:color w:val="auto"/>
                      <w:szCs w:val="21"/>
                      <w:lang w:val="en-US" w:eastAsia="zh-CN"/>
                    </w:rPr>
                    <w:t>992</w:t>
                  </w:r>
                </w:p>
              </w:tc>
              <w:tc>
                <w:tcPr>
                  <w:tcW w:w="1292" w:type="dxa"/>
                  <w:noWrap/>
                  <w:vAlign w:val="center"/>
                </w:tcPr>
                <w:p w14:paraId="7866DEDB">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85" w:type="dxa"/>
                  <w:noWrap/>
                  <w:vAlign w:val="center"/>
                </w:tcPr>
                <w:p w14:paraId="4A3B240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0.413</w:t>
                  </w:r>
                </w:p>
              </w:tc>
              <w:tc>
                <w:tcPr>
                  <w:tcW w:w="708" w:type="dxa"/>
                  <w:noWrap/>
                  <w:vAlign w:val="center"/>
                </w:tcPr>
                <w:p w14:paraId="7CF95FC0">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78CA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545" w:type="dxa"/>
                  <w:gridSpan w:val="9"/>
                  <w:noWrap/>
                  <w:vAlign w:val="center"/>
                </w:tcPr>
                <w:p w14:paraId="746452F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color w:val="auto"/>
                      <w:szCs w:val="21"/>
                    </w:rPr>
                    <w:t>注：每年工作300d，每天8h</w:t>
                  </w:r>
                  <w:r>
                    <w:rPr>
                      <w:rFonts w:hint="eastAsia"/>
                      <w:color w:val="auto"/>
                      <w:szCs w:val="21"/>
                    </w:rPr>
                    <w:t>。</w:t>
                  </w:r>
                </w:p>
              </w:tc>
            </w:tr>
          </w:tbl>
          <w:p w14:paraId="7C99176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lang w:val="zh-CN"/>
              </w:rPr>
              <w:t>由上表分析可知，</w:t>
            </w:r>
            <w:r>
              <w:rPr>
                <w:rFonts w:hint="default" w:ascii="Times New Roman" w:hAnsi="Times New Roman" w:cs="Times New Roman"/>
                <w:color w:val="auto"/>
                <w:sz w:val="24"/>
              </w:rPr>
              <w:t>项目排放的甲醛、</w:t>
            </w:r>
            <w:r>
              <w:rPr>
                <w:rFonts w:hint="eastAsia" w:ascii="Times New Roman" w:hAnsi="Times New Roman" w:cs="Times New Roman"/>
                <w:color w:val="auto"/>
                <w:kern w:val="2"/>
                <w:sz w:val="24"/>
                <w:szCs w:val="24"/>
                <w:lang w:val="en-US" w:eastAsia="zh-CN"/>
              </w:rPr>
              <w:t>VOCs</w:t>
            </w:r>
            <w:r>
              <w:rPr>
                <w:rFonts w:hint="eastAsia" w:cs="Times New Roman"/>
                <w:color w:val="auto"/>
                <w:kern w:val="2"/>
                <w:sz w:val="24"/>
                <w:szCs w:val="24"/>
                <w:lang w:val="en-US" w:eastAsia="zh-CN"/>
              </w:rPr>
              <w:t>（以非甲烷总烃计）</w:t>
            </w:r>
            <w:r>
              <w:rPr>
                <w:rFonts w:hint="eastAsia" w:cs="Times New Roman"/>
                <w:color w:val="auto"/>
                <w:sz w:val="24"/>
                <w:lang w:val="en-US" w:eastAsia="zh-CN"/>
              </w:rPr>
              <w:t>排放浓度和排放速率均</w:t>
            </w:r>
            <w:r>
              <w:rPr>
                <w:rFonts w:hint="default" w:ascii="Times New Roman" w:hAnsi="Times New Roman" w:cs="Times New Roman"/>
                <w:color w:val="auto"/>
                <w:sz w:val="24"/>
              </w:rPr>
              <w:t>满足</w:t>
            </w:r>
            <w:r>
              <w:rPr>
                <w:rFonts w:hint="default" w:ascii="Times New Roman" w:hAnsi="Times New Roman" w:cs="Times New Roman"/>
                <w:color w:val="auto"/>
                <w:sz w:val="24"/>
                <w:lang w:val="zh-CN"/>
              </w:rPr>
              <w:t>《大气污染物综合排放标准》（GB16297-1996）表2中二级排放标准限值。</w:t>
            </w:r>
          </w:p>
          <w:p w14:paraId="0195CC33">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rPr>
              <w:t>2）天然气燃烧废气</w:t>
            </w:r>
            <w:r>
              <w:rPr>
                <w:rFonts w:hint="eastAsia" w:cs="Times New Roman"/>
                <w:b/>
                <w:color w:val="auto"/>
                <w:sz w:val="24"/>
                <w:lang w:eastAsia="zh-CN"/>
              </w:rPr>
              <w:t>（</w:t>
            </w:r>
            <w:r>
              <w:rPr>
                <w:rFonts w:hint="eastAsia" w:cs="Times New Roman"/>
                <w:b/>
                <w:color w:val="auto"/>
                <w:sz w:val="24"/>
                <w:lang w:val="en-US" w:eastAsia="zh-CN"/>
              </w:rPr>
              <w:t>DA002）</w:t>
            </w:r>
          </w:p>
          <w:p w14:paraId="0A9C228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表4-3 天然气燃烧废气排放分析表</w:t>
            </w:r>
          </w:p>
          <w:tbl>
            <w:tblPr>
              <w:tblStyle w:val="31"/>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704"/>
              <w:gridCol w:w="1883"/>
              <w:gridCol w:w="1959"/>
              <w:gridCol w:w="2591"/>
            </w:tblGrid>
            <w:tr w14:paraId="0FD9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45" w:type="dxa"/>
                  <w:gridSpan w:val="5"/>
                  <w:vAlign w:val="center"/>
                </w:tcPr>
                <w:p w14:paraId="2496AF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
                      <w:bCs/>
                      <w:color w:val="auto"/>
                      <w:szCs w:val="21"/>
                    </w:rPr>
                    <w:t>天然气燃烧废气产</w:t>
                  </w:r>
                  <w:r>
                    <w:rPr>
                      <w:rFonts w:hint="eastAsia" w:cs="Times New Roman"/>
                      <w:b/>
                      <w:bCs/>
                      <w:color w:val="auto"/>
                      <w:szCs w:val="21"/>
                      <w:lang w:eastAsia="zh-CN"/>
                    </w:rPr>
                    <w:t>排</w:t>
                  </w:r>
                  <w:r>
                    <w:rPr>
                      <w:rFonts w:hint="default" w:ascii="Times New Roman" w:hAnsi="Times New Roman" w:cs="Times New Roman"/>
                      <w:b/>
                      <w:bCs/>
                      <w:color w:val="auto"/>
                      <w:szCs w:val="21"/>
                    </w:rPr>
                    <w:t>放情况</w:t>
                  </w:r>
                </w:p>
              </w:tc>
            </w:tr>
            <w:tr w14:paraId="13C1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2" w:type="dxa"/>
                  <w:gridSpan w:val="2"/>
                  <w:vAlign w:val="center"/>
                </w:tcPr>
                <w:p w14:paraId="0F529A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产污排污环节</w:t>
                  </w:r>
                </w:p>
              </w:tc>
              <w:tc>
                <w:tcPr>
                  <w:tcW w:w="6433" w:type="dxa"/>
                  <w:gridSpan w:val="3"/>
                  <w:vAlign w:val="center"/>
                </w:tcPr>
                <w:p w14:paraId="5FB51D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天然气燃烧废气</w:t>
                  </w:r>
                </w:p>
              </w:tc>
            </w:tr>
            <w:tr w14:paraId="136E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529BFE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污染物种类</w:t>
                  </w:r>
                </w:p>
              </w:tc>
              <w:tc>
                <w:tcPr>
                  <w:tcW w:w="1883" w:type="dxa"/>
                  <w:vAlign w:val="center"/>
                </w:tcPr>
                <w:p w14:paraId="193C401F">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default" w:ascii="Times New Roman" w:hAnsi="Times New Roman" w:cs="Times New Roman"/>
                      <w:bCs/>
                      <w:color w:val="auto"/>
                      <w:spacing w:val="-10"/>
                      <w:w w:val="100"/>
                      <w:kern w:val="2"/>
                      <w:szCs w:val="21"/>
                    </w:rPr>
                    <w:t>颗粒物</w:t>
                  </w:r>
                </w:p>
              </w:tc>
              <w:tc>
                <w:tcPr>
                  <w:tcW w:w="1959" w:type="dxa"/>
                  <w:vAlign w:val="center"/>
                </w:tcPr>
                <w:p w14:paraId="4457A64D">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591" w:type="dxa"/>
                  <w:vAlign w:val="center"/>
                </w:tcPr>
                <w:p w14:paraId="4EA5EF72">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default" w:ascii="Times New Roman" w:hAnsi="Times New Roman" w:cs="Times New Roman"/>
                      <w:color w:val="auto"/>
                      <w:szCs w:val="21"/>
                    </w:rPr>
                    <w:t>NOx</w:t>
                  </w:r>
                </w:p>
              </w:tc>
            </w:tr>
            <w:tr w14:paraId="390D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241A85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污染物产生量（t/a）</w:t>
                  </w:r>
                </w:p>
              </w:tc>
              <w:tc>
                <w:tcPr>
                  <w:tcW w:w="1883" w:type="dxa"/>
                  <w:vAlign w:val="center"/>
                </w:tcPr>
                <w:p w14:paraId="4CCB1247">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szCs w:val="21"/>
                    </w:rPr>
                  </w:pPr>
                  <w:r>
                    <w:rPr>
                      <w:rFonts w:hint="default" w:ascii="Times New Roman" w:hAnsi="Times New Roman" w:cs="Times New Roman"/>
                      <w:color w:val="auto"/>
                      <w:w w:val="100"/>
                      <w:kern w:val="2"/>
                      <w:szCs w:val="21"/>
                    </w:rPr>
                    <w:t>0.0215</w:t>
                  </w:r>
                </w:p>
              </w:tc>
              <w:tc>
                <w:tcPr>
                  <w:tcW w:w="1959" w:type="dxa"/>
                  <w:vAlign w:val="center"/>
                </w:tcPr>
                <w:p w14:paraId="581A394A">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0.003</w:t>
                  </w:r>
                </w:p>
              </w:tc>
              <w:tc>
                <w:tcPr>
                  <w:tcW w:w="2591" w:type="dxa"/>
                  <w:vAlign w:val="center"/>
                </w:tcPr>
                <w:p w14:paraId="15A6E04B">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0.1403</w:t>
                  </w:r>
                </w:p>
              </w:tc>
            </w:tr>
            <w:tr w14:paraId="36B2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3DF40B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污染物产生浓度（mg/m</w:t>
                  </w:r>
                  <w:r>
                    <w:rPr>
                      <w:rFonts w:hint="default" w:ascii="Times New Roman" w:hAnsi="Times New Roman" w:cs="Times New Roman"/>
                      <w:b/>
                      <w:color w:val="auto"/>
                      <w:spacing w:val="-10"/>
                      <w:szCs w:val="21"/>
                      <w:vertAlign w:val="superscript"/>
                    </w:rPr>
                    <w:t>3</w:t>
                  </w:r>
                  <w:r>
                    <w:rPr>
                      <w:rFonts w:hint="default" w:ascii="Times New Roman" w:hAnsi="Times New Roman" w:cs="Times New Roman"/>
                      <w:b/>
                      <w:color w:val="auto"/>
                      <w:spacing w:val="-10"/>
                      <w:szCs w:val="21"/>
                    </w:rPr>
                    <w:t>）</w:t>
                  </w:r>
                </w:p>
              </w:tc>
              <w:tc>
                <w:tcPr>
                  <w:tcW w:w="1883" w:type="dxa"/>
                  <w:vAlign w:val="center"/>
                </w:tcPr>
                <w:p w14:paraId="0988EC83">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kern w:val="2"/>
                      <w:szCs w:val="21"/>
                    </w:rPr>
                  </w:pPr>
                  <w:r>
                    <w:rPr>
                      <w:rFonts w:hint="default" w:ascii="Times New Roman" w:hAnsi="Times New Roman" w:cs="Times New Roman"/>
                      <w:color w:val="auto"/>
                      <w:w w:val="100"/>
                      <w:kern w:val="2"/>
                      <w:szCs w:val="21"/>
                    </w:rPr>
                    <w:t>21.8</w:t>
                  </w:r>
                </w:p>
              </w:tc>
              <w:tc>
                <w:tcPr>
                  <w:tcW w:w="1959" w:type="dxa"/>
                  <w:vAlign w:val="center"/>
                </w:tcPr>
                <w:p w14:paraId="63185136">
                  <w:pPr>
                    <w:pStyle w:val="75"/>
                    <w:keepLines w:val="0"/>
                    <w:suppressLineNumbers w:val="0"/>
                    <w:tabs>
                      <w:tab w:val="left" w:pos="0"/>
                    </w:tabs>
                    <w:spacing w:before="0" w:beforeAutospacing="0" w:after="0" w:afterAutospacing="0" w:line="240" w:lineRule="auto"/>
                    <w:ind w:left="0" w:right="0"/>
                    <w:rPr>
                      <w:rFonts w:hint="eastAsia" w:ascii="Times New Roman" w:hAnsi="Times New Roman" w:eastAsia="宋体" w:cs="Times New Roman"/>
                      <w:color w:val="auto"/>
                      <w:w w:val="100"/>
                      <w:kern w:val="2"/>
                      <w:szCs w:val="21"/>
                      <w:lang w:eastAsia="zh-CN"/>
                    </w:rPr>
                  </w:pPr>
                  <w:r>
                    <w:rPr>
                      <w:rFonts w:hint="default" w:ascii="Times New Roman" w:hAnsi="Times New Roman" w:cs="Times New Roman"/>
                      <w:color w:val="auto"/>
                      <w:w w:val="100"/>
                      <w:kern w:val="2"/>
                      <w:szCs w:val="21"/>
                    </w:rPr>
                    <w:t>0.001</w:t>
                  </w:r>
                  <w:r>
                    <w:rPr>
                      <w:rFonts w:hint="eastAsia" w:ascii="Times New Roman" w:hAnsi="Times New Roman" w:cs="Times New Roman"/>
                      <w:color w:val="auto"/>
                      <w:w w:val="100"/>
                      <w:kern w:val="2"/>
                      <w:szCs w:val="21"/>
                      <w:lang w:val="en-US" w:eastAsia="zh-CN"/>
                    </w:rPr>
                    <w:t>3</w:t>
                  </w:r>
                </w:p>
              </w:tc>
              <w:tc>
                <w:tcPr>
                  <w:tcW w:w="2591" w:type="dxa"/>
                  <w:vAlign w:val="center"/>
                </w:tcPr>
                <w:p w14:paraId="4736E88C">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0.0585</w:t>
                  </w:r>
                </w:p>
              </w:tc>
            </w:tr>
            <w:tr w14:paraId="1734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066E2D3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排放形式</w:t>
                  </w:r>
                </w:p>
              </w:tc>
              <w:tc>
                <w:tcPr>
                  <w:tcW w:w="6433" w:type="dxa"/>
                  <w:gridSpan w:val="3"/>
                  <w:vAlign w:val="center"/>
                </w:tcPr>
                <w:p w14:paraId="3B405B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有组织</w:t>
                  </w:r>
                </w:p>
              </w:tc>
            </w:tr>
            <w:tr w14:paraId="29E7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vMerge w:val="restart"/>
                  <w:vAlign w:val="center"/>
                </w:tcPr>
                <w:p w14:paraId="0D6A5D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治理设施</w:t>
                  </w:r>
                </w:p>
              </w:tc>
              <w:tc>
                <w:tcPr>
                  <w:tcW w:w="1704" w:type="dxa"/>
                  <w:vAlign w:val="center"/>
                </w:tcPr>
                <w:p w14:paraId="4ADF6E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处理能力</w:t>
                  </w:r>
                </w:p>
              </w:tc>
              <w:tc>
                <w:tcPr>
                  <w:tcW w:w="6433" w:type="dxa"/>
                  <w:gridSpan w:val="3"/>
                  <w:vAlign w:val="center"/>
                </w:tcPr>
                <w:p w14:paraId="5029C4E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425m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r>
            <w:tr w14:paraId="089F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vMerge w:val="continue"/>
                  <w:vAlign w:val="center"/>
                </w:tcPr>
                <w:p w14:paraId="38C72A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1704" w:type="dxa"/>
                  <w:vAlign w:val="center"/>
                </w:tcPr>
                <w:p w14:paraId="174B33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收集效率</w:t>
                  </w:r>
                </w:p>
              </w:tc>
              <w:tc>
                <w:tcPr>
                  <w:tcW w:w="1883" w:type="dxa"/>
                  <w:vAlign w:val="center"/>
                </w:tcPr>
                <w:p w14:paraId="5D944C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100%</w:t>
                  </w:r>
                </w:p>
              </w:tc>
              <w:tc>
                <w:tcPr>
                  <w:tcW w:w="1959" w:type="dxa"/>
                  <w:vAlign w:val="center"/>
                </w:tcPr>
                <w:p w14:paraId="4E3AE6D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100%</w:t>
                  </w:r>
                </w:p>
              </w:tc>
              <w:tc>
                <w:tcPr>
                  <w:tcW w:w="2591" w:type="dxa"/>
                  <w:vAlign w:val="center"/>
                </w:tcPr>
                <w:p w14:paraId="5A5726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r>
            <w:tr w14:paraId="68B6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vMerge w:val="continue"/>
                  <w:vAlign w:val="center"/>
                </w:tcPr>
                <w:p w14:paraId="62E153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1704" w:type="dxa"/>
                  <w:vAlign w:val="center"/>
                </w:tcPr>
                <w:p w14:paraId="71C438C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治理工艺</w:t>
                  </w:r>
                </w:p>
              </w:tc>
              <w:tc>
                <w:tcPr>
                  <w:tcW w:w="1883" w:type="dxa"/>
                  <w:vAlign w:val="center"/>
                </w:tcPr>
                <w:p w14:paraId="0D47D1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直排</w:t>
                  </w:r>
                </w:p>
              </w:tc>
              <w:tc>
                <w:tcPr>
                  <w:tcW w:w="1959" w:type="dxa"/>
                  <w:vAlign w:val="center"/>
                </w:tcPr>
                <w:p w14:paraId="177A10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直排</w:t>
                  </w:r>
                </w:p>
              </w:tc>
              <w:tc>
                <w:tcPr>
                  <w:tcW w:w="2591" w:type="dxa"/>
                  <w:vAlign w:val="center"/>
                </w:tcPr>
                <w:p w14:paraId="1C2017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0"/>
                      <w:szCs w:val="21"/>
                    </w:rPr>
                  </w:pPr>
                  <w:r>
                    <w:rPr>
                      <w:rFonts w:hint="default" w:ascii="Times New Roman" w:hAnsi="Times New Roman" w:cs="Times New Roman"/>
                      <w:bCs/>
                      <w:color w:val="auto"/>
                      <w:spacing w:val="-10"/>
                      <w:szCs w:val="21"/>
                    </w:rPr>
                    <w:t>直排</w:t>
                  </w:r>
                </w:p>
              </w:tc>
            </w:tr>
            <w:tr w14:paraId="1EAF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vMerge w:val="continue"/>
                  <w:vAlign w:val="center"/>
                </w:tcPr>
                <w:p w14:paraId="4F613DA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1704" w:type="dxa"/>
                  <w:vAlign w:val="center"/>
                </w:tcPr>
                <w:p w14:paraId="15BA6E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治理工艺去除率</w:t>
                  </w:r>
                </w:p>
              </w:tc>
              <w:tc>
                <w:tcPr>
                  <w:tcW w:w="1883" w:type="dxa"/>
                  <w:vAlign w:val="center"/>
                </w:tcPr>
                <w:p w14:paraId="2E9F8E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c>
                <w:tcPr>
                  <w:tcW w:w="1959" w:type="dxa"/>
                  <w:vAlign w:val="center"/>
                </w:tcPr>
                <w:p w14:paraId="46E0F0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w:t>
                  </w:r>
                </w:p>
              </w:tc>
              <w:tc>
                <w:tcPr>
                  <w:tcW w:w="2591" w:type="dxa"/>
                  <w:vAlign w:val="center"/>
                </w:tcPr>
                <w:p w14:paraId="0E725B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11D2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vMerge w:val="continue"/>
                  <w:vAlign w:val="center"/>
                </w:tcPr>
                <w:p w14:paraId="34A8B95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p>
              </w:tc>
              <w:tc>
                <w:tcPr>
                  <w:tcW w:w="1704" w:type="dxa"/>
                  <w:vAlign w:val="center"/>
                </w:tcPr>
                <w:p w14:paraId="118864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是否为可行技术</w:t>
                  </w:r>
                </w:p>
              </w:tc>
              <w:tc>
                <w:tcPr>
                  <w:tcW w:w="1883" w:type="dxa"/>
                  <w:vAlign w:val="center"/>
                </w:tcPr>
                <w:p w14:paraId="131FD1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c>
                <w:tcPr>
                  <w:tcW w:w="1959" w:type="dxa"/>
                  <w:vAlign w:val="center"/>
                </w:tcPr>
                <w:p w14:paraId="739F5FE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pacing w:val="-10"/>
                      <w:szCs w:val="21"/>
                    </w:rPr>
                  </w:pPr>
                  <w:r>
                    <w:rPr>
                      <w:rFonts w:hint="default" w:ascii="Times New Roman" w:hAnsi="Times New Roman" w:cs="Times New Roman"/>
                      <w:color w:val="auto"/>
                      <w:szCs w:val="21"/>
                    </w:rPr>
                    <w:t>/</w:t>
                  </w:r>
                </w:p>
              </w:tc>
              <w:tc>
                <w:tcPr>
                  <w:tcW w:w="2591" w:type="dxa"/>
                  <w:vAlign w:val="center"/>
                </w:tcPr>
                <w:p w14:paraId="05733E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1CAE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611545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污染物排放浓度（mg/m</w:t>
                  </w:r>
                  <w:r>
                    <w:rPr>
                      <w:rFonts w:hint="default" w:ascii="Times New Roman" w:hAnsi="Times New Roman" w:cs="Times New Roman"/>
                      <w:b/>
                      <w:color w:val="auto"/>
                      <w:spacing w:val="-10"/>
                      <w:szCs w:val="21"/>
                      <w:vertAlign w:val="superscript"/>
                    </w:rPr>
                    <w:t>3</w:t>
                  </w:r>
                  <w:r>
                    <w:rPr>
                      <w:rFonts w:hint="default" w:ascii="Times New Roman" w:hAnsi="Times New Roman" w:cs="Times New Roman"/>
                      <w:b/>
                      <w:color w:val="auto"/>
                      <w:spacing w:val="-10"/>
                      <w:szCs w:val="21"/>
                    </w:rPr>
                    <w:t>）</w:t>
                  </w:r>
                </w:p>
              </w:tc>
              <w:tc>
                <w:tcPr>
                  <w:tcW w:w="1883" w:type="dxa"/>
                  <w:vAlign w:val="center"/>
                </w:tcPr>
                <w:p w14:paraId="362576A1">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21.18</w:t>
                  </w:r>
                </w:p>
              </w:tc>
              <w:tc>
                <w:tcPr>
                  <w:tcW w:w="1959" w:type="dxa"/>
                  <w:vAlign w:val="center"/>
                </w:tcPr>
                <w:p w14:paraId="2E7AF9BD">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val="en-US" w:eastAsia="zh-CN"/>
                    </w:rPr>
                  </w:pPr>
                  <w:r>
                    <w:rPr>
                      <w:rFonts w:hint="default" w:ascii="Times New Roman" w:hAnsi="Times New Roman" w:cs="Times New Roman"/>
                      <w:color w:val="auto"/>
                      <w:w w:val="100"/>
                      <w:kern w:val="2"/>
                      <w:szCs w:val="21"/>
                    </w:rPr>
                    <w:t>3.</w:t>
                  </w:r>
                  <w:r>
                    <w:rPr>
                      <w:rFonts w:hint="default" w:ascii="Times New Roman" w:hAnsi="Times New Roman" w:cs="Times New Roman"/>
                      <w:color w:val="auto"/>
                      <w:w w:val="100"/>
                      <w:kern w:val="2"/>
                      <w:szCs w:val="21"/>
                      <w:lang w:val="en-US" w:eastAsia="zh-CN"/>
                    </w:rPr>
                    <w:t>059</w:t>
                  </w:r>
                </w:p>
              </w:tc>
              <w:tc>
                <w:tcPr>
                  <w:tcW w:w="2591" w:type="dxa"/>
                  <w:vAlign w:val="center"/>
                </w:tcPr>
                <w:p w14:paraId="521EEA98">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137.65</w:t>
                  </w:r>
                </w:p>
              </w:tc>
            </w:tr>
            <w:tr w14:paraId="227D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32C423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污染物排放速率（kg/h）</w:t>
                  </w:r>
                </w:p>
              </w:tc>
              <w:tc>
                <w:tcPr>
                  <w:tcW w:w="1883" w:type="dxa"/>
                  <w:vAlign w:val="center"/>
                </w:tcPr>
                <w:p w14:paraId="3BF4968B">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0.0090</w:t>
                  </w:r>
                </w:p>
              </w:tc>
              <w:tc>
                <w:tcPr>
                  <w:tcW w:w="1959" w:type="dxa"/>
                  <w:vAlign w:val="center"/>
                </w:tcPr>
                <w:p w14:paraId="32B2C6D6">
                  <w:pPr>
                    <w:pStyle w:val="75"/>
                    <w:keepLines w:val="0"/>
                    <w:suppressLineNumbers w:val="0"/>
                    <w:tabs>
                      <w:tab w:val="left" w:pos="0"/>
                    </w:tabs>
                    <w:spacing w:before="0" w:beforeAutospacing="0" w:after="0" w:afterAutospacing="0" w:line="240" w:lineRule="auto"/>
                    <w:ind w:left="0" w:right="0"/>
                    <w:rPr>
                      <w:rFonts w:hint="default" w:ascii="Times New Roman" w:hAnsi="Times New Roman" w:eastAsia="宋体" w:cs="Times New Roman"/>
                      <w:color w:val="auto"/>
                      <w:w w:val="100"/>
                      <w:kern w:val="2"/>
                      <w:szCs w:val="21"/>
                      <w:lang w:eastAsia="zh-CN"/>
                    </w:rPr>
                  </w:pPr>
                  <w:r>
                    <w:rPr>
                      <w:rFonts w:hint="default" w:ascii="Times New Roman" w:hAnsi="Times New Roman" w:cs="Times New Roman"/>
                      <w:color w:val="auto"/>
                      <w:w w:val="100"/>
                      <w:kern w:val="2"/>
                      <w:szCs w:val="21"/>
                    </w:rPr>
                    <w:t>0.001</w:t>
                  </w:r>
                  <w:r>
                    <w:rPr>
                      <w:rFonts w:hint="default" w:ascii="Times New Roman" w:hAnsi="Times New Roman" w:cs="Times New Roman"/>
                      <w:color w:val="auto"/>
                      <w:w w:val="100"/>
                      <w:kern w:val="2"/>
                      <w:szCs w:val="21"/>
                      <w:lang w:val="en-US" w:eastAsia="zh-CN"/>
                    </w:rPr>
                    <w:t>3</w:t>
                  </w:r>
                </w:p>
              </w:tc>
              <w:tc>
                <w:tcPr>
                  <w:tcW w:w="2591" w:type="dxa"/>
                  <w:vAlign w:val="center"/>
                </w:tcPr>
                <w:p w14:paraId="1EC0274E">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0.0585</w:t>
                  </w:r>
                </w:p>
              </w:tc>
            </w:tr>
            <w:tr w14:paraId="38DC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55D11C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污染物排放量（t/a）</w:t>
                  </w:r>
                </w:p>
              </w:tc>
              <w:tc>
                <w:tcPr>
                  <w:tcW w:w="1883" w:type="dxa"/>
                  <w:vAlign w:val="center"/>
                </w:tcPr>
                <w:p w14:paraId="2DAC73AE">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0.0215</w:t>
                  </w:r>
                </w:p>
              </w:tc>
              <w:tc>
                <w:tcPr>
                  <w:tcW w:w="1959" w:type="dxa"/>
                  <w:vAlign w:val="center"/>
                </w:tcPr>
                <w:p w14:paraId="4043A03A">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0.003</w:t>
                  </w:r>
                </w:p>
              </w:tc>
              <w:tc>
                <w:tcPr>
                  <w:tcW w:w="2591" w:type="dxa"/>
                  <w:vAlign w:val="center"/>
                </w:tcPr>
                <w:p w14:paraId="1FCC6670">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color w:val="auto"/>
                      <w:w w:val="100"/>
                      <w:kern w:val="2"/>
                      <w:szCs w:val="21"/>
                    </w:rPr>
                  </w:pPr>
                  <w:r>
                    <w:rPr>
                      <w:rFonts w:hint="default" w:ascii="Times New Roman" w:hAnsi="Times New Roman" w:cs="Times New Roman"/>
                      <w:color w:val="auto"/>
                      <w:w w:val="100"/>
                      <w:kern w:val="2"/>
                      <w:szCs w:val="21"/>
                    </w:rPr>
                    <w:t>0.1403</w:t>
                  </w:r>
                </w:p>
              </w:tc>
            </w:tr>
            <w:tr w14:paraId="5BA9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5" w:type="dxa"/>
                  <w:gridSpan w:val="5"/>
                  <w:vAlign w:val="center"/>
                </w:tcPr>
                <w:p w14:paraId="0A8D96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
                      <w:color w:val="auto"/>
                      <w:spacing w:val="-10"/>
                      <w:szCs w:val="21"/>
                    </w:rPr>
                    <w:t>排放口基本情况</w:t>
                  </w:r>
                </w:p>
              </w:tc>
            </w:tr>
            <w:tr w14:paraId="5F88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3A935C2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排气筒高度</w:t>
                  </w:r>
                </w:p>
              </w:tc>
              <w:tc>
                <w:tcPr>
                  <w:tcW w:w="6433" w:type="dxa"/>
                  <w:gridSpan w:val="3"/>
                  <w:vAlign w:val="center"/>
                </w:tcPr>
                <w:p w14:paraId="2D826C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15m</w:t>
                  </w:r>
                </w:p>
              </w:tc>
            </w:tr>
            <w:tr w14:paraId="1805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112" w:type="dxa"/>
                  <w:gridSpan w:val="2"/>
                  <w:vAlign w:val="center"/>
                </w:tcPr>
                <w:p w14:paraId="28EDF56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排气筒内径</w:t>
                  </w:r>
                </w:p>
              </w:tc>
              <w:tc>
                <w:tcPr>
                  <w:tcW w:w="6433" w:type="dxa"/>
                  <w:gridSpan w:val="3"/>
                  <w:vAlign w:val="center"/>
                </w:tcPr>
                <w:p w14:paraId="374689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0</w:t>
                  </w:r>
                  <w:r>
                    <w:rPr>
                      <w:rFonts w:hint="default" w:ascii="Times New Roman" w:hAnsi="Times New Roman" w:cs="Times New Roman"/>
                      <w:bCs/>
                      <w:color w:val="auto"/>
                      <w:spacing w:val="-10"/>
                      <w:szCs w:val="21"/>
                      <w:lang w:val="en-US" w:eastAsia="zh-CN"/>
                    </w:rPr>
                    <w:t>.3</w:t>
                  </w:r>
                  <w:r>
                    <w:rPr>
                      <w:rFonts w:hint="default" w:ascii="Times New Roman" w:hAnsi="Times New Roman" w:cs="Times New Roman"/>
                      <w:bCs/>
                      <w:color w:val="auto"/>
                      <w:spacing w:val="-10"/>
                      <w:szCs w:val="21"/>
                    </w:rPr>
                    <w:t>m</w:t>
                  </w:r>
                </w:p>
              </w:tc>
            </w:tr>
            <w:tr w14:paraId="0A38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3555B2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温度</w:t>
                  </w:r>
                  <w:r>
                    <w:rPr>
                      <w:rFonts w:hint="default" w:ascii="Times New Roman" w:hAnsi="Times New Roman" w:cs="Times New Roman"/>
                      <w:b/>
                      <w:color w:val="auto"/>
                      <w:spacing w:val="-10"/>
                      <w:szCs w:val="21"/>
                      <w:lang w:val="en-US" w:eastAsia="zh-CN"/>
                    </w:rPr>
                    <w:t>℃</w:t>
                  </w:r>
                </w:p>
              </w:tc>
              <w:tc>
                <w:tcPr>
                  <w:tcW w:w="6433" w:type="dxa"/>
                  <w:gridSpan w:val="3"/>
                  <w:vAlign w:val="center"/>
                </w:tcPr>
                <w:p w14:paraId="0978A4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50-60</w:t>
                  </w:r>
                </w:p>
              </w:tc>
            </w:tr>
            <w:tr w14:paraId="7156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3018E6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编号</w:t>
                  </w:r>
                </w:p>
              </w:tc>
              <w:tc>
                <w:tcPr>
                  <w:tcW w:w="6433" w:type="dxa"/>
                  <w:gridSpan w:val="3"/>
                  <w:vAlign w:val="center"/>
                </w:tcPr>
                <w:p w14:paraId="2CBC56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cs="Times New Roman"/>
                      <w:bCs/>
                      <w:color w:val="auto"/>
                      <w:spacing w:val="-10"/>
                      <w:szCs w:val="21"/>
                      <w:lang w:val="en-US" w:eastAsia="zh-CN"/>
                    </w:rPr>
                    <w:t>DA002</w:t>
                  </w:r>
                </w:p>
              </w:tc>
            </w:tr>
            <w:tr w14:paraId="7FE5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2FE097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类型</w:t>
                  </w:r>
                </w:p>
              </w:tc>
              <w:tc>
                <w:tcPr>
                  <w:tcW w:w="6433" w:type="dxa"/>
                  <w:gridSpan w:val="3"/>
                  <w:vAlign w:val="center"/>
                </w:tcPr>
                <w:p w14:paraId="6205CF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一般排放口</w:t>
                  </w:r>
                </w:p>
              </w:tc>
            </w:tr>
            <w:tr w14:paraId="01D3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225BFE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地理坐标</w:t>
                  </w:r>
                </w:p>
              </w:tc>
              <w:tc>
                <w:tcPr>
                  <w:tcW w:w="6433" w:type="dxa"/>
                  <w:gridSpan w:val="3"/>
                  <w:vAlign w:val="center"/>
                </w:tcPr>
                <w:p w14:paraId="58F1AA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103°9′0.601″，25°27′45.713″</w:t>
                  </w:r>
                </w:p>
              </w:tc>
            </w:tr>
            <w:tr w14:paraId="54FB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5" w:type="dxa"/>
                  <w:gridSpan w:val="5"/>
                  <w:vAlign w:val="center"/>
                </w:tcPr>
                <w:p w14:paraId="474082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
                      <w:color w:val="auto"/>
                      <w:spacing w:val="-10"/>
                      <w:szCs w:val="21"/>
                    </w:rPr>
                    <w:t>监测要求</w:t>
                  </w:r>
                </w:p>
              </w:tc>
            </w:tr>
            <w:tr w14:paraId="1D75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07F6B4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监测点位</w:t>
                  </w:r>
                </w:p>
              </w:tc>
              <w:tc>
                <w:tcPr>
                  <w:tcW w:w="6433" w:type="dxa"/>
                  <w:gridSpan w:val="3"/>
                  <w:vAlign w:val="center"/>
                </w:tcPr>
                <w:p w14:paraId="51C475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排气筒出口</w:t>
                  </w:r>
                </w:p>
              </w:tc>
            </w:tr>
            <w:tr w14:paraId="0F01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18257A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监测因子</w:t>
                  </w:r>
                </w:p>
              </w:tc>
              <w:tc>
                <w:tcPr>
                  <w:tcW w:w="1883" w:type="dxa"/>
                  <w:vAlign w:val="center"/>
                </w:tcPr>
                <w:p w14:paraId="52E64808">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w w:val="100"/>
                      <w:kern w:val="2"/>
                      <w:szCs w:val="21"/>
                    </w:rPr>
                    <w:t>颗粒物</w:t>
                  </w:r>
                </w:p>
              </w:tc>
              <w:tc>
                <w:tcPr>
                  <w:tcW w:w="1959" w:type="dxa"/>
                  <w:vAlign w:val="center"/>
                </w:tcPr>
                <w:p w14:paraId="3A04CD7E">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591" w:type="dxa"/>
                  <w:vAlign w:val="center"/>
                </w:tcPr>
                <w:p w14:paraId="47BD0748">
                  <w:pPr>
                    <w:pStyle w:val="75"/>
                    <w:keepLines w:val="0"/>
                    <w:suppressLineNumbers w:val="0"/>
                    <w:tabs>
                      <w:tab w:val="left" w:pos="0"/>
                    </w:tabs>
                    <w:spacing w:before="0" w:beforeAutospacing="0" w:after="0" w:afterAutospacing="0" w:line="240" w:lineRule="auto"/>
                    <w:ind w:left="0" w:right="0"/>
                    <w:rPr>
                      <w:rFonts w:hint="default" w:ascii="Times New Roman" w:hAnsi="Times New Roman" w:cs="Times New Roman"/>
                      <w:bCs/>
                      <w:color w:val="auto"/>
                      <w:spacing w:val="-10"/>
                      <w:w w:val="100"/>
                      <w:kern w:val="2"/>
                      <w:szCs w:val="21"/>
                    </w:rPr>
                  </w:pPr>
                  <w:r>
                    <w:rPr>
                      <w:rFonts w:hint="default" w:ascii="Times New Roman" w:hAnsi="Times New Roman" w:cs="Times New Roman"/>
                      <w:color w:val="auto"/>
                      <w:szCs w:val="21"/>
                    </w:rPr>
                    <w:t>NOx</w:t>
                  </w:r>
                </w:p>
              </w:tc>
            </w:tr>
            <w:tr w14:paraId="3D5E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3377ED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监测频次</w:t>
                  </w:r>
                </w:p>
              </w:tc>
              <w:tc>
                <w:tcPr>
                  <w:tcW w:w="1883" w:type="dxa"/>
                  <w:vAlign w:val="center"/>
                </w:tcPr>
                <w:p w14:paraId="45ABDB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1年/次</w:t>
                  </w:r>
                </w:p>
              </w:tc>
              <w:tc>
                <w:tcPr>
                  <w:tcW w:w="1959" w:type="dxa"/>
                  <w:vAlign w:val="center"/>
                </w:tcPr>
                <w:p w14:paraId="2E50F1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1年/次</w:t>
                  </w:r>
                </w:p>
              </w:tc>
              <w:tc>
                <w:tcPr>
                  <w:tcW w:w="2591" w:type="dxa"/>
                  <w:vAlign w:val="center"/>
                </w:tcPr>
                <w:p w14:paraId="707CD2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1月/次</w:t>
                  </w:r>
                </w:p>
              </w:tc>
            </w:tr>
            <w:tr w14:paraId="48F2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gridSpan w:val="2"/>
                  <w:vAlign w:val="center"/>
                </w:tcPr>
                <w:p w14:paraId="57C2AE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pacing w:val="-10"/>
                      <w:szCs w:val="21"/>
                    </w:rPr>
                  </w:pPr>
                  <w:r>
                    <w:rPr>
                      <w:rFonts w:hint="default" w:ascii="Times New Roman" w:hAnsi="Times New Roman" w:cs="Times New Roman"/>
                      <w:b/>
                      <w:color w:val="auto"/>
                      <w:spacing w:val="-10"/>
                      <w:szCs w:val="21"/>
                    </w:rPr>
                    <w:t>执行标准</w:t>
                  </w:r>
                </w:p>
              </w:tc>
              <w:tc>
                <w:tcPr>
                  <w:tcW w:w="6433" w:type="dxa"/>
                  <w:gridSpan w:val="3"/>
                  <w:vAlign w:val="center"/>
                </w:tcPr>
                <w:p w14:paraId="144D058C">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Cs/>
                      <w:color w:val="auto"/>
                      <w:spacing w:val="-10"/>
                      <w:szCs w:val="21"/>
                      <w:lang w:val="en-US" w:eastAsia="zh-CN"/>
                    </w:rPr>
                  </w:pPr>
                  <w:r>
                    <w:rPr>
                      <w:rFonts w:hint="default" w:ascii="Times New Roman" w:hAnsi="Times New Roman" w:cs="Times New Roman"/>
                      <w:bCs/>
                      <w:color w:val="auto"/>
                      <w:spacing w:val="-10"/>
                      <w:szCs w:val="21"/>
                    </w:rPr>
                    <w:t>天然气燃烧废气执行</w:t>
                  </w:r>
                  <w:r>
                    <w:rPr>
                      <w:rFonts w:hint="eastAsia" w:ascii="Times New Roman" w:hAnsi="Times New Roman" w:cs="Times New Roman"/>
                      <w:bCs/>
                      <w:color w:val="auto"/>
                      <w:spacing w:val="-10"/>
                      <w:szCs w:val="21"/>
                      <w:lang w:val="en-US" w:eastAsia="zh-CN"/>
                    </w:rPr>
                    <w:t>《锅炉大气污染物排放标准》（GB13271-2014）</w:t>
                  </w:r>
                  <w:r>
                    <w:rPr>
                      <w:rFonts w:hint="default" w:ascii="Times New Roman" w:hAnsi="Times New Roman" w:cs="Times New Roman"/>
                      <w:bCs/>
                      <w:color w:val="auto"/>
                      <w:spacing w:val="-10"/>
                      <w:szCs w:val="21"/>
                    </w:rPr>
                    <w:t>排放标准限值</w:t>
                  </w:r>
                  <w:r>
                    <w:rPr>
                      <w:rFonts w:hint="eastAsia" w:cs="Times New Roman"/>
                      <w:bCs/>
                      <w:color w:val="auto"/>
                      <w:spacing w:val="-10"/>
                      <w:szCs w:val="21"/>
                      <w:lang w:val="en-US" w:eastAsia="zh-CN"/>
                    </w:rPr>
                    <w:t>要求。</w:t>
                  </w:r>
                </w:p>
              </w:tc>
            </w:tr>
          </w:tbl>
          <w:p w14:paraId="646FC8F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本项目浸胶纸烘干采用天然气为燃料提供热源，属于清洁能源，天然气的主要成分为甲烷，燃烧过程中</w:t>
            </w:r>
            <w:r>
              <w:rPr>
                <w:rFonts w:hint="eastAsia" w:cs="Times New Roman"/>
                <w:color w:val="auto"/>
                <w:sz w:val="24"/>
                <w:lang w:eastAsia="zh-CN"/>
              </w:rPr>
              <w:t>产生</w:t>
            </w:r>
            <w:r>
              <w:rPr>
                <w:rFonts w:hint="default" w:ascii="Times New Roman" w:hAnsi="Times New Roman" w:cs="Times New Roman"/>
                <w:color w:val="auto"/>
                <w:sz w:val="24"/>
              </w:rPr>
              <w:t>一定量的燃烧废气，污染物主要为SO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、NOx、颗粒物。SO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、NOx、颗粒物产生系数</w:t>
            </w:r>
            <w:r>
              <w:rPr>
                <w:rFonts w:hint="eastAsia" w:cs="Times New Roman"/>
                <w:color w:val="auto"/>
                <w:sz w:val="24"/>
                <w:lang w:eastAsia="zh-CN"/>
              </w:rPr>
              <w:t>参考</w:t>
            </w:r>
            <w:r>
              <w:rPr>
                <w:rFonts w:hint="eastAsia" w:ascii="Times New Roman" w:hAnsi="Times New Roman" w:eastAsia="宋体" w:cs="Times New Roman"/>
                <w:color w:val="auto"/>
                <w:sz w:val="24"/>
                <w:szCs w:val="24"/>
                <w:lang w:val="en-US" w:eastAsia="zh-CN"/>
              </w:rPr>
              <w:t>《排污许可证申请与核发技术规范锅炉》（</w:t>
            </w:r>
            <w:r>
              <w:rPr>
                <w:rFonts w:hint="default" w:ascii="Times New Roman" w:hAnsi="Times New Roman" w:eastAsia="宋体" w:cs="Times New Roman"/>
                <w:color w:val="auto"/>
                <w:sz w:val="24"/>
                <w:szCs w:val="24"/>
                <w:lang w:val="en-US" w:eastAsia="zh-CN"/>
              </w:rPr>
              <w:t>HJ953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2018</w:t>
            </w:r>
            <w:r>
              <w:rPr>
                <w:rFonts w:hint="eastAsia"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val="en-US" w:eastAsia="zh-CN"/>
              </w:rPr>
              <w:t xml:space="preserve">F.3 </w:t>
            </w:r>
            <w:r>
              <w:rPr>
                <w:rFonts w:hint="eastAsia" w:ascii="Times New Roman" w:hAnsi="Times New Roman" w:eastAsia="宋体" w:cs="Times New Roman"/>
                <w:color w:val="auto"/>
                <w:sz w:val="24"/>
                <w:szCs w:val="24"/>
                <w:lang w:val="en-US" w:eastAsia="zh-CN"/>
              </w:rPr>
              <w:t>燃气工业炉天然气的产排污系数。</w:t>
            </w:r>
            <w:r>
              <w:rPr>
                <w:rFonts w:hint="default" w:ascii="Times New Roman" w:hAnsi="Times New Roman" w:cs="Times New Roman"/>
                <w:color w:val="auto"/>
                <w:sz w:val="24"/>
              </w:rPr>
              <w:t>具体系数详见下表4-4。</w:t>
            </w:r>
          </w:p>
          <w:p w14:paraId="3EE39A4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表4-4  燃气废气产生系数</w:t>
            </w:r>
          </w:p>
          <w:tbl>
            <w:tblPr>
              <w:tblStyle w:val="31"/>
              <w:tblW w:w="8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918"/>
              <w:gridCol w:w="1303"/>
              <w:gridCol w:w="1206"/>
              <w:gridCol w:w="1063"/>
              <w:gridCol w:w="1122"/>
              <w:gridCol w:w="1896"/>
            </w:tblGrid>
            <w:tr w14:paraId="53E3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tcBorders>
                    <w:tl2br w:val="nil"/>
                    <w:tr2bl w:val="nil"/>
                  </w:tcBorders>
                  <w:vAlign w:val="center"/>
                </w:tcPr>
                <w:p w14:paraId="219DDBDF">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b/>
                      <w:bCs/>
                      <w:color w:val="auto"/>
                      <w:szCs w:val="21"/>
                    </w:rPr>
                  </w:pPr>
                  <w:bookmarkStart w:id="12" w:name="_Toc853"/>
                  <w:r>
                    <w:rPr>
                      <w:rFonts w:hint="default" w:ascii="Times New Roman" w:hAnsi="Times New Roman" w:cs="Times New Roman" w:eastAsiaTheme="minorEastAsia"/>
                      <w:b/>
                      <w:bCs/>
                      <w:color w:val="auto"/>
                      <w:szCs w:val="21"/>
                    </w:rPr>
                    <w:t>污染物指标</w:t>
                  </w:r>
                  <w:bookmarkEnd w:id="12"/>
                </w:p>
              </w:tc>
              <w:tc>
                <w:tcPr>
                  <w:tcW w:w="918" w:type="dxa"/>
                  <w:tcBorders>
                    <w:tl2br w:val="nil"/>
                    <w:tr2bl w:val="nil"/>
                  </w:tcBorders>
                  <w:vAlign w:val="center"/>
                </w:tcPr>
                <w:p w14:paraId="4491A001">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b/>
                      <w:bCs/>
                      <w:color w:val="auto"/>
                      <w:szCs w:val="21"/>
                    </w:rPr>
                  </w:pPr>
                  <w:bookmarkStart w:id="13" w:name="_Toc21156"/>
                  <w:r>
                    <w:rPr>
                      <w:rFonts w:hint="default" w:ascii="Times New Roman" w:hAnsi="Times New Roman" w:cs="Times New Roman" w:eastAsiaTheme="minorEastAsia"/>
                      <w:b/>
                      <w:bCs/>
                      <w:color w:val="auto"/>
                      <w:szCs w:val="21"/>
                    </w:rPr>
                    <w:t>原料名称</w:t>
                  </w:r>
                  <w:bookmarkEnd w:id="13"/>
                </w:p>
              </w:tc>
              <w:tc>
                <w:tcPr>
                  <w:tcW w:w="1303" w:type="dxa"/>
                  <w:tcBorders>
                    <w:tl2br w:val="nil"/>
                    <w:tr2bl w:val="nil"/>
                  </w:tcBorders>
                  <w:vAlign w:val="center"/>
                </w:tcPr>
                <w:p w14:paraId="3E722544">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b/>
                      <w:bCs/>
                      <w:color w:val="auto"/>
                      <w:szCs w:val="21"/>
                    </w:rPr>
                  </w:pPr>
                  <w:bookmarkStart w:id="14" w:name="_Toc6385"/>
                  <w:r>
                    <w:rPr>
                      <w:rFonts w:hint="default" w:ascii="Times New Roman" w:hAnsi="Times New Roman" w:cs="Times New Roman" w:eastAsiaTheme="minorEastAsia"/>
                      <w:b/>
                      <w:bCs/>
                      <w:color w:val="auto"/>
                      <w:szCs w:val="21"/>
                    </w:rPr>
                    <w:t>单位</w:t>
                  </w:r>
                  <w:bookmarkEnd w:id="14"/>
                </w:p>
              </w:tc>
              <w:tc>
                <w:tcPr>
                  <w:tcW w:w="1206" w:type="dxa"/>
                  <w:tcBorders>
                    <w:tl2br w:val="nil"/>
                    <w:tr2bl w:val="nil"/>
                  </w:tcBorders>
                  <w:vAlign w:val="center"/>
                </w:tcPr>
                <w:p w14:paraId="0BBD2033">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b/>
                      <w:bCs/>
                      <w:color w:val="auto"/>
                      <w:szCs w:val="21"/>
                    </w:rPr>
                  </w:pPr>
                  <w:bookmarkStart w:id="15" w:name="_Toc29839"/>
                  <w:r>
                    <w:rPr>
                      <w:rFonts w:hint="default" w:ascii="Times New Roman" w:hAnsi="Times New Roman" w:cs="Times New Roman" w:eastAsiaTheme="minorEastAsia"/>
                      <w:b/>
                      <w:bCs/>
                      <w:color w:val="auto"/>
                      <w:szCs w:val="21"/>
                    </w:rPr>
                    <w:t>产污系数</w:t>
                  </w:r>
                  <w:bookmarkEnd w:id="15"/>
                </w:p>
              </w:tc>
              <w:tc>
                <w:tcPr>
                  <w:tcW w:w="1063" w:type="dxa"/>
                  <w:tcBorders>
                    <w:tl2br w:val="nil"/>
                    <w:tr2bl w:val="nil"/>
                  </w:tcBorders>
                  <w:vAlign w:val="center"/>
                </w:tcPr>
                <w:p w14:paraId="21480600">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b/>
                      <w:bCs/>
                      <w:color w:val="auto"/>
                      <w:szCs w:val="21"/>
                    </w:rPr>
                  </w:pPr>
                  <w:bookmarkStart w:id="16" w:name="_Toc13461"/>
                  <w:r>
                    <w:rPr>
                      <w:rFonts w:hint="default" w:ascii="Times New Roman" w:hAnsi="Times New Roman" w:cs="Times New Roman" w:eastAsiaTheme="minorEastAsia"/>
                      <w:b/>
                      <w:bCs/>
                      <w:color w:val="auto"/>
                      <w:szCs w:val="21"/>
                    </w:rPr>
                    <w:t>末端治理技术名称</w:t>
                  </w:r>
                  <w:bookmarkEnd w:id="16"/>
                </w:p>
              </w:tc>
              <w:tc>
                <w:tcPr>
                  <w:tcW w:w="1122" w:type="dxa"/>
                  <w:tcBorders>
                    <w:tl2br w:val="nil"/>
                    <w:tr2bl w:val="nil"/>
                  </w:tcBorders>
                  <w:vAlign w:val="center"/>
                </w:tcPr>
                <w:p w14:paraId="09AEFB4B">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b/>
                      <w:bCs/>
                      <w:color w:val="auto"/>
                      <w:szCs w:val="21"/>
                    </w:rPr>
                  </w:pPr>
                  <w:bookmarkStart w:id="17" w:name="_Toc8336"/>
                  <w:r>
                    <w:rPr>
                      <w:rFonts w:hint="default" w:ascii="Times New Roman" w:hAnsi="Times New Roman" w:cs="Times New Roman" w:eastAsiaTheme="minorEastAsia"/>
                      <w:b/>
                      <w:bCs/>
                      <w:color w:val="auto"/>
                      <w:szCs w:val="21"/>
                    </w:rPr>
                    <w:t>排污系数</w:t>
                  </w:r>
                  <w:bookmarkEnd w:id="17"/>
                </w:p>
              </w:tc>
              <w:tc>
                <w:tcPr>
                  <w:tcW w:w="1896" w:type="dxa"/>
                  <w:tcBorders>
                    <w:tl2br w:val="nil"/>
                    <w:tr2bl w:val="nil"/>
                  </w:tcBorders>
                  <w:vAlign w:val="center"/>
                </w:tcPr>
                <w:p w14:paraId="42F1E700">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b/>
                      <w:bCs/>
                      <w:color w:val="auto"/>
                      <w:szCs w:val="21"/>
                    </w:rPr>
                  </w:pPr>
                  <w:bookmarkStart w:id="18" w:name="_Toc10861"/>
                  <w:r>
                    <w:rPr>
                      <w:rFonts w:hint="default" w:ascii="Times New Roman" w:hAnsi="Times New Roman" w:cs="Times New Roman" w:eastAsiaTheme="minorEastAsia"/>
                      <w:b/>
                      <w:bCs/>
                      <w:color w:val="auto"/>
                      <w:szCs w:val="21"/>
                    </w:rPr>
                    <w:t>依据来源</w:t>
                  </w:r>
                  <w:bookmarkEnd w:id="18"/>
                </w:p>
              </w:tc>
            </w:tr>
            <w:tr w14:paraId="7FE3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tcBorders>
                    <w:tl2br w:val="nil"/>
                    <w:tr2bl w:val="nil"/>
                  </w:tcBorders>
                  <w:vAlign w:val="center"/>
                </w:tcPr>
                <w:p w14:paraId="4C45BE14">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19" w:name="_Toc28063"/>
                  <w:r>
                    <w:rPr>
                      <w:rFonts w:hint="default" w:ascii="Times New Roman" w:hAnsi="Times New Roman" w:cs="Times New Roman" w:eastAsiaTheme="minorEastAsia"/>
                      <w:color w:val="auto"/>
                      <w:szCs w:val="21"/>
                    </w:rPr>
                    <w:t>废气量</w:t>
                  </w:r>
                  <w:bookmarkEnd w:id="19"/>
                </w:p>
              </w:tc>
              <w:tc>
                <w:tcPr>
                  <w:tcW w:w="918" w:type="dxa"/>
                  <w:vMerge w:val="restart"/>
                  <w:tcBorders>
                    <w:tl2br w:val="nil"/>
                    <w:tr2bl w:val="nil"/>
                  </w:tcBorders>
                  <w:vAlign w:val="center"/>
                </w:tcPr>
                <w:p w14:paraId="04284590">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0" w:name="_Toc25371"/>
                  <w:r>
                    <w:rPr>
                      <w:rFonts w:hint="default" w:ascii="Times New Roman" w:hAnsi="Times New Roman" w:cs="Times New Roman" w:eastAsiaTheme="minorEastAsia"/>
                      <w:color w:val="auto"/>
                      <w:szCs w:val="21"/>
                    </w:rPr>
                    <w:t>天然气</w:t>
                  </w:r>
                  <w:bookmarkEnd w:id="20"/>
                </w:p>
              </w:tc>
              <w:tc>
                <w:tcPr>
                  <w:tcW w:w="1303" w:type="dxa"/>
                  <w:tcBorders>
                    <w:tl2br w:val="nil"/>
                    <w:tr2bl w:val="nil"/>
                  </w:tcBorders>
                  <w:vAlign w:val="center"/>
                </w:tcPr>
                <w:p w14:paraId="5E7CD585">
                  <w:pPr>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1" w:name="_Toc24862"/>
                  <w:r>
                    <w:rPr>
                      <w:rFonts w:hint="default" w:ascii="Times New Roman" w:hAnsi="Times New Roman" w:cs="Times New Roman" w:eastAsiaTheme="minorEastAsia"/>
                      <w:color w:val="auto"/>
                      <w:szCs w:val="21"/>
                    </w:rPr>
                    <w:t>m</w:t>
                  </w:r>
                  <w:r>
                    <w:rPr>
                      <w:rFonts w:hint="default" w:ascii="Times New Roman" w:hAnsi="Times New Roman" w:cs="Times New Roman" w:eastAsiaTheme="minorEastAsia"/>
                      <w:color w:val="auto"/>
                      <w:szCs w:val="21"/>
                      <w:vertAlign w:val="superscript"/>
                    </w:rPr>
                    <w:t>3</w:t>
                  </w:r>
                  <w:r>
                    <w:rPr>
                      <w:rFonts w:hint="default" w:ascii="Times New Roman" w:hAnsi="Times New Roman" w:cs="Times New Roman" w:eastAsiaTheme="minorEastAsia"/>
                      <w:color w:val="auto"/>
                      <w:szCs w:val="21"/>
                    </w:rPr>
                    <w:t>/立方米-燃料</w:t>
                  </w:r>
                  <w:bookmarkEnd w:id="21"/>
                </w:p>
              </w:tc>
              <w:tc>
                <w:tcPr>
                  <w:tcW w:w="1206" w:type="dxa"/>
                  <w:tcBorders>
                    <w:tl2br w:val="nil"/>
                    <w:tr2bl w:val="nil"/>
                  </w:tcBorders>
                  <w:vAlign w:val="center"/>
                </w:tcPr>
                <w:p w14:paraId="74DFC540">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2" w:name="_Toc14497"/>
                  <w:r>
                    <w:rPr>
                      <w:rFonts w:hint="default" w:ascii="Times New Roman" w:hAnsi="Times New Roman" w:cs="Times New Roman" w:eastAsiaTheme="minorEastAsia"/>
                      <w:color w:val="auto"/>
                      <w:szCs w:val="21"/>
                    </w:rPr>
                    <w:t>13.6</w:t>
                  </w:r>
                  <w:bookmarkEnd w:id="22"/>
                </w:p>
              </w:tc>
              <w:tc>
                <w:tcPr>
                  <w:tcW w:w="1063" w:type="dxa"/>
                  <w:tcBorders>
                    <w:tl2br w:val="nil"/>
                    <w:tr2bl w:val="nil"/>
                  </w:tcBorders>
                  <w:vAlign w:val="center"/>
                </w:tcPr>
                <w:p w14:paraId="75EDC725">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3" w:name="_Toc13985"/>
                  <w:r>
                    <w:rPr>
                      <w:rFonts w:hint="default" w:ascii="Times New Roman" w:hAnsi="Times New Roman" w:cs="Times New Roman" w:eastAsiaTheme="minorEastAsia"/>
                      <w:color w:val="auto"/>
                      <w:szCs w:val="21"/>
                    </w:rPr>
                    <w:t>/</w:t>
                  </w:r>
                  <w:bookmarkEnd w:id="23"/>
                </w:p>
              </w:tc>
              <w:tc>
                <w:tcPr>
                  <w:tcW w:w="1122" w:type="dxa"/>
                  <w:tcBorders>
                    <w:tl2br w:val="nil"/>
                    <w:tr2bl w:val="nil"/>
                  </w:tcBorders>
                  <w:vAlign w:val="center"/>
                </w:tcPr>
                <w:p w14:paraId="6DB203B8">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4" w:name="_Toc883"/>
                  <w:r>
                    <w:rPr>
                      <w:rFonts w:hint="default" w:ascii="Times New Roman" w:hAnsi="Times New Roman" w:cs="Times New Roman" w:eastAsiaTheme="minorEastAsia"/>
                      <w:color w:val="auto"/>
                      <w:szCs w:val="21"/>
                    </w:rPr>
                    <w:t>/</w:t>
                  </w:r>
                  <w:bookmarkEnd w:id="24"/>
                </w:p>
              </w:tc>
              <w:tc>
                <w:tcPr>
                  <w:tcW w:w="1896" w:type="dxa"/>
                  <w:vMerge w:val="restart"/>
                  <w:tcBorders>
                    <w:tl2br w:val="nil"/>
                    <w:tr2bl w:val="nil"/>
                  </w:tcBorders>
                  <w:vAlign w:val="center"/>
                </w:tcPr>
                <w:p w14:paraId="55D5C30C">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kern w:val="2"/>
                      <w:sz w:val="21"/>
                      <w:szCs w:val="21"/>
                      <w:lang w:val="en-US" w:eastAsia="zh-CN" w:bidi="ar-SA"/>
                    </w:rPr>
                    <w:t>《排污许可证申请与核发技术规范锅炉》（</w:t>
                  </w:r>
                  <w:r>
                    <w:rPr>
                      <w:rFonts w:hint="default" w:ascii="Times New Roman" w:hAnsi="Times New Roman" w:cs="Times New Roman" w:eastAsiaTheme="minorEastAsia"/>
                      <w:color w:val="auto"/>
                      <w:kern w:val="2"/>
                      <w:sz w:val="21"/>
                      <w:szCs w:val="21"/>
                      <w:lang w:val="en-US" w:eastAsia="zh-CN" w:bidi="ar-SA"/>
                    </w:rPr>
                    <w:t>HJ953</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en-US" w:eastAsia="zh-CN" w:bidi="ar-SA"/>
                    </w:rPr>
                    <w:t>2018</w:t>
                  </w:r>
                  <w:r>
                    <w:rPr>
                      <w:rFonts w:hint="eastAsia" w:ascii="Times New Roman" w:hAnsi="Times New Roman" w:cs="Times New Roman" w:eastAsiaTheme="minorEastAsia"/>
                      <w:color w:val="auto"/>
                      <w:kern w:val="2"/>
                      <w:sz w:val="21"/>
                      <w:szCs w:val="21"/>
                      <w:lang w:val="en-US" w:eastAsia="zh-CN" w:bidi="ar-SA"/>
                    </w:rPr>
                    <w:t>）表</w:t>
                  </w:r>
                  <w:r>
                    <w:rPr>
                      <w:rFonts w:hint="default" w:ascii="Times New Roman" w:hAnsi="Times New Roman" w:cs="Times New Roman" w:eastAsiaTheme="minorEastAsia"/>
                      <w:color w:val="auto"/>
                      <w:kern w:val="2"/>
                      <w:sz w:val="21"/>
                      <w:szCs w:val="21"/>
                      <w:lang w:val="en-US" w:eastAsia="zh-CN" w:bidi="ar-SA"/>
                    </w:rPr>
                    <w:t>F.3</w:t>
                  </w:r>
                  <w:r>
                    <w:rPr>
                      <w:rFonts w:hint="default" w:ascii="Times New Roman" w:hAnsi="Times New Roman" w:eastAsia="宋体" w:cs="Times New Roman"/>
                      <w:color w:val="auto"/>
                      <w:sz w:val="24"/>
                      <w:szCs w:val="24"/>
                      <w:lang w:val="en-US" w:eastAsia="zh-CN"/>
                    </w:rPr>
                    <w:t xml:space="preserve"> </w:t>
                  </w:r>
                </w:p>
              </w:tc>
            </w:tr>
            <w:tr w14:paraId="0EFA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73" w:type="dxa"/>
                  <w:tcBorders>
                    <w:tl2br w:val="nil"/>
                    <w:tr2bl w:val="nil"/>
                  </w:tcBorders>
                  <w:vAlign w:val="center"/>
                </w:tcPr>
                <w:p w14:paraId="318F6711">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5" w:name="_Toc8474"/>
                  <w:r>
                    <w:rPr>
                      <w:rFonts w:hint="default" w:ascii="Times New Roman" w:hAnsi="Times New Roman" w:cs="Times New Roman" w:eastAsiaTheme="minorEastAsia"/>
                      <w:color w:val="auto"/>
                      <w:szCs w:val="21"/>
                    </w:rPr>
                    <w:t>SO</w:t>
                  </w:r>
                  <w:r>
                    <w:rPr>
                      <w:rFonts w:hint="default" w:ascii="Times New Roman" w:hAnsi="Times New Roman" w:cs="Times New Roman" w:eastAsiaTheme="minorEastAsia"/>
                      <w:color w:val="auto"/>
                      <w:szCs w:val="21"/>
                      <w:vertAlign w:val="subscript"/>
                    </w:rPr>
                    <w:t>2</w:t>
                  </w:r>
                  <w:bookmarkEnd w:id="25"/>
                </w:p>
              </w:tc>
              <w:tc>
                <w:tcPr>
                  <w:tcW w:w="918" w:type="dxa"/>
                  <w:vMerge w:val="continue"/>
                  <w:tcBorders>
                    <w:tl2br w:val="nil"/>
                    <w:tr2bl w:val="nil"/>
                  </w:tcBorders>
                  <w:vAlign w:val="center"/>
                </w:tcPr>
                <w:p w14:paraId="1A6C93F9">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p>
              </w:tc>
              <w:tc>
                <w:tcPr>
                  <w:tcW w:w="1303" w:type="dxa"/>
                  <w:tcBorders>
                    <w:tl2br w:val="nil"/>
                    <w:tr2bl w:val="nil"/>
                  </w:tcBorders>
                  <w:vAlign w:val="center"/>
                </w:tcPr>
                <w:p w14:paraId="1A36D1A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Cs w:val="21"/>
                    </w:rPr>
                  </w:pPr>
                  <w:r>
                    <w:rPr>
                      <w:rFonts w:hint="eastAsia" w:ascii="Times New Roman" w:hAnsi="Times New Roman" w:eastAsia="宋体" w:cs="Times New Roman"/>
                      <w:color w:val="auto"/>
                      <w:sz w:val="21"/>
                      <w:szCs w:val="21"/>
                      <w:vertAlign w:val="baseline"/>
                      <w:lang w:val="en-US" w:eastAsia="zh-CN"/>
                    </w:rPr>
                    <w:t>Kg/万m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-原料</w:t>
                  </w:r>
                </w:p>
              </w:tc>
              <w:tc>
                <w:tcPr>
                  <w:tcW w:w="1206" w:type="dxa"/>
                  <w:tcBorders>
                    <w:tl2br w:val="nil"/>
                    <w:tr2bl w:val="nil"/>
                  </w:tcBorders>
                  <w:vAlign w:val="center"/>
                </w:tcPr>
                <w:p w14:paraId="517FB85D">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6" w:name="_Toc18720"/>
                  <w:r>
                    <w:rPr>
                      <w:rFonts w:hint="default" w:ascii="Times New Roman" w:hAnsi="Times New Roman" w:cs="Times New Roman" w:eastAsiaTheme="minorEastAsia"/>
                      <w:color w:val="auto"/>
                      <w:szCs w:val="21"/>
                    </w:rPr>
                    <w:t>0.02S</w:t>
                  </w:r>
                  <w:bookmarkEnd w:id="26"/>
                </w:p>
              </w:tc>
              <w:tc>
                <w:tcPr>
                  <w:tcW w:w="1063" w:type="dxa"/>
                  <w:tcBorders>
                    <w:tl2br w:val="nil"/>
                    <w:tr2bl w:val="nil"/>
                  </w:tcBorders>
                  <w:vAlign w:val="center"/>
                </w:tcPr>
                <w:p w14:paraId="7E771FB1">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7" w:name="_Toc17902"/>
                  <w:r>
                    <w:rPr>
                      <w:rFonts w:hint="default" w:ascii="Times New Roman" w:hAnsi="Times New Roman" w:cs="Times New Roman" w:eastAsiaTheme="minorEastAsia"/>
                      <w:color w:val="auto"/>
                      <w:szCs w:val="21"/>
                    </w:rPr>
                    <w:t>直排</w:t>
                  </w:r>
                  <w:bookmarkEnd w:id="27"/>
                </w:p>
              </w:tc>
              <w:tc>
                <w:tcPr>
                  <w:tcW w:w="1122" w:type="dxa"/>
                  <w:tcBorders>
                    <w:tl2br w:val="nil"/>
                    <w:tr2bl w:val="nil"/>
                  </w:tcBorders>
                  <w:vAlign w:val="center"/>
                </w:tcPr>
                <w:p w14:paraId="17C1F17A">
                  <w:pPr>
                    <w:pStyle w:val="13"/>
                    <w:keepNext w:val="0"/>
                    <w:keepLines w:val="0"/>
                    <w:suppressLineNumbers w:val="0"/>
                    <w:adjustRightInd w:val="0"/>
                    <w:snapToGrid w:val="0"/>
                    <w:spacing w:before="0" w:beforeAutospacing="0" w:after="0" w:afterAutospacing="0"/>
                    <w:ind w:left="0" w:leftChars="0" w:right="0" w:rightChars="0"/>
                    <w:jc w:val="center"/>
                    <w:outlineLvl w:val="0"/>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0.02S</w:t>
                  </w:r>
                </w:p>
              </w:tc>
              <w:tc>
                <w:tcPr>
                  <w:tcW w:w="1896" w:type="dxa"/>
                  <w:vMerge w:val="continue"/>
                  <w:tcBorders>
                    <w:tl2br w:val="nil"/>
                    <w:tr2bl w:val="nil"/>
                  </w:tcBorders>
                  <w:vAlign w:val="center"/>
                </w:tcPr>
                <w:p w14:paraId="2D90195D">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p>
              </w:tc>
            </w:tr>
            <w:tr w14:paraId="1B8C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73" w:type="dxa"/>
                  <w:tcBorders>
                    <w:tl2br w:val="nil"/>
                    <w:tr2bl w:val="nil"/>
                  </w:tcBorders>
                  <w:vAlign w:val="center"/>
                </w:tcPr>
                <w:p w14:paraId="518D2476">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8" w:name="_Toc5413"/>
                  <w:r>
                    <w:rPr>
                      <w:rFonts w:hint="default" w:ascii="Times New Roman" w:hAnsi="Times New Roman" w:cs="Times New Roman" w:eastAsiaTheme="minorEastAsia"/>
                      <w:color w:val="auto"/>
                      <w:szCs w:val="21"/>
                    </w:rPr>
                    <w:t>NO</w:t>
                  </w:r>
                  <w:r>
                    <w:rPr>
                      <w:rFonts w:hint="default" w:ascii="Times New Roman" w:hAnsi="Times New Roman" w:cs="Times New Roman" w:eastAsiaTheme="minorEastAsia"/>
                      <w:color w:val="auto"/>
                      <w:szCs w:val="21"/>
                      <w:vertAlign w:val="subscript"/>
                    </w:rPr>
                    <w:t>x</w:t>
                  </w:r>
                  <w:bookmarkEnd w:id="28"/>
                </w:p>
              </w:tc>
              <w:tc>
                <w:tcPr>
                  <w:tcW w:w="918" w:type="dxa"/>
                  <w:vMerge w:val="continue"/>
                  <w:tcBorders>
                    <w:tl2br w:val="nil"/>
                    <w:tr2bl w:val="nil"/>
                  </w:tcBorders>
                  <w:vAlign w:val="center"/>
                </w:tcPr>
                <w:p w14:paraId="7C39D3F5">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p>
              </w:tc>
              <w:tc>
                <w:tcPr>
                  <w:tcW w:w="1303" w:type="dxa"/>
                  <w:tcBorders>
                    <w:tl2br w:val="nil"/>
                    <w:tr2bl w:val="nil"/>
                  </w:tcBorders>
                  <w:vAlign w:val="center"/>
                </w:tcPr>
                <w:p w14:paraId="029FB93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Cs w:val="21"/>
                    </w:rPr>
                  </w:pPr>
                  <w:r>
                    <w:rPr>
                      <w:rFonts w:hint="eastAsia" w:ascii="Times New Roman" w:hAnsi="Times New Roman" w:eastAsia="宋体" w:cs="Times New Roman"/>
                      <w:color w:val="auto"/>
                      <w:sz w:val="21"/>
                      <w:szCs w:val="21"/>
                      <w:vertAlign w:val="baseline"/>
                      <w:lang w:val="en-US" w:eastAsia="zh-CN"/>
                    </w:rPr>
                    <w:t>Kg/万m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-原料</w:t>
                  </w:r>
                </w:p>
              </w:tc>
              <w:tc>
                <w:tcPr>
                  <w:tcW w:w="1206" w:type="dxa"/>
                  <w:tcBorders>
                    <w:tl2br w:val="nil"/>
                    <w:tr2bl w:val="nil"/>
                  </w:tcBorders>
                  <w:vAlign w:val="center"/>
                </w:tcPr>
                <w:p w14:paraId="4461F165">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18.71</w:t>
                  </w:r>
                </w:p>
              </w:tc>
              <w:tc>
                <w:tcPr>
                  <w:tcW w:w="1063" w:type="dxa"/>
                  <w:tcBorders>
                    <w:tl2br w:val="nil"/>
                    <w:tr2bl w:val="nil"/>
                  </w:tcBorders>
                  <w:vAlign w:val="center"/>
                </w:tcPr>
                <w:p w14:paraId="5809CEA7">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29" w:name="_Toc7646"/>
                  <w:r>
                    <w:rPr>
                      <w:rFonts w:hint="default" w:ascii="Times New Roman" w:hAnsi="Times New Roman" w:cs="Times New Roman" w:eastAsiaTheme="minorEastAsia"/>
                      <w:color w:val="auto"/>
                      <w:szCs w:val="21"/>
                    </w:rPr>
                    <w:t>直排</w:t>
                  </w:r>
                  <w:bookmarkEnd w:id="29"/>
                </w:p>
              </w:tc>
              <w:tc>
                <w:tcPr>
                  <w:tcW w:w="1122" w:type="dxa"/>
                  <w:tcBorders>
                    <w:tl2br w:val="nil"/>
                    <w:tr2bl w:val="nil"/>
                  </w:tcBorders>
                  <w:vAlign w:val="center"/>
                </w:tcPr>
                <w:p w14:paraId="2B03784A">
                  <w:pPr>
                    <w:pStyle w:val="13"/>
                    <w:keepNext w:val="0"/>
                    <w:keepLines w:val="0"/>
                    <w:suppressLineNumbers w:val="0"/>
                    <w:adjustRightInd w:val="0"/>
                    <w:snapToGrid w:val="0"/>
                    <w:spacing w:before="0" w:beforeAutospacing="0" w:after="0" w:afterAutospacing="0"/>
                    <w:ind w:left="0" w:leftChars="0" w:right="0" w:rightChars="0"/>
                    <w:jc w:val="center"/>
                    <w:outlineLvl w:val="0"/>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18.71</w:t>
                  </w:r>
                </w:p>
              </w:tc>
              <w:tc>
                <w:tcPr>
                  <w:tcW w:w="1896" w:type="dxa"/>
                  <w:vMerge w:val="continue"/>
                  <w:tcBorders>
                    <w:tl2br w:val="nil"/>
                    <w:tr2bl w:val="nil"/>
                  </w:tcBorders>
                  <w:vAlign w:val="center"/>
                </w:tcPr>
                <w:p w14:paraId="6CA08B1F">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p>
              </w:tc>
            </w:tr>
            <w:tr w14:paraId="71E3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3" w:type="dxa"/>
                  <w:tcBorders>
                    <w:tl2br w:val="nil"/>
                    <w:tr2bl w:val="nil"/>
                  </w:tcBorders>
                  <w:vAlign w:val="center"/>
                </w:tcPr>
                <w:p w14:paraId="245223F2">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30" w:name="_Toc6706"/>
                  <w:r>
                    <w:rPr>
                      <w:rFonts w:hint="default" w:ascii="Times New Roman" w:hAnsi="Times New Roman" w:cs="Times New Roman" w:eastAsiaTheme="minorEastAsia"/>
                      <w:color w:val="auto"/>
                      <w:szCs w:val="21"/>
                    </w:rPr>
                    <w:t>颗粒物</w:t>
                  </w:r>
                  <w:bookmarkEnd w:id="30"/>
                </w:p>
              </w:tc>
              <w:tc>
                <w:tcPr>
                  <w:tcW w:w="918" w:type="dxa"/>
                  <w:vMerge w:val="continue"/>
                  <w:tcBorders>
                    <w:tl2br w:val="nil"/>
                    <w:tr2bl w:val="nil"/>
                  </w:tcBorders>
                  <w:vAlign w:val="center"/>
                </w:tcPr>
                <w:p w14:paraId="53561F31">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p>
              </w:tc>
              <w:tc>
                <w:tcPr>
                  <w:tcW w:w="1303" w:type="dxa"/>
                  <w:tcBorders>
                    <w:tl2br w:val="nil"/>
                    <w:tr2bl w:val="nil"/>
                  </w:tcBorders>
                  <w:vAlign w:val="center"/>
                </w:tcPr>
                <w:p w14:paraId="2EA8A9E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szCs w:val="21"/>
                    </w:rPr>
                  </w:pPr>
                  <w:r>
                    <w:rPr>
                      <w:rFonts w:hint="eastAsia" w:ascii="Times New Roman" w:hAnsi="Times New Roman" w:eastAsia="宋体" w:cs="Times New Roman"/>
                      <w:color w:val="auto"/>
                      <w:sz w:val="21"/>
                      <w:szCs w:val="21"/>
                      <w:vertAlign w:val="baseline"/>
                      <w:lang w:val="en-US" w:eastAsia="zh-CN"/>
                    </w:rPr>
                    <w:t>Kg/万m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-原料</w:t>
                  </w:r>
                </w:p>
              </w:tc>
              <w:tc>
                <w:tcPr>
                  <w:tcW w:w="1206" w:type="dxa"/>
                  <w:tcBorders>
                    <w:tl2br w:val="nil"/>
                    <w:tr2bl w:val="nil"/>
                  </w:tcBorders>
                  <w:vAlign w:val="center"/>
                </w:tcPr>
                <w:p w14:paraId="6867E6DB">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2.86</w:t>
                  </w:r>
                </w:p>
              </w:tc>
              <w:tc>
                <w:tcPr>
                  <w:tcW w:w="1063" w:type="dxa"/>
                  <w:tcBorders>
                    <w:tl2br w:val="nil"/>
                    <w:tr2bl w:val="nil"/>
                  </w:tcBorders>
                  <w:vAlign w:val="center"/>
                </w:tcPr>
                <w:p w14:paraId="10BE67C8">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bookmarkStart w:id="31" w:name="_Toc23516"/>
                  <w:r>
                    <w:rPr>
                      <w:rFonts w:hint="default" w:ascii="Times New Roman" w:hAnsi="Times New Roman" w:cs="Times New Roman" w:eastAsiaTheme="minorEastAsia"/>
                      <w:color w:val="auto"/>
                      <w:szCs w:val="21"/>
                    </w:rPr>
                    <w:t>直排</w:t>
                  </w:r>
                  <w:bookmarkEnd w:id="31"/>
                </w:p>
              </w:tc>
              <w:tc>
                <w:tcPr>
                  <w:tcW w:w="1122" w:type="dxa"/>
                  <w:tcBorders>
                    <w:tl2br w:val="nil"/>
                    <w:tr2bl w:val="nil"/>
                  </w:tcBorders>
                  <w:vAlign w:val="center"/>
                </w:tcPr>
                <w:p w14:paraId="3A008747">
                  <w:pPr>
                    <w:pStyle w:val="13"/>
                    <w:keepNext w:val="0"/>
                    <w:keepLines w:val="0"/>
                    <w:suppressLineNumbers w:val="0"/>
                    <w:adjustRightInd w:val="0"/>
                    <w:snapToGrid w:val="0"/>
                    <w:spacing w:before="0" w:beforeAutospacing="0" w:after="0" w:afterAutospacing="0"/>
                    <w:ind w:left="0" w:leftChars="0" w:right="0" w:rightChars="0"/>
                    <w:jc w:val="center"/>
                    <w:outlineLvl w:val="0"/>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2.86</w:t>
                  </w:r>
                </w:p>
              </w:tc>
              <w:tc>
                <w:tcPr>
                  <w:tcW w:w="1896" w:type="dxa"/>
                  <w:vMerge w:val="continue"/>
                  <w:tcBorders>
                    <w:tl2br w:val="nil"/>
                    <w:tr2bl w:val="nil"/>
                  </w:tcBorders>
                  <w:vAlign w:val="center"/>
                </w:tcPr>
                <w:p w14:paraId="4CDB2E99">
                  <w:pPr>
                    <w:pStyle w:val="13"/>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cs="Times New Roman" w:eastAsiaTheme="minorEastAsia"/>
                      <w:color w:val="auto"/>
                      <w:szCs w:val="21"/>
                    </w:rPr>
                  </w:pPr>
                </w:p>
              </w:tc>
            </w:tr>
          </w:tbl>
          <w:p w14:paraId="3F1F836C">
            <w:pPr>
              <w:pStyle w:val="13"/>
              <w:keepNext w:val="0"/>
              <w:keepLines w:val="0"/>
              <w:suppressLineNumbers w:val="0"/>
              <w:spacing w:before="0" w:beforeAutospacing="0" w:after="0" w:afterLines="50" w:afterAutospacing="0"/>
              <w:ind w:left="0" w:right="0"/>
              <w:outlineLvl w:val="0"/>
              <w:rPr>
                <w:rFonts w:hint="default" w:ascii="Times New Roman" w:hAnsi="Times New Roman" w:cs="Times New Roman" w:eastAsiaTheme="minorEastAsia"/>
                <w:color w:val="auto"/>
                <w:sz w:val="18"/>
                <w:szCs w:val="18"/>
              </w:rPr>
            </w:pPr>
            <w:bookmarkStart w:id="32" w:name="_Toc26456"/>
            <w:r>
              <w:rPr>
                <w:rFonts w:hint="default" w:ascii="Times New Roman" w:hAnsi="Times New Roman" w:cs="Times New Roman" w:eastAsiaTheme="minorEastAsia"/>
                <w:color w:val="auto"/>
                <w:sz w:val="18"/>
                <w:szCs w:val="18"/>
              </w:rPr>
              <w:t>注：产污系数中二氧化硫产污系数是以含硫量（S）的形式表示的，其中含硫量（S）是指燃气收到基硫分含量，单位为毫克/立方米。例如燃料中含硫量（S）为200毫克/立方米，则S=200。</w:t>
            </w:r>
            <w:bookmarkEnd w:id="32"/>
          </w:p>
          <w:p w14:paraId="24B10A1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eastAsia" w:cs="Times New Roman"/>
                <w:color w:val="auto"/>
                <w:sz w:val="24"/>
                <w:lang w:val="en-US" w:eastAsia="zh-CN"/>
              </w:rPr>
              <w:t>表2-5项目使用天然气主要成分及理化性质表可知</w:t>
            </w:r>
            <w:r>
              <w:rPr>
                <w:rFonts w:hint="default" w:ascii="Times New Roman" w:hAnsi="Times New Roman" w:cs="Times New Roman"/>
                <w:color w:val="auto"/>
                <w:sz w:val="24"/>
              </w:rPr>
              <w:t>，</w:t>
            </w:r>
            <w:r>
              <w:rPr>
                <w:rFonts w:hint="eastAsia" w:cs="Times New Roman"/>
                <w:color w:val="auto"/>
                <w:sz w:val="24"/>
                <w:lang w:val="en-US" w:eastAsia="zh-CN"/>
              </w:rPr>
              <w:t>项目</w:t>
            </w:r>
            <w:r>
              <w:rPr>
                <w:rFonts w:hint="default" w:ascii="Times New Roman" w:hAnsi="Times New Roman" w:cs="Times New Roman"/>
                <w:color w:val="auto"/>
                <w:sz w:val="24"/>
              </w:rPr>
              <w:t>天然气</w:t>
            </w:r>
            <w:r>
              <w:rPr>
                <w:rFonts w:hint="eastAsia" w:cs="Times New Roman"/>
                <w:color w:val="auto"/>
                <w:sz w:val="24"/>
                <w:lang w:val="en-US" w:eastAsia="zh-CN"/>
              </w:rPr>
              <w:t>硫化氢</w:t>
            </w:r>
            <w:r>
              <w:rPr>
                <w:rFonts w:hint="default" w:ascii="Times New Roman" w:hAnsi="Times New Roman" w:cs="Times New Roman"/>
                <w:color w:val="auto"/>
                <w:sz w:val="24"/>
              </w:rPr>
              <w:t>的</w:t>
            </w:r>
            <w:r>
              <w:rPr>
                <w:rFonts w:hint="eastAsia" w:cs="Times New Roman"/>
                <w:color w:val="auto"/>
                <w:sz w:val="24"/>
                <w:lang w:val="en-US" w:eastAsia="zh-CN"/>
              </w:rPr>
              <w:t>摩尔百分比</w:t>
            </w:r>
            <w:r>
              <w:rPr>
                <w:rFonts w:hint="default" w:ascii="Times New Roman" w:hAnsi="Times New Roman" w:cs="Times New Roman"/>
                <w:color w:val="auto"/>
                <w:sz w:val="24"/>
              </w:rPr>
              <w:t>≤2</w:t>
            </w:r>
            <w:r>
              <w:rPr>
                <w:rFonts w:hint="eastAsia" w:cs="Times New Roman"/>
                <w:color w:val="auto"/>
                <w:sz w:val="24"/>
                <w:lang w:val="en-US" w:eastAsia="zh-CN"/>
              </w:rPr>
              <w:t>0</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，则</w:t>
            </w:r>
            <w:r>
              <w:rPr>
                <w:rFonts w:hint="eastAsia" w:cs="Times New Roman"/>
                <w:color w:val="auto"/>
                <w:sz w:val="24"/>
                <w:lang w:val="en-US" w:eastAsia="zh-CN"/>
              </w:rPr>
              <w:t>项目</w:t>
            </w:r>
            <w:r>
              <w:rPr>
                <w:rFonts w:hint="default" w:ascii="Times New Roman" w:hAnsi="Times New Roman" w:cs="Times New Roman"/>
                <w:color w:val="auto"/>
                <w:sz w:val="24"/>
              </w:rPr>
              <w:t>S取2</w:t>
            </w:r>
            <w:r>
              <w:rPr>
                <w:rFonts w:hint="eastAsia" w:cs="Times New Roman"/>
                <w:color w:val="auto"/>
                <w:sz w:val="24"/>
                <w:lang w:val="en-US" w:eastAsia="zh-CN"/>
              </w:rPr>
              <w:t>0</w:t>
            </w:r>
            <w:r>
              <w:rPr>
                <w:rFonts w:hint="default" w:ascii="Times New Roman" w:hAnsi="Times New Roman" w:cs="Times New Roman"/>
                <w:color w:val="auto"/>
                <w:sz w:val="24"/>
              </w:rPr>
              <w:t>。根据建设单位提供的数据，本项目一天使用天然气约250m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，则年</w:t>
            </w:r>
            <w:r>
              <w:rPr>
                <w:rFonts w:hint="eastAsia" w:cs="Times New Roman"/>
                <w:color w:val="auto"/>
                <w:sz w:val="24"/>
                <w:lang w:eastAsia="zh-CN"/>
              </w:rPr>
              <w:t>用量</w:t>
            </w:r>
            <w:r>
              <w:rPr>
                <w:rFonts w:hint="default" w:ascii="Times New Roman" w:hAnsi="Times New Roman" w:cs="Times New Roman"/>
                <w:color w:val="auto"/>
                <w:sz w:val="24"/>
              </w:rPr>
              <w:t>约为75000m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，全年工作2400h，则主要污染物产生量分别为颗粒物：0.0215t/a，SO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：0.003t/a，NOx：0.1403t/a，废气量为102万m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/a。废气由烟气管道收集后经1根15m高</w:t>
            </w:r>
            <w:r>
              <w:rPr>
                <w:rFonts w:hint="eastAsia" w:cs="Times New Roman"/>
                <w:color w:val="auto"/>
                <w:sz w:val="24"/>
                <w:lang w:eastAsia="zh-CN"/>
              </w:rPr>
              <w:t>（</w:t>
            </w:r>
            <w:r>
              <w:rPr>
                <w:rFonts w:hint="eastAsia" w:cs="Times New Roman"/>
                <w:color w:val="auto"/>
                <w:sz w:val="24"/>
                <w:lang w:val="en-US" w:eastAsia="zh-CN"/>
              </w:rPr>
              <w:t>DA002）</w:t>
            </w:r>
            <w:r>
              <w:rPr>
                <w:rFonts w:hint="default" w:ascii="Times New Roman" w:hAnsi="Times New Roman" w:cs="Times New Roman"/>
                <w:color w:val="auto"/>
                <w:sz w:val="24"/>
              </w:rPr>
              <w:t>排气筒排放。</w:t>
            </w:r>
          </w:p>
          <w:p w14:paraId="130B559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综上，可计算出天然气燃烧后各污染物的源强见表4-5</w:t>
            </w:r>
            <w:r>
              <w:rPr>
                <w:rFonts w:hint="eastAsia" w:ascii="Times New Roman" w:hAnsi="Times New Roman" w:cs="Times New Roman"/>
                <w:color w:val="auto"/>
                <w:sz w:val="24"/>
                <w:lang w:val="en-US" w:eastAsia="zh-CN"/>
              </w:rPr>
              <w:t>。</w:t>
            </w:r>
          </w:p>
          <w:p w14:paraId="4165F199">
            <w:pPr>
              <w:pStyle w:val="16"/>
              <w:keepNext w:val="0"/>
              <w:keepLines w:val="0"/>
              <w:suppressLineNumbers w:val="0"/>
              <w:spacing w:before="0" w:beforeAutospacing="0" w:after="0" w:afterAutospacing="0"/>
              <w:ind w:right="0" w:firstLine="422"/>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表4-5燃烧废气中污染物的排放系数及排放量</w:t>
            </w:r>
          </w:p>
          <w:tbl>
            <w:tblPr>
              <w:tblStyle w:val="3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9"/>
              <w:gridCol w:w="1234"/>
              <w:gridCol w:w="1335"/>
              <w:gridCol w:w="1742"/>
            </w:tblGrid>
            <w:tr w14:paraId="7A45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4209" w:type="dxa"/>
                  <w:tcBorders>
                    <w:tl2br w:val="single" w:color="auto" w:sz="4" w:space="0"/>
                  </w:tcBorders>
                  <w:vAlign w:val="center"/>
                </w:tcPr>
                <w:p w14:paraId="6F95F4C8">
                  <w:pPr>
                    <w:pStyle w:val="13"/>
                    <w:keepNext w:val="0"/>
                    <w:keepLines w:val="0"/>
                    <w:suppressLineNumbers w:val="0"/>
                    <w:spacing w:before="0" w:beforeAutospacing="0" w:after="0" w:afterAutospacing="0"/>
                    <w:ind w:left="0" w:right="0" w:firstLine="1265" w:firstLineChars="600"/>
                    <w:jc w:val="center"/>
                    <w:rPr>
                      <w:rFonts w:hint="default" w:ascii="Times New Roman" w:hAnsi="Times New Roman" w:cs="Times New Roman"/>
                      <w:b/>
                      <w:color w:val="auto"/>
                    </w:rPr>
                  </w:pPr>
                  <w:r>
                    <w:rPr>
                      <w:rFonts w:hint="default" w:ascii="Times New Roman" w:hAnsi="Times New Roman" w:cs="Times New Roman"/>
                      <w:b/>
                      <w:color w:val="auto"/>
                    </w:rPr>
                    <w:t>污染源</w:t>
                  </w:r>
                </w:p>
                <w:p w14:paraId="3B8A0A39">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default" w:ascii="Times New Roman" w:hAnsi="Times New Roman" w:cs="Times New Roman"/>
                      <w:b/>
                      <w:color w:val="auto"/>
                    </w:rPr>
                    <w:t>项目</w:t>
                  </w:r>
                </w:p>
              </w:tc>
              <w:tc>
                <w:tcPr>
                  <w:tcW w:w="4311" w:type="dxa"/>
                  <w:gridSpan w:val="3"/>
                  <w:vAlign w:val="center"/>
                </w:tcPr>
                <w:p w14:paraId="2BB8AEDC">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lang w:val="en-US" w:eastAsia="zh-CN"/>
                    </w:rPr>
                  </w:pPr>
                  <w:r>
                    <w:rPr>
                      <w:rFonts w:hint="eastAsia" w:ascii="Times New Roman" w:hAnsi="Times New Roman" w:cs="Times New Roman"/>
                      <w:b/>
                      <w:color w:val="auto"/>
                      <w:lang w:val="en-US" w:eastAsia="zh-CN"/>
                    </w:rPr>
                    <w:t>天然气燃烧机</w:t>
                  </w:r>
                </w:p>
              </w:tc>
            </w:tr>
            <w:tr w14:paraId="69C3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19F7F43D">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烟气量</w:t>
                  </w:r>
                </w:p>
              </w:tc>
              <w:tc>
                <w:tcPr>
                  <w:tcW w:w="4311" w:type="dxa"/>
                  <w:gridSpan w:val="3"/>
                  <w:vAlign w:val="center"/>
                </w:tcPr>
                <w:p w14:paraId="690A226C">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color w:val="auto"/>
                    </w:rPr>
                    <w:t>102万</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/a，425m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/h</w:t>
                  </w:r>
                </w:p>
              </w:tc>
            </w:tr>
            <w:tr w14:paraId="14E5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5D4E39C0">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污染物</w:t>
                  </w:r>
                </w:p>
              </w:tc>
              <w:tc>
                <w:tcPr>
                  <w:tcW w:w="1234" w:type="dxa"/>
                  <w:vAlign w:val="center"/>
                </w:tcPr>
                <w:p w14:paraId="712A1751">
                  <w:pPr>
                    <w:pStyle w:val="13"/>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lang w:eastAsia="zh-CN"/>
                    </w:rPr>
                  </w:pPr>
                  <w:r>
                    <w:rPr>
                      <w:rFonts w:hint="eastAsia" w:ascii="Times New Roman" w:hAnsi="Times New Roman" w:cs="Times New Roman"/>
                      <w:bCs/>
                      <w:color w:val="auto"/>
                      <w:lang w:val="en-US" w:eastAsia="zh-CN"/>
                    </w:rPr>
                    <w:t>颗粒物</w:t>
                  </w:r>
                </w:p>
              </w:tc>
              <w:tc>
                <w:tcPr>
                  <w:tcW w:w="1335" w:type="dxa"/>
                  <w:vAlign w:val="center"/>
                </w:tcPr>
                <w:p w14:paraId="34A420B4">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SO</w:t>
                  </w:r>
                  <w:r>
                    <w:rPr>
                      <w:rFonts w:hint="default" w:ascii="Times New Roman" w:hAnsi="Times New Roman" w:cs="Times New Roman"/>
                      <w:bCs/>
                      <w:color w:val="auto"/>
                      <w:vertAlign w:val="subscript"/>
                    </w:rPr>
                    <w:t>2</w:t>
                  </w:r>
                </w:p>
              </w:tc>
              <w:tc>
                <w:tcPr>
                  <w:tcW w:w="1742" w:type="dxa"/>
                  <w:vAlign w:val="center"/>
                </w:tcPr>
                <w:p w14:paraId="2B90155C">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NO</w:t>
                  </w:r>
                  <w:r>
                    <w:rPr>
                      <w:rFonts w:hint="default" w:ascii="Times New Roman" w:hAnsi="Times New Roman" w:cs="Times New Roman"/>
                      <w:bCs/>
                      <w:color w:val="auto"/>
                      <w:vertAlign w:val="subscript"/>
                    </w:rPr>
                    <w:t>x</w:t>
                  </w:r>
                </w:p>
              </w:tc>
            </w:tr>
            <w:tr w14:paraId="73A3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0FF7EF5C">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排放量(</w:t>
                  </w:r>
                  <w:r>
                    <w:rPr>
                      <w:rFonts w:hint="default" w:ascii="Times New Roman" w:hAnsi="Times New Roman" w:cs="Times New Roman"/>
                      <w:color w:val="auto"/>
                    </w:rPr>
                    <w:t>t</w:t>
                  </w:r>
                  <w:r>
                    <w:rPr>
                      <w:rFonts w:hint="default" w:ascii="Times New Roman" w:hAnsi="Times New Roman" w:cs="Times New Roman"/>
                      <w:bCs/>
                      <w:color w:val="auto"/>
                    </w:rPr>
                    <w:t>/a)</w:t>
                  </w:r>
                </w:p>
              </w:tc>
              <w:tc>
                <w:tcPr>
                  <w:tcW w:w="1234" w:type="dxa"/>
                  <w:vAlign w:val="center"/>
                </w:tcPr>
                <w:p w14:paraId="079DC4F1">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0.0215</w:t>
                  </w:r>
                </w:p>
              </w:tc>
              <w:tc>
                <w:tcPr>
                  <w:tcW w:w="1335" w:type="dxa"/>
                  <w:vAlign w:val="center"/>
                </w:tcPr>
                <w:p w14:paraId="40442933">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0.003</w:t>
                  </w:r>
                </w:p>
              </w:tc>
              <w:tc>
                <w:tcPr>
                  <w:tcW w:w="1742" w:type="dxa"/>
                  <w:vAlign w:val="center"/>
                </w:tcPr>
                <w:p w14:paraId="63F52B10">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0.1403</w:t>
                  </w:r>
                </w:p>
              </w:tc>
            </w:tr>
            <w:tr w14:paraId="11BB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589A65A1">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排放速率（kg/h）</w:t>
                  </w:r>
                </w:p>
              </w:tc>
              <w:tc>
                <w:tcPr>
                  <w:tcW w:w="1234" w:type="dxa"/>
                  <w:vAlign w:val="center"/>
                </w:tcPr>
                <w:p w14:paraId="57A336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0.0090</w:t>
                  </w:r>
                </w:p>
              </w:tc>
              <w:tc>
                <w:tcPr>
                  <w:tcW w:w="1335" w:type="dxa"/>
                  <w:vAlign w:val="center"/>
                </w:tcPr>
                <w:p w14:paraId="53AD0B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szCs w:val="21"/>
                      <w:lang w:eastAsia="zh-CN"/>
                    </w:rPr>
                  </w:pPr>
                  <w:r>
                    <w:rPr>
                      <w:rFonts w:hint="default" w:ascii="Times New Roman" w:hAnsi="Times New Roman" w:cs="Times New Roman"/>
                      <w:bCs/>
                      <w:color w:val="auto"/>
                      <w:szCs w:val="21"/>
                    </w:rPr>
                    <w:t>0.001</w:t>
                  </w:r>
                  <w:r>
                    <w:rPr>
                      <w:rFonts w:hint="eastAsia" w:cs="Times New Roman"/>
                      <w:bCs/>
                      <w:color w:val="auto"/>
                      <w:szCs w:val="21"/>
                      <w:lang w:val="en-US" w:eastAsia="zh-CN"/>
                    </w:rPr>
                    <w:t>3</w:t>
                  </w:r>
                </w:p>
              </w:tc>
              <w:tc>
                <w:tcPr>
                  <w:tcW w:w="1742" w:type="dxa"/>
                  <w:vAlign w:val="center"/>
                </w:tcPr>
                <w:p w14:paraId="613CF7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0.0585</w:t>
                  </w:r>
                </w:p>
              </w:tc>
            </w:tr>
            <w:tr w14:paraId="617D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7642629A">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排放浓度（mg/m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w:t>
                  </w:r>
                </w:p>
              </w:tc>
              <w:tc>
                <w:tcPr>
                  <w:tcW w:w="1234" w:type="dxa"/>
                  <w:vAlign w:val="center"/>
                </w:tcPr>
                <w:p w14:paraId="173DB22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21.18</w:t>
                  </w:r>
                </w:p>
              </w:tc>
              <w:tc>
                <w:tcPr>
                  <w:tcW w:w="1335" w:type="dxa"/>
                  <w:vAlign w:val="center"/>
                </w:tcPr>
                <w:p w14:paraId="0A3433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3.</w:t>
                  </w:r>
                  <w:r>
                    <w:rPr>
                      <w:rFonts w:hint="eastAsia" w:cs="Times New Roman"/>
                      <w:bCs/>
                      <w:color w:val="auto"/>
                      <w:szCs w:val="21"/>
                      <w:lang w:val="en-US" w:eastAsia="zh-CN"/>
                    </w:rPr>
                    <w:t>059</w:t>
                  </w:r>
                </w:p>
              </w:tc>
              <w:tc>
                <w:tcPr>
                  <w:tcW w:w="1742" w:type="dxa"/>
                  <w:vAlign w:val="center"/>
                </w:tcPr>
                <w:p w14:paraId="7CF40A5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137.65</w:t>
                  </w:r>
                </w:p>
              </w:tc>
            </w:tr>
            <w:tr w14:paraId="5A2F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209" w:type="dxa"/>
                  <w:vAlign w:val="center"/>
                </w:tcPr>
                <w:p w14:paraId="370F586A">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烟囱高度(m)</w:t>
                  </w:r>
                </w:p>
              </w:tc>
              <w:tc>
                <w:tcPr>
                  <w:tcW w:w="4311" w:type="dxa"/>
                  <w:gridSpan w:val="3"/>
                  <w:vAlign w:val="center"/>
                </w:tcPr>
                <w:p w14:paraId="2FCF4764">
                  <w:pPr>
                    <w:pStyle w:val="13"/>
                    <w:keepNext w:val="0"/>
                    <w:keepLines w:val="0"/>
                    <w:suppressLineNumbers w:val="0"/>
                    <w:spacing w:before="0" w:beforeAutospacing="0" w:after="0" w:afterAutospacing="0"/>
                    <w:ind w:left="0" w:right="0"/>
                    <w:jc w:val="center"/>
                    <w:rPr>
                      <w:rFonts w:hint="default" w:ascii="Times New Roman" w:hAnsi="Times New Roman" w:cs="Times New Roman"/>
                      <w:bCs/>
                      <w:color w:val="auto"/>
                    </w:rPr>
                  </w:pPr>
                  <w:r>
                    <w:rPr>
                      <w:rFonts w:hint="default" w:ascii="Times New Roman" w:hAnsi="Times New Roman" w:cs="Times New Roman"/>
                      <w:bCs/>
                      <w:color w:val="auto"/>
                    </w:rPr>
                    <w:t>15</w:t>
                  </w:r>
                </w:p>
              </w:tc>
            </w:tr>
          </w:tbl>
          <w:p w14:paraId="4D26078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lang w:val="zh-CN"/>
              </w:rPr>
              <w:t>由上表分析可知，项目天然气燃烧废气</w:t>
            </w:r>
            <w:r>
              <w:rPr>
                <w:rFonts w:hint="default" w:ascii="Times New Roman" w:hAnsi="Times New Roman" w:cs="Times New Roman"/>
                <w:color w:val="auto"/>
                <w:sz w:val="24"/>
              </w:rPr>
              <w:t>满足</w:t>
            </w:r>
            <w:r>
              <w:rPr>
                <w:rFonts w:hint="eastAsia" w:ascii="Times New Roman" w:hAnsi="Times New Roman" w:eastAsia="宋体" w:cs="Times New Roman"/>
                <w:color w:val="auto"/>
                <w:kern w:val="2"/>
                <w:sz w:val="24"/>
                <w:szCs w:val="24"/>
                <w:lang w:val="en-US" w:eastAsia="zh-CN" w:bidi="ar-SA"/>
              </w:rPr>
              <w:t>《锅炉大气污染物排放标准》（GB13271-2014）中的排放限值要求</w:t>
            </w:r>
            <w:r>
              <w:rPr>
                <w:rFonts w:hint="eastAsia" w:cs="Times New Roman"/>
                <w:color w:val="auto"/>
                <w:sz w:val="24"/>
                <w:szCs w:val="24"/>
                <w:highlight w:val="none"/>
                <w:shd w:val="clear" w:color="auto" w:fill="auto"/>
                <w:lang w:val="en-US" w:eastAsia="zh-CN"/>
              </w:rPr>
              <w:t>。</w:t>
            </w:r>
          </w:p>
          <w:p w14:paraId="72596458">
            <w:pPr>
              <w:pStyle w:val="16"/>
              <w:keepNext w:val="0"/>
              <w:keepLines w:val="0"/>
              <w:suppressLineNumbers w:val="0"/>
              <w:adjustRightInd w:val="0"/>
              <w:snapToGrid w:val="0"/>
              <w:spacing w:before="0" w:beforeAutospacing="0" w:afterAutospacing="0" w:line="360" w:lineRule="auto"/>
              <w:ind w:right="0" w:firstLine="0" w:firstLineChars="0"/>
              <w:rPr>
                <w:rFonts w:hint="default" w:ascii="Times New Roman" w:hAnsi="Times New Roman" w:cs="Times New Roman"/>
                <w:b/>
                <w:bCs/>
                <w:color w:val="auto"/>
                <w:sz w:val="24"/>
                <w:szCs w:val="28"/>
              </w:rPr>
            </w:pPr>
            <w:r>
              <w:rPr>
                <w:rFonts w:hint="default" w:ascii="Times New Roman" w:hAnsi="Times New Roman" w:cs="Times New Roman"/>
                <w:b/>
                <w:bCs/>
                <w:color w:val="auto"/>
                <w:sz w:val="24"/>
                <w:szCs w:val="28"/>
              </w:rPr>
              <w:t>（2）有组织废气达标排放分析</w:t>
            </w:r>
          </w:p>
          <w:p w14:paraId="5CBC1C52">
            <w:pPr>
              <w:pStyle w:val="13"/>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项目天然气燃烧</w:t>
            </w:r>
            <w:r>
              <w:rPr>
                <w:rFonts w:hint="eastAsia" w:ascii="Times New Roman" w:hAnsi="Times New Roman" w:cs="Times New Roman"/>
                <w:color w:val="auto"/>
                <w:sz w:val="24"/>
                <w:lang w:eastAsia="zh-CN"/>
              </w:rPr>
              <w:t>废气</w:t>
            </w:r>
            <w:r>
              <w:rPr>
                <w:rFonts w:hint="default" w:ascii="Times New Roman" w:hAnsi="Times New Roman" w:cs="Times New Roman"/>
                <w:color w:val="auto"/>
                <w:sz w:val="24"/>
              </w:rPr>
              <w:t>直接经1根15m高的排气筒</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DA002）</w:t>
            </w:r>
            <w:r>
              <w:rPr>
                <w:rFonts w:hint="default" w:ascii="Times New Roman" w:hAnsi="Times New Roman" w:cs="Times New Roman"/>
                <w:color w:val="auto"/>
                <w:sz w:val="24"/>
              </w:rPr>
              <w:t>排放，颗粒物、SO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、NOx排放浓度均满足</w:t>
            </w:r>
            <w:r>
              <w:rPr>
                <w:rFonts w:hint="eastAsia" w:ascii="Times New Roman" w:hAnsi="Times New Roman" w:eastAsia="宋体" w:cs="Times New Roman"/>
                <w:color w:val="auto"/>
                <w:kern w:val="2"/>
                <w:sz w:val="24"/>
                <w:szCs w:val="24"/>
                <w:lang w:val="en-US" w:eastAsia="zh-CN" w:bidi="ar-SA"/>
              </w:rPr>
              <w:t>《锅炉大气污染物排放标准》（GB13271-2014）中的排放限值要求</w:t>
            </w:r>
            <w:r>
              <w:rPr>
                <w:rFonts w:hint="eastAsia" w:cs="Times New Roman"/>
                <w:color w:val="auto"/>
                <w:sz w:val="24"/>
                <w:szCs w:val="24"/>
                <w:highlight w:val="none"/>
                <w:shd w:val="clear" w:color="auto" w:fill="auto"/>
                <w:lang w:val="en-US" w:eastAsia="zh-CN"/>
              </w:rPr>
              <w:t>。</w:t>
            </w:r>
          </w:p>
          <w:p w14:paraId="3206F13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搅拌、浸渍、干燥产生的甲醛、</w:t>
            </w:r>
            <w:r>
              <w:rPr>
                <w:rFonts w:hint="eastAsia" w:ascii="Times New Roman" w:hAnsi="Times New Roman" w:cs="Times New Roman"/>
                <w:color w:val="auto"/>
                <w:kern w:val="2"/>
                <w:sz w:val="24"/>
                <w:szCs w:val="24"/>
                <w:lang w:val="en-US" w:eastAsia="zh-CN"/>
              </w:rPr>
              <w:t>VOCs</w:t>
            </w:r>
            <w:r>
              <w:rPr>
                <w:rFonts w:hint="default" w:ascii="Times New Roman" w:hAnsi="Times New Roman" w:cs="Times New Roman"/>
                <w:color w:val="auto"/>
                <w:sz w:val="24"/>
              </w:rPr>
              <w:t>废气经</w:t>
            </w:r>
            <w:r>
              <w:rPr>
                <w:rFonts w:hint="eastAsia" w:cs="Times New Roman"/>
                <w:color w:val="auto"/>
                <w:sz w:val="24"/>
                <w:lang w:eastAsia="zh-CN"/>
              </w:rPr>
              <w:t>负压</w:t>
            </w:r>
            <w:r>
              <w:rPr>
                <w:rFonts w:hint="default" w:ascii="Times New Roman" w:hAnsi="Times New Roman" w:cs="Times New Roman"/>
                <w:color w:val="auto"/>
                <w:sz w:val="24"/>
              </w:rPr>
              <w:t>集气罩（风量</w:t>
            </w:r>
            <w:r>
              <w:rPr>
                <w:rFonts w:hint="eastAsia" w:cs="Times New Roman"/>
                <w:color w:val="auto"/>
                <w:sz w:val="24"/>
                <w:lang w:val="en-US" w:eastAsia="zh-CN"/>
              </w:rPr>
              <w:t>20320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/h）收集后通过</w:t>
            </w:r>
            <w:r>
              <w:rPr>
                <w:rFonts w:hint="default" w:ascii="Times New Roman" w:hAnsi="Times New Roman" w:cs="Times New Roman"/>
                <w:color w:val="auto"/>
                <w:sz w:val="24"/>
                <w:lang w:val="zh-CN"/>
              </w:rPr>
              <w:t>UV光解+活性炭吸附装置处理（对</w:t>
            </w:r>
            <w:r>
              <w:rPr>
                <w:rFonts w:hint="default" w:ascii="Times New Roman" w:hAnsi="Times New Roman" w:cs="Times New Roman"/>
                <w:color w:val="auto"/>
                <w:sz w:val="24"/>
              </w:rPr>
              <w:t>挥发性有机化合物</w:t>
            </w:r>
            <w:r>
              <w:rPr>
                <w:rFonts w:hint="default" w:ascii="Times New Roman" w:hAnsi="Times New Roman" w:cs="Times New Roman"/>
                <w:color w:val="auto"/>
                <w:sz w:val="24"/>
                <w:lang w:val="zh-CN"/>
              </w:rPr>
              <w:t>的综合</w:t>
            </w:r>
            <w:r>
              <w:rPr>
                <w:rFonts w:hint="eastAsia" w:cs="Times New Roman"/>
                <w:color w:val="auto"/>
                <w:sz w:val="24"/>
                <w:lang w:val="zh-CN"/>
              </w:rPr>
              <w:t>去除效率</w:t>
            </w:r>
            <w:r>
              <w:rPr>
                <w:rFonts w:hint="default" w:ascii="Times New Roman" w:hAnsi="Times New Roman" w:cs="Times New Roman"/>
                <w:color w:val="auto"/>
                <w:sz w:val="24"/>
                <w:lang w:val="zh-CN"/>
              </w:rPr>
              <w:t>为</w:t>
            </w:r>
            <w:r>
              <w:rPr>
                <w:rFonts w:hint="default" w:ascii="Times New Roman" w:hAnsi="Times New Roman" w:cs="Times New Roman"/>
                <w:color w:val="auto"/>
                <w:sz w:val="24"/>
              </w:rPr>
              <w:t>80%</w:t>
            </w:r>
            <w:r>
              <w:rPr>
                <w:rFonts w:hint="default" w:ascii="Times New Roman" w:hAnsi="Times New Roman" w:cs="Times New Roman"/>
                <w:color w:val="auto"/>
                <w:sz w:val="24"/>
                <w:lang w:val="zh-CN"/>
              </w:rPr>
              <w:t>）后由</w:t>
            </w:r>
            <w:r>
              <w:rPr>
                <w:rFonts w:hint="default" w:ascii="Times New Roman" w:hAnsi="Times New Roman" w:cs="Times New Roman"/>
                <w:color w:val="auto"/>
                <w:sz w:val="24"/>
              </w:rPr>
              <w:t>1根15m高排气筒</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DA001）</w:t>
            </w:r>
            <w:r>
              <w:rPr>
                <w:rFonts w:hint="default" w:ascii="Times New Roman" w:hAnsi="Times New Roman" w:cs="Times New Roman"/>
                <w:color w:val="auto"/>
                <w:sz w:val="24"/>
                <w:lang w:val="zh-CN"/>
              </w:rPr>
              <w:t>排放，排气筒排放的</w:t>
            </w:r>
            <w:r>
              <w:rPr>
                <w:rFonts w:hint="default" w:ascii="Times New Roman" w:hAnsi="Times New Roman" w:cs="Times New Roman"/>
                <w:color w:val="auto"/>
                <w:sz w:val="24"/>
              </w:rPr>
              <w:t>甲醛、</w:t>
            </w:r>
            <w:r>
              <w:rPr>
                <w:rFonts w:hint="eastAsia" w:ascii="Times New Roman" w:hAnsi="Times New Roman" w:cs="Times New Roman"/>
                <w:color w:val="auto"/>
                <w:kern w:val="2"/>
                <w:sz w:val="24"/>
                <w:szCs w:val="24"/>
                <w:lang w:val="en-US" w:eastAsia="zh-CN"/>
              </w:rPr>
              <w:t>VOCs</w:t>
            </w:r>
            <w:r>
              <w:rPr>
                <w:rFonts w:hint="eastAsia" w:cs="Times New Roman"/>
                <w:color w:val="auto"/>
                <w:kern w:val="2"/>
                <w:sz w:val="24"/>
                <w:szCs w:val="24"/>
                <w:lang w:val="en-US" w:eastAsia="zh-CN"/>
              </w:rPr>
              <w:t>（以非甲烷总烃计）</w:t>
            </w:r>
            <w:r>
              <w:rPr>
                <w:rFonts w:hint="default" w:ascii="Times New Roman" w:hAnsi="Times New Roman" w:cs="Times New Roman"/>
                <w:color w:val="auto"/>
                <w:sz w:val="24"/>
                <w:lang w:val="zh-CN"/>
              </w:rPr>
              <w:t>排放浓度均满足</w:t>
            </w:r>
            <w:r>
              <w:rPr>
                <w:rFonts w:hint="default" w:ascii="Times New Roman" w:hAnsi="Times New Roman" w:cs="Times New Roman"/>
                <w:color w:val="auto"/>
                <w:sz w:val="24"/>
              </w:rPr>
              <w:t>《大气污染物综合排放标准》（GB16297-1996）表2中有组织排放标准限值要求，即：</w:t>
            </w:r>
            <w:r>
              <w:rPr>
                <w:rFonts w:hint="default" w:ascii="Times New Roman" w:hAnsi="Times New Roman" w:cs="Times New Roman"/>
                <w:color w:val="auto"/>
                <w:sz w:val="24"/>
                <w:lang w:val="zh-CN"/>
              </w:rPr>
              <w:t>非甲烷总烃≤120mg/m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rPr>
              <w:t>；甲醛</w:t>
            </w:r>
            <w:r>
              <w:rPr>
                <w:rFonts w:hint="default" w:ascii="Times New Roman" w:hAnsi="Times New Roman" w:cs="Times New Roman"/>
                <w:color w:val="auto"/>
                <w:sz w:val="24"/>
                <w:lang w:val="zh-CN"/>
              </w:rPr>
              <w:t>≤</w:t>
            </w:r>
            <w:r>
              <w:rPr>
                <w:rFonts w:hint="default" w:ascii="Times New Roman" w:hAnsi="Times New Roman" w:cs="Times New Roman"/>
                <w:color w:val="auto"/>
                <w:sz w:val="24"/>
              </w:rPr>
              <w:t>25</w:t>
            </w:r>
            <w:r>
              <w:rPr>
                <w:rFonts w:hint="default" w:ascii="Times New Roman" w:hAnsi="Times New Roman" w:cs="Times New Roman"/>
                <w:color w:val="auto"/>
                <w:sz w:val="24"/>
                <w:lang w:val="zh-CN"/>
              </w:rPr>
              <w:t>mg/m</w:t>
            </w:r>
            <w:r>
              <w:rPr>
                <w:rFonts w:hint="default" w:ascii="Times New Roman" w:hAnsi="Times New Roman" w:cs="Times New Roman"/>
                <w:color w:val="auto"/>
                <w:sz w:val="24"/>
                <w:vertAlign w:val="superscript"/>
                <w:lang w:val="zh-CN"/>
              </w:rPr>
              <w:t>3</w:t>
            </w:r>
            <w:r>
              <w:rPr>
                <w:rFonts w:hint="eastAsia" w:cs="Times New Roman"/>
                <w:color w:val="auto"/>
                <w:sz w:val="24"/>
                <w:lang w:eastAsia="zh-CN"/>
              </w:rPr>
              <w:t>；</w:t>
            </w:r>
            <w:r>
              <w:rPr>
                <w:rFonts w:hint="eastAsia" w:cs="Times New Roman"/>
                <w:color w:val="auto"/>
                <w:sz w:val="24"/>
                <w:lang w:val="en-US" w:eastAsia="zh-CN"/>
              </w:rPr>
              <w:t>排放速率满足</w:t>
            </w:r>
            <w:r>
              <w:rPr>
                <w:rFonts w:hint="default" w:ascii="Times New Roman" w:hAnsi="Times New Roman" w:eastAsia="宋体" w:cs="Times New Roman"/>
                <w:color w:val="auto"/>
                <w:sz w:val="24"/>
                <w:szCs w:val="24"/>
                <w:highlight w:val="none"/>
                <w:shd w:val="clear" w:color="auto" w:fill="auto"/>
                <w:lang w:val="zh-CN" w:eastAsia="zh-CN"/>
              </w:rPr>
              <w:t>《大气污染物综合排放标准》（GB16297-1996）表2中二级标准</w:t>
            </w:r>
            <w:r>
              <w:rPr>
                <w:rFonts w:hint="eastAsia" w:ascii="Times New Roman" w:hAnsi="Times New Roman" w:eastAsia="宋体" w:cs="Times New Roman"/>
                <w:color w:val="auto"/>
                <w:sz w:val="24"/>
                <w:szCs w:val="24"/>
                <w:highlight w:val="none"/>
                <w:shd w:val="clear" w:color="auto" w:fill="auto"/>
                <w:lang w:val="en-US" w:eastAsia="zh-CN"/>
              </w:rPr>
              <w:t>50%</w:t>
            </w:r>
            <w:r>
              <w:rPr>
                <w:rFonts w:hint="eastAsia" w:cs="Times New Roman"/>
                <w:color w:val="auto"/>
                <w:sz w:val="24"/>
                <w:szCs w:val="24"/>
                <w:highlight w:val="none"/>
                <w:shd w:val="clear" w:color="auto" w:fill="auto"/>
                <w:lang w:val="en-US" w:eastAsia="zh-CN"/>
              </w:rPr>
              <w:t>要求。</w:t>
            </w:r>
          </w:p>
          <w:p w14:paraId="7E09F865">
            <w:pPr>
              <w:keepNext w:val="0"/>
              <w:keepLines w:val="0"/>
              <w:suppressLineNumbers w:val="0"/>
              <w:spacing w:before="0" w:beforeAutospacing="0" w:after="0" w:afterAutospacing="0" w:line="360" w:lineRule="auto"/>
              <w:ind w:left="0" w:right="0"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综上所述，项目有组织废气均能达标排放，对周边环境影响较小。</w:t>
            </w:r>
          </w:p>
          <w:p w14:paraId="541C3369">
            <w:pPr>
              <w:pStyle w:val="16"/>
              <w:keepNext w:val="0"/>
              <w:keepLines w:val="0"/>
              <w:suppressLineNumbers w:val="0"/>
              <w:adjustRightInd w:val="0"/>
              <w:snapToGrid w:val="0"/>
              <w:spacing w:before="0" w:beforeAutospacing="0" w:afterAutospacing="0" w:line="360" w:lineRule="auto"/>
              <w:ind w:right="0" w:firstLine="0" w:firstLineChars="0"/>
              <w:rPr>
                <w:rFonts w:hint="default" w:ascii="Times New Roman" w:hAnsi="Times New Roman" w:cs="Times New Roman"/>
                <w:b/>
                <w:bCs/>
                <w:color w:val="auto"/>
                <w:sz w:val="24"/>
                <w:szCs w:val="28"/>
              </w:rPr>
            </w:pPr>
            <w:r>
              <w:rPr>
                <w:rFonts w:hint="default" w:ascii="Times New Roman" w:hAnsi="Times New Roman" w:cs="Times New Roman"/>
                <w:b/>
                <w:bCs/>
                <w:color w:val="auto"/>
                <w:sz w:val="24"/>
                <w:szCs w:val="28"/>
              </w:rPr>
              <w:t>（3）无组织废气达标排放分析</w:t>
            </w:r>
          </w:p>
          <w:p w14:paraId="62CAE69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zh-CN"/>
              </w:rPr>
              <w:t>UV光解+活性炭吸附装置处理对</w:t>
            </w:r>
            <w:r>
              <w:rPr>
                <w:rFonts w:hint="default" w:ascii="Times New Roman" w:hAnsi="Times New Roman" w:cs="Times New Roman"/>
                <w:color w:val="auto"/>
                <w:sz w:val="24"/>
              </w:rPr>
              <w:t>挥发性有机化合物</w:t>
            </w:r>
            <w:r>
              <w:rPr>
                <w:rFonts w:hint="default" w:ascii="Times New Roman" w:hAnsi="Times New Roman" w:cs="Times New Roman"/>
                <w:color w:val="auto"/>
                <w:sz w:val="24"/>
                <w:lang w:val="zh-CN"/>
              </w:rPr>
              <w:t>的</w:t>
            </w:r>
            <w:r>
              <w:rPr>
                <w:rFonts w:hint="default" w:ascii="Times New Roman" w:hAnsi="Times New Roman" w:cs="Times New Roman"/>
                <w:color w:val="auto"/>
                <w:sz w:val="24"/>
              </w:rPr>
              <w:t>收集</w:t>
            </w:r>
            <w:r>
              <w:rPr>
                <w:rFonts w:hint="default" w:ascii="Times New Roman" w:hAnsi="Times New Roman" w:cs="Times New Roman"/>
                <w:color w:val="auto"/>
                <w:sz w:val="24"/>
                <w:lang w:val="zh-CN"/>
              </w:rPr>
              <w:t>效率为</w:t>
            </w:r>
            <w:r>
              <w:rPr>
                <w:rFonts w:hint="default" w:ascii="Times New Roman" w:hAnsi="Times New Roman" w:cs="Times New Roman"/>
                <w:color w:val="auto"/>
                <w:sz w:val="24"/>
              </w:rPr>
              <w:t>90%，则仅有10%的甲醛、</w:t>
            </w:r>
            <w:r>
              <w:rPr>
                <w:rFonts w:hint="eastAsia" w:ascii="Times New Roman" w:hAnsi="Times New Roman" w:cs="Times New Roman"/>
                <w:color w:val="auto"/>
                <w:kern w:val="2"/>
                <w:sz w:val="24"/>
                <w:szCs w:val="24"/>
                <w:lang w:val="en-US" w:eastAsia="zh-CN"/>
              </w:rPr>
              <w:t>VOCs</w:t>
            </w:r>
            <w:r>
              <w:rPr>
                <w:rFonts w:hint="default" w:ascii="Times New Roman" w:hAnsi="Times New Roman" w:cs="Times New Roman"/>
                <w:color w:val="auto"/>
                <w:sz w:val="24"/>
              </w:rPr>
              <w:t>在厂区内</w:t>
            </w:r>
            <w:r>
              <w:rPr>
                <w:rFonts w:hint="default" w:ascii="Times New Roman" w:hAnsi="Times New Roman" w:cs="Times New Roman"/>
                <w:color w:val="auto"/>
                <w:sz w:val="24"/>
                <w:lang w:val="zh-CN"/>
              </w:rPr>
              <w:t>无组织排放，</w:t>
            </w:r>
            <w:r>
              <w:rPr>
                <w:rFonts w:hint="default" w:ascii="Times New Roman" w:hAnsi="Times New Roman" w:cs="Times New Roman"/>
                <w:color w:val="auto"/>
                <w:sz w:val="24"/>
              </w:rPr>
              <w:t>则</w:t>
            </w:r>
            <w:r>
              <w:rPr>
                <w:rFonts w:hint="eastAsia" w:cs="Times New Roman"/>
                <w:color w:val="auto"/>
                <w:sz w:val="24"/>
                <w:lang w:val="en-US" w:eastAsia="zh-CN"/>
              </w:rPr>
              <w:t>有</w:t>
            </w:r>
            <w:r>
              <w:rPr>
                <w:rFonts w:hint="default" w:ascii="Times New Roman" w:hAnsi="Times New Roman" w:cs="Times New Roman"/>
                <w:color w:val="auto"/>
                <w:sz w:val="24"/>
              </w:rPr>
              <w:t>机废气无组织排放量为甲醛：0.0</w:t>
            </w:r>
            <w:r>
              <w:rPr>
                <w:rFonts w:hint="eastAsia" w:cs="Times New Roman"/>
                <w:color w:val="auto"/>
                <w:sz w:val="24"/>
                <w:lang w:val="en-US" w:eastAsia="zh-CN"/>
              </w:rPr>
              <w:t>85t</w:t>
            </w:r>
            <w:r>
              <w:rPr>
                <w:rFonts w:hint="default" w:ascii="Times New Roman" w:hAnsi="Times New Roman" w:cs="Times New Roman"/>
                <w:color w:val="auto"/>
                <w:sz w:val="24"/>
              </w:rPr>
              <w:t>/a；</w:t>
            </w:r>
            <w:r>
              <w:rPr>
                <w:rFonts w:hint="eastAsia" w:ascii="Times New Roman" w:hAnsi="Times New Roman" w:cs="Times New Roman"/>
                <w:color w:val="auto"/>
                <w:kern w:val="2"/>
                <w:sz w:val="24"/>
                <w:szCs w:val="24"/>
                <w:lang w:val="en-US" w:eastAsia="zh-CN"/>
              </w:rPr>
              <w:t>VOCs</w:t>
            </w:r>
            <w:r>
              <w:rPr>
                <w:rFonts w:hint="eastAsia" w:cs="Times New Roman"/>
                <w:color w:val="auto"/>
                <w:kern w:val="2"/>
                <w:sz w:val="24"/>
                <w:szCs w:val="24"/>
                <w:lang w:val="en-US" w:eastAsia="zh-CN"/>
              </w:rPr>
              <w:t>：</w:t>
            </w:r>
            <w:r>
              <w:rPr>
                <w:rFonts w:hint="default" w:ascii="Times New Roman" w:hAnsi="Times New Roman" w:cs="Times New Roman"/>
                <w:color w:val="auto"/>
                <w:sz w:val="24"/>
              </w:rPr>
              <w:t>0.</w:t>
            </w:r>
            <w:r>
              <w:rPr>
                <w:rFonts w:hint="eastAsia" w:cs="Times New Roman"/>
                <w:color w:val="auto"/>
                <w:sz w:val="24"/>
                <w:lang w:val="en-US" w:eastAsia="zh-CN"/>
              </w:rPr>
              <w:t>992t</w:t>
            </w:r>
            <w:r>
              <w:rPr>
                <w:rFonts w:hint="default" w:ascii="Times New Roman" w:hAnsi="Times New Roman" w:cs="Times New Roman"/>
                <w:color w:val="auto"/>
                <w:sz w:val="24"/>
              </w:rPr>
              <w:t>/a。根据《环境影响评价技术导则 大气环境》（HJ 2.2-2018），本次环评利用估算模式AERSCREEN对无组织排放进行</w:t>
            </w:r>
            <w:r>
              <w:rPr>
                <w:rFonts w:hint="eastAsia" w:cs="Times New Roman"/>
                <w:color w:val="auto"/>
                <w:sz w:val="24"/>
                <w:lang w:val="en-US" w:eastAsia="zh-CN"/>
              </w:rPr>
              <w:t>估算</w:t>
            </w:r>
            <w:r>
              <w:rPr>
                <w:rFonts w:hint="default" w:ascii="Times New Roman" w:hAnsi="Times New Roman" w:cs="Times New Roman"/>
                <w:color w:val="auto"/>
                <w:sz w:val="24"/>
              </w:rPr>
              <w:t>得知：</w:t>
            </w:r>
            <w:r>
              <w:rPr>
                <w:rFonts w:hint="eastAsia" w:ascii="Times New Roman" w:hAnsi="Times New Roman" w:eastAsia="宋体" w:cs="Times New Roman"/>
                <w:color w:val="auto"/>
                <w:sz w:val="24"/>
                <w:szCs w:val="24"/>
                <w:lang w:val="en-US" w:eastAsia="zh-CN"/>
              </w:rPr>
              <w:t>项目厂界无组织排放的甲醛、</w:t>
            </w:r>
            <w:r>
              <w:rPr>
                <w:rFonts w:hint="eastAsia" w:ascii="Times New Roman" w:hAnsi="Times New Roman" w:cs="Times New Roman"/>
                <w:color w:val="auto"/>
                <w:kern w:val="2"/>
                <w:sz w:val="24"/>
                <w:szCs w:val="24"/>
                <w:lang w:val="en-US" w:eastAsia="zh-CN"/>
              </w:rPr>
              <w:t>VOCs</w:t>
            </w:r>
            <w:r>
              <w:rPr>
                <w:rFonts w:hint="eastAsia" w:cs="Times New Roman"/>
                <w:color w:val="auto"/>
                <w:kern w:val="2"/>
                <w:sz w:val="24"/>
                <w:szCs w:val="24"/>
                <w:lang w:val="en-US" w:eastAsia="zh-CN"/>
              </w:rPr>
              <w:t>（以非甲烷总烃计）</w:t>
            </w:r>
            <w:r>
              <w:rPr>
                <w:rFonts w:hint="eastAsia" w:ascii="Times New Roman" w:hAnsi="Times New Roman" w:eastAsia="宋体" w:cs="Times New Roman"/>
                <w:color w:val="auto"/>
                <w:sz w:val="24"/>
                <w:szCs w:val="24"/>
                <w:lang w:val="en-US" w:eastAsia="zh-CN"/>
              </w:rPr>
              <w:t xml:space="preserve">满足《大气污染物综合排放标准》 </w:t>
            </w:r>
            <w:r>
              <w:rPr>
                <w:rFonts w:hint="default" w:ascii="Times New Roman" w:hAnsi="Times New Roman" w:eastAsia="宋体" w:cs="Times New Roman"/>
                <w:color w:val="auto"/>
                <w:sz w:val="24"/>
                <w:szCs w:val="24"/>
                <w:lang w:val="en-US" w:eastAsia="zh-CN"/>
              </w:rPr>
              <w:t>(GB16297-1996)</w:t>
            </w:r>
            <w:r>
              <w:rPr>
                <w:rFonts w:hint="eastAsia"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新污染源大气污染物二级无组织排放监控浓度限值，即：甲醛</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≤4.0mg/m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；厂区内无组织</w:t>
            </w:r>
            <w:r>
              <w:rPr>
                <w:rFonts w:hint="eastAsia" w:ascii="Times New Roman" w:hAnsi="Times New Roman" w:cs="Times New Roman"/>
                <w:color w:val="auto"/>
                <w:kern w:val="2"/>
                <w:sz w:val="24"/>
                <w:szCs w:val="24"/>
                <w:lang w:val="en-US" w:eastAsia="zh-CN"/>
              </w:rPr>
              <w:t>VOCs</w:t>
            </w:r>
            <w:r>
              <w:rPr>
                <w:rFonts w:hint="eastAsia" w:cs="Times New Roman"/>
                <w:color w:val="auto"/>
                <w:kern w:val="2"/>
                <w:sz w:val="24"/>
                <w:szCs w:val="24"/>
                <w:lang w:val="en-US" w:eastAsia="zh-CN"/>
              </w:rPr>
              <w:t>（以非甲烷总烃计）</w:t>
            </w:r>
            <w:r>
              <w:rPr>
                <w:rFonts w:hint="eastAsia" w:ascii="Times New Roman" w:hAnsi="Times New Roman" w:eastAsia="宋体" w:cs="Times New Roman"/>
                <w:color w:val="auto"/>
                <w:sz w:val="24"/>
                <w:szCs w:val="24"/>
                <w:lang w:val="en-US" w:eastAsia="zh-CN"/>
              </w:rPr>
              <w:t>排放浓度满足《挥发性有机物无组织排放控制标准》（</w:t>
            </w:r>
            <w:r>
              <w:rPr>
                <w:rFonts w:hint="default" w:ascii="Times New Roman" w:hAnsi="Times New Roman" w:eastAsia="宋体" w:cs="Times New Roman"/>
                <w:color w:val="auto"/>
                <w:sz w:val="24"/>
                <w:szCs w:val="24"/>
                <w:lang w:val="en-US" w:eastAsia="zh-CN"/>
              </w:rPr>
              <w:t>GB37822-2019</w:t>
            </w:r>
            <w:r>
              <w:rPr>
                <w:rFonts w:hint="eastAsia" w:ascii="Times New Roman" w:hAnsi="Times New Roman" w:eastAsia="宋体" w:cs="Times New Roman"/>
                <w:color w:val="auto"/>
                <w:sz w:val="24"/>
                <w:szCs w:val="24"/>
                <w:lang w:val="en-US" w:eastAsia="zh-CN"/>
              </w:rPr>
              <w:t>）的限值要求。</w:t>
            </w:r>
          </w:p>
          <w:p w14:paraId="282DE05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综上，本项目废气对周边大气环境影响较小。</w:t>
            </w:r>
          </w:p>
          <w:p w14:paraId="214C1F3A">
            <w:pPr>
              <w:pStyle w:val="17"/>
              <w:keepNext w:val="0"/>
              <w:keepLines w:val="0"/>
              <w:suppressLineNumbers w:val="0"/>
              <w:spacing w:beforeAutospacing="0" w:afterAutospacing="0"/>
              <w:ind w:left="0"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（4）环保设施处理</w:t>
            </w:r>
            <w:r>
              <w:rPr>
                <w:rFonts w:hint="eastAsia" w:cs="Times New Roman"/>
                <w:b/>
                <w:bCs/>
                <w:color w:val="auto"/>
                <w:lang w:val="en-US" w:eastAsia="zh-CN"/>
              </w:rPr>
              <w:t>可行</w:t>
            </w:r>
            <w:r>
              <w:rPr>
                <w:rFonts w:hint="default" w:ascii="Times New Roman" w:hAnsi="Times New Roman" w:cs="Times New Roman"/>
                <w:b/>
                <w:bCs/>
                <w:color w:val="auto"/>
              </w:rPr>
              <w:t>性分析</w:t>
            </w:r>
          </w:p>
          <w:p w14:paraId="44068E8F">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UV光氧+</w:t>
            </w:r>
            <w:r>
              <w:rPr>
                <w:rFonts w:hint="default" w:ascii="Times New Roman" w:hAnsi="Times New Roman" w:eastAsia="Times New Roman" w:cs="Times New Roman"/>
                <w:color w:val="auto"/>
                <w:sz w:val="24"/>
                <w:lang w:val="zh-CN"/>
              </w:rPr>
              <w:t>活性炭吸附</w:t>
            </w:r>
            <w:r>
              <w:rPr>
                <w:rFonts w:hint="default" w:ascii="Times New Roman" w:hAnsi="Times New Roman" w:cs="Times New Roman"/>
                <w:color w:val="auto"/>
                <w:sz w:val="24"/>
              </w:rPr>
              <w:t>装置</w:t>
            </w:r>
          </w:p>
          <w:p w14:paraId="1BA56480">
            <w:pPr>
              <w:keepNext w:val="0"/>
              <w:keepLines w:val="0"/>
              <w:suppressLineNumbers w:val="0"/>
              <w:spacing w:before="0" w:beforeAutospacing="0" w:after="0" w:afterAutospacing="0" w:line="360" w:lineRule="auto"/>
              <w:ind w:left="0" w:right="0" w:firstLine="480"/>
              <w:rPr>
                <w:rFonts w:hint="default" w:ascii="Times New Roman" w:hAnsi="Times New Roman" w:eastAsia="Times New Roman" w:cs="Times New Roman"/>
                <w:color w:val="auto"/>
                <w:sz w:val="24"/>
                <w:lang w:val="zh-CN"/>
              </w:rPr>
            </w:pPr>
            <w:r>
              <w:rPr>
                <w:rFonts w:hint="eastAsia" w:cs="Times New Roman"/>
                <w:bCs/>
                <w:color w:val="auto"/>
                <w:sz w:val="24"/>
                <w:lang w:val="en-US" w:eastAsia="zh-CN"/>
              </w:rPr>
              <w:t>项目为纸制品制造业，产生的废气主要为VOCs，该行业无相应的行业《</w:t>
            </w:r>
            <w:r>
              <w:rPr>
                <w:rFonts w:hint="eastAsia" w:ascii="Times New Roman" w:hAnsi="宋体" w:eastAsia="宋体" w:cs="Times New Roman"/>
                <w:color w:val="auto"/>
                <w:sz w:val="24"/>
                <w:lang w:val="en-US" w:eastAsia="zh-CN"/>
              </w:rPr>
              <w:t>排污许可证申请与核发技术规范》，则该项目参照</w:t>
            </w:r>
            <w:r>
              <w:rPr>
                <w:rFonts w:hint="default" w:ascii="Times New Roman" w:hAnsi="Times New Roman" w:cs="Times New Roman"/>
                <w:bCs/>
                <w:color w:val="auto"/>
                <w:sz w:val="24"/>
              </w:rPr>
              <w:t xml:space="preserve">《排污许可证申请与核发技术规范 </w:t>
            </w:r>
            <w:r>
              <w:rPr>
                <w:rFonts w:hint="eastAsia" w:cs="Times New Roman"/>
                <w:bCs/>
                <w:color w:val="auto"/>
                <w:sz w:val="24"/>
                <w:lang w:val="en-US" w:eastAsia="zh-CN"/>
              </w:rPr>
              <w:t>总则</w:t>
            </w:r>
            <w:r>
              <w:rPr>
                <w:rFonts w:hint="default" w:ascii="Times New Roman" w:hAnsi="Times New Roman" w:cs="Times New Roman"/>
                <w:bCs/>
                <w:color w:val="auto"/>
                <w:sz w:val="24"/>
              </w:rPr>
              <w:t xml:space="preserve">》（HJ </w:t>
            </w:r>
            <w:r>
              <w:rPr>
                <w:rFonts w:hint="eastAsia" w:cs="Times New Roman"/>
                <w:bCs/>
                <w:color w:val="auto"/>
                <w:sz w:val="24"/>
                <w:lang w:val="en-US" w:eastAsia="zh-CN"/>
              </w:rPr>
              <w:t>942</w:t>
            </w:r>
            <w:r>
              <w:rPr>
                <w:rFonts w:hint="default" w:ascii="Times New Roman" w:hAnsi="Times New Roman" w:cs="Times New Roman"/>
                <w:bCs/>
                <w:color w:val="auto"/>
                <w:sz w:val="24"/>
              </w:rPr>
              <w:t>-201</w:t>
            </w:r>
            <w:r>
              <w:rPr>
                <w:rFonts w:hint="eastAsia" w:cs="Times New Roman"/>
                <w:bCs/>
                <w:color w:val="auto"/>
                <w:sz w:val="24"/>
                <w:lang w:val="en-US" w:eastAsia="zh-CN"/>
              </w:rPr>
              <w:t>8</w:t>
            </w:r>
            <w:r>
              <w:rPr>
                <w:rFonts w:hint="default" w:ascii="Times New Roman" w:hAnsi="Times New Roman" w:cs="Times New Roman"/>
                <w:bCs/>
                <w:color w:val="auto"/>
                <w:sz w:val="24"/>
              </w:rPr>
              <w:t>）</w:t>
            </w:r>
            <w:r>
              <w:rPr>
                <w:rFonts w:hint="eastAsia" w:cs="Times New Roman"/>
                <w:bCs/>
                <w:color w:val="auto"/>
                <w:sz w:val="24"/>
                <w:lang w:val="en-US" w:eastAsia="zh-CN"/>
              </w:rPr>
              <w:t>以及</w:t>
            </w:r>
            <w:r>
              <w:rPr>
                <w:rFonts w:hint="eastAsia" w:cs="Times New Roman"/>
                <w:bCs/>
                <w:color w:val="auto"/>
                <w:sz w:val="24"/>
                <w:lang w:eastAsia="zh-CN"/>
              </w:rPr>
              <w:t>“</w:t>
            </w:r>
            <w:r>
              <w:rPr>
                <w:rFonts w:hint="eastAsia" w:cs="Times New Roman"/>
                <w:bCs/>
                <w:color w:val="auto"/>
                <w:sz w:val="24"/>
                <w:lang w:val="en-US" w:eastAsia="zh-CN"/>
              </w:rPr>
              <w:t>挥发性有机物（VOCs）污染防治技术政策”（公告 2013年第31号 2013-05-24实施）中末端治理与综合利用的要求</w:t>
            </w:r>
            <w:r>
              <w:rPr>
                <w:rFonts w:hint="default" w:ascii="Times New Roman" w:hAnsi="Times New Roman" w:cs="Times New Roman"/>
                <w:bCs/>
                <w:color w:val="auto"/>
                <w:sz w:val="24"/>
              </w:rPr>
              <w:t>，</w:t>
            </w:r>
            <w:r>
              <w:rPr>
                <w:rFonts w:hint="default" w:ascii="Times New Roman" w:hAnsi="Times New Roman" w:cs="Times New Roman"/>
                <w:color w:val="auto"/>
                <w:sz w:val="24"/>
              </w:rPr>
              <w:t>UV光氧+</w:t>
            </w:r>
            <w:r>
              <w:rPr>
                <w:rFonts w:hint="eastAsia" w:cs="Times New Roman"/>
                <w:bCs/>
                <w:color w:val="auto"/>
                <w:sz w:val="24"/>
                <w:lang w:val="en-US" w:eastAsia="zh-CN"/>
              </w:rPr>
              <w:t>活性炭吸附</w:t>
            </w:r>
            <w:r>
              <w:rPr>
                <w:rFonts w:hint="default" w:ascii="Times New Roman" w:hAnsi="Times New Roman" w:cs="Times New Roman"/>
                <w:bCs/>
                <w:color w:val="auto"/>
                <w:sz w:val="24"/>
              </w:rPr>
              <w:t>属于</w:t>
            </w:r>
            <w:r>
              <w:rPr>
                <w:rFonts w:hint="default" w:ascii="Times New Roman" w:hAnsi="Times New Roman" w:cs="Times New Roman"/>
                <w:color w:val="auto"/>
                <w:sz w:val="24"/>
              </w:rPr>
              <w:t>可行技术。</w:t>
            </w:r>
          </w:p>
          <w:p w14:paraId="6FF5597B">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rPr>
            </w:pPr>
            <w:r>
              <w:rPr>
                <w:rFonts w:hint="default" w:ascii="Times New Roman" w:hAnsi="Times New Roman" w:eastAsia="Times New Roman" w:cs="Times New Roman"/>
                <w:color w:val="auto"/>
                <w:sz w:val="24"/>
                <w:lang w:val="zh-CN"/>
              </w:rPr>
              <w:t>UV光氧技术利用特制的高能高臭氧UV紫外线光束照射废气，使有机或无机高分子恶臭化合物分子链降解转变成低分子化合物，如CO</w:t>
            </w:r>
            <w:r>
              <w:rPr>
                <w:rFonts w:hint="default" w:ascii="Times New Roman" w:hAnsi="Times New Roman" w:eastAsia="Times New Roman" w:cs="Times New Roman"/>
                <w:color w:val="auto"/>
                <w:sz w:val="24"/>
                <w:vertAlign w:val="subscript"/>
                <w:lang w:val="zh-CN"/>
              </w:rPr>
              <w:t>2</w:t>
            </w:r>
            <w:r>
              <w:rPr>
                <w:rFonts w:hint="default" w:ascii="Times New Roman" w:hAnsi="Times New Roman" w:eastAsia="Times New Roman" w:cs="Times New Roman"/>
                <w:color w:val="auto"/>
                <w:sz w:val="24"/>
                <w:lang w:val="zh-CN"/>
              </w:rPr>
              <w:t>、H</w:t>
            </w:r>
            <w:r>
              <w:rPr>
                <w:rFonts w:hint="default" w:ascii="Times New Roman" w:hAnsi="Times New Roman" w:eastAsia="Times New Roman" w:cs="Times New Roman"/>
                <w:color w:val="auto"/>
                <w:sz w:val="24"/>
                <w:vertAlign w:val="subscript"/>
                <w:lang w:val="zh-CN"/>
              </w:rPr>
              <w:t>2</w:t>
            </w:r>
            <w:r>
              <w:rPr>
                <w:rFonts w:hint="default" w:ascii="Times New Roman" w:hAnsi="Times New Roman" w:cs="Times New Roman"/>
                <w:color w:val="auto"/>
                <w:sz w:val="24"/>
              </w:rPr>
              <w:t>O</w:t>
            </w:r>
            <w:r>
              <w:rPr>
                <w:rFonts w:hint="default" w:ascii="Times New Roman" w:hAnsi="Times New Roman" w:eastAsia="Times New Roman" w:cs="Times New Roman"/>
                <w:color w:val="auto"/>
                <w:sz w:val="24"/>
                <w:lang w:val="zh-CN"/>
              </w:rPr>
              <w:t>等。同时高能高臭氧UV紫外线光束分解空气中的氧分子产生游离氧，即活性氧，因游离氧所携正负电子不平衡所以需与氧分子结合，进而产生臭氧。臭氧对有机物具有极强的氧化作用，对工业废气及其它刺激性异味有立竿见影的清除效果。UV光解技术能有效去除TVOC、无机物、硫化氢、氨气、硫醇类等主要污染物，以及各种恶臭味，净化、脱臭效率可达50%以上。无需添加任何物质，可适应高浓度，大气量，不同工业废气物质的净化处理，可每天24小时连续工作，运行稳定可靠。本设备无任何机械动作，无噪音，需专人管理和日常维护。工业废气无需进行特殊的预处理，如加温、加湿等，设备工作环境温度在摄氏-30℃~95℃之间，湿度在30%~98%、PH在3~11之间均可正常工作。</w:t>
            </w:r>
          </w:p>
          <w:p w14:paraId="0DC537B3">
            <w:pPr>
              <w:keepNext w:val="0"/>
              <w:keepLines w:val="0"/>
              <w:suppressLineNumbers w:val="0"/>
              <w:spacing w:before="0" w:beforeAutospacing="0" w:after="0" w:afterAutospacing="0" w:line="360" w:lineRule="auto"/>
              <w:ind w:left="0" w:right="0" w:firstLine="480"/>
              <w:rPr>
                <w:rFonts w:hint="default" w:ascii="Times New Roman" w:hAnsi="Times New Roman" w:eastAsia="Times New Roman" w:cs="Times New Roman"/>
                <w:color w:val="auto"/>
                <w:sz w:val="24"/>
                <w:lang w:val="zh-CN"/>
              </w:rPr>
            </w:pPr>
            <w:r>
              <w:rPr>
                <w:rFonts w:hint="default" w:ascii="Times New Roman" w:hAnsi="Times New Roman" w:eastAsia="Times New Roman" w:cs="Times New Roman"/>
                <w:color w:val="auto"/>
                <w:sz w:val="24"/>
                <w:lang w:val="zh-CN"/>
              </w:rPr>
              <w:t>活性炭吸附装置是利用活性炭作为吸附介质，其作用原理为利用微孔活性物质对溶剂分子或分子团的吸附力，当废气通过吸附介质时，其中的有机废气污染物即被阻留下来，从而使得有机废气得到净化处理后排入大气。</w:t>
            </w:r>
          </w:p>
          <w:p w14:paraId="06FED43C">
            <w:pPr>
              <w:keepNext w:val="0"/>
              <w:keepLines w:val="0"/>
              <w:suppressLineNumbers w:val="0"/>
              <w:spacing w:before="0" w:beforeAutospacing="0" w:after="0" w:afterAutospacing="0" w:line="360" w:lineRule="auto"/>
              <w:ind w:left="0" w:right="0" w:firstLine="480"/>
              <w:rPr>
                <w:rFonts w:hint="default" w:ascii="Times New Roman" w:hAnsi="Times New Roman" w:eastAsia="Times New Roman" w:cs="Times New Roman"/>
                <w:color w:val="auto"/>
                <w:sz w:val="24"/>
                <w:lang w:val="zh-CN"/>
              </w:rPr>
            </w:pPr>
            <w:r>
              <w:rPr>
                <w:rFonts w:hint="default" w:ascii="Times New Roman" w:hAnsi="Times New Roman" w:eastAsia="Times New Roman" w:cs="Times New Roman"/>
                <w:color w:val="auto"/>
                <w:sz w:val="24"/>
                <w:lang w:val="zh-CN"/>
              </w:rPr>
              <w:t>活性炭吸附法一直被认为是比较成熟可靠的技术，活性炭是一种由含碳材料制成的外观呈黑色，内部孔隙结构发达，比表面积大，吸附能力强的一类微晶质碳素材料。有机废气净化采用活性炭吸附处理，是国内最为有效的方法。吸附作用是一种界面现象。所谓吸附，是当两相存在时，在相与相的界面附近的浓度与相内部不一样的现象，吸附的物质称作吸附剂或吸附载体。活性炭的吸附是用活性炭作为吸附载体的吸附。吸附的作用力是吸附载体与吸附质（有机废气）之间在能量方面的相互作用，承担这种相互作用的是电子。吸附载体表面上的原子与吸附质（有机废气）分子互相接近时，即使是无极性，也会瞬时性地造电子分布的不对称而形成电极，并诱导与其相对应的原子或分子产生分电极。在这两个分电极之间，便产生微弱的静电相互作用力。活性炭也能通过使用氧化剂，还原剂进行处理，让表面官能团发生变化，此时，比表面积及孔径也将发生变化。由于活性炭是比较非极性的物质，对有机废气具有很强的亲和性；即使有水份存在，吸附性能下降的也不大。活性炭的吸附性能由空隙大小与比表面积决定，空隙的大小决定对吸附质的选择性，而比表面积的大小则决定了吸附容量。活性炭的特点是比表面积及比孔容积大，单位重量的吸附量也大。</w:t>
            </w:r>
          </w:p>
          <w:p w14:paraId="69E2DC58">
            <w:pPr>
              <w:keepNext w:val="0"/>
              <w:keepLines w:val="0"/>
              <w:suppressLineNumbers w:val="0"/>
              <w:spacing w:before="0" w:beforeAutospacing="0" w:after="0" w:afterAutospacing="0" w:line="360" w:lineRule="auto"/>
              <w:ind w:left="0" w:right="0" w:firstLine="480"/>
              <w:rPr>
                <w:rFonts w:hint="default" w:ascii="Times New Roman" w:hAnsi="Times New Roman" w:eastAsia="Times New Roman" w:cs="Times New Roman"/>
                <w:color w:val="auto"/>
                <w:sz w:val="24"/>
                <w:lang w:val="zh-CN"/>
              </w:rPr>
            </w:pPr>
            <w:r>
              <w:rPr>
                <w:rFonts w:hint="default" w:ascii="Times New Roman" w:hAnsi="Times New Roman" w:eastAsia="Times New Roman" w:cs="Times New Roman"/>
                <w:color w:val="auto"/>
                <w:sz w:val="24"/>
                <w:lang w:val="zh-CN"/>
              </w:rPr>
              <w:t>本项目产生的</w:t>
            </w:r>
            <w:r>
              <w:rPr>
                <w:rFonts w:hint="eastAsia" w:eastAsia="宋体" w:cs="Times New Roman"/>
                <w:color w:val="auto"/>
                <w:sz w:val="24"/>
                <w:lang w:val="en-US" w:eastAsia="zh-CN"/>
              </w:rPr>
              <w:t>甲醛和VOCs</w:t>
            </w:r>
            <w:r>
              <w:rPr>
                <w:rFonts w:hint="default" w:ascii="Times New Roman" w:hAnsi="Times New Roman" w:eastAsia="Times New Roman" w:cs="Times New Roman"/>
                <w:color w:val="auto"/>
                <w:sz w:val="24"/>
                <w:lang w:val="zh-CN"/>
              </w:rPr>
              <w:t>经收集</w:t>
            </w:r>
            <w:r>
              <w:rPr>
                <w:rFonts w:hint="eastAsia" w:eastAsia="宋体" w:cs="Times New Roman"/>
                <w:color w:val="auto"/>
                <w:sz w:val="24"/>
                <w:lang w:val="en-US" w:eastAsia="zh-CN"/>
              </w:rPr>
              <w:t>至</w:t>
            </w:r>
            <w:r>
              <w:rPr>
                <w:rFonts w:hint="default" w:ascii="Times New Roman" w:hAnsi="Times New Roman" w:eastAsia="Times New Roman" w:cs="Times New Roman"/>
                <w:color w:val="auto"/>
                <w:sz w:val="24"/>
                <w:lang w:val="zh-CN"/>
              </w:rPr>
              <w:t>UV</w:t>
            </w:r>
            <w:r>
              <w:rPr>
                <w:rFonts w:hint="default" w:ascii="Times New Roman" w:hAnsi="Times New Roman" w:eastAsia="Times New Roman" w:cs="Times New Roman"/>
                <w:color w:val="auto"/>
                <w:sz w:val="24"/>
              </w:rPr>
              <w:t>光氧催化装置+</w:t>
            </w:r>
            <w:r>
              <w:rPr>
                <w:rFonts w:hint="default" w:ascii="Times New Roman" w:hAnsi="Times New Roman" w:eastAsia="Times New Roman" w:cs="Times New Roman"/>
                <w:color w:val="auto"/>
                <w:sz w:val="24"/>
                <w:lang w:val="zh-CN"/>
              </w:rPr>
              <w:t>活性炭吸附</w:t>
            </w:r>
            <w:r>
              <w:rPr>
                <w:rFonts w:hint="default" w:ascii="Times New Roman" w:hAnsi="Times New Roman" w:eastAsia="Times New Roman" w:cs="Times New Roman"/>
                <w:color w:val="auto"/>
                <w:sz w:val="24"/>
              </w:rPr>
              <w:t>装置</w:t>
            </w:r>
            <w:r>
              <w:rPr>
                <w:rFonts w:hint="default" w:ascii="Times New Roman" w:hAnsi="Times New Roman" w:eastAsia="Times New Roman" w:cs="Times New Roman"/>
                <w:color w:val="auto"/>
                <w:sz w:val="24"/>
                <w:lang w:val="zh-CN"/>
              </w:rPr>
              <w:t>处理，经</w:t>
            </w:r>
            <w:r>
              <w:rPr>
                <w:rFonts w:hint="default" w:ascii="Times New Roman" w:hAnsi="Times New Roman" w:eastAsia="Times New Roman" w:cs="Times New Roman"/>
                <w:color w:val="auto"/>
                <w:sz w:val="24"/>
              </w:rPr>
              <w:t>1根15米高的</w:t>
            </w:r>
            <w:r>
              <w:rPr>
                <w:rFonts w:hint="default" w:ascii="Times New Roman" w:hAnsi="Times New Roman" w:eastAsia="Times New Roman" w:cs="Times New Roman"/>
                <w:color w:val="auto"/>
                <w:sz w:val="24"/>
                <w:lang w:val="zh-CN"/>
              </w:rPr>
              <w:t>排气筒排放。根据参考目前国内现行的处理有机废气有效的方法，本项目先通过UV光解，然后进入活性炭吸附装置处理后排气筒排放。“UV光解”处理工艺作为“活性炭吸附”处理工艺的预处理装置，起到对有机废气进行初步预处理的作用，其</w:t>
            </w:r>
            <w:r>
              <w:rPr>
                <w:rFonts w:hint="default" w:ascii="Times New Roman" w:hAnsi="Times New Roman" w:eastAsia="Times New Roman" w:cs="Times New Roman"/>
                <w:color w:val="auto"/>
                <w:sz w:val="24"/>
              </w:rPr>
              <w:t>不仅</w:t>
            </w:r>
            <w:r>
              <w:rPr>
                <w:rFonts w:hint="default" w:ascii="Times New Roman" w:hAnsi="Times New Roman" w:eastAsia="Times New Roman" w:cs="Times New Roman"/>
                <w:color w:val="auto"/>
                <w:sz w:val="24"/>
                <w:lang w:val="zh-CN"/>
              </w:rPr>
              <w:t>能够</w:t>
            </w:r>
            <w:r>
              <w:rPr>
                <w:rFonts w:hint="default" w:ascii="Times New Roman" w:hAnsi="Times New Roman" w:eastAsia="Times New Roman" w:cs="Times New Roman"/>
                <w:color w:val="auto"/>
                <w:sz w:val="24"/>
              </w:rPr>
              <w:t>提高整体的有机废气去除效率，而且还能</w:t>
            </w:r>
            <w:r>
              <w:rPr>
                <w:rFonts w:hint="default" w:ascii="Times New Roman" w:hAnsi="Times New Roman" w:eastAsia="Times New Roman" w:cs="Times New Roman"/>
                <w:color w:val="auto"/>
                <w:sz w:val="24"/>
                <w:lang w:val="zh-CN"/>
              </w:rPr>
              <w:t>大大降低了</w:t>
            </w:r>
            <w:r>
              <w:rPr>
                <w:rFonts w:hint="eastAsia" w:eastAsia="Times New Roman" w:cs="Times New Roman"/>
                <w:color w:val="auto"/>
                <w:sz w:val="24"/>
                <w:lang w:val="zh-CN"/>
              </w:rPr>
              <w:t>后续</w:t>
            </w:r>
            <w:r>
              <w:rPr>
                <w:rFonts w:hint="default" w:ascii="Times New Roman" w:hAnsi="Times New Roman" w:eastAsia="Times New Roman" w:cs="Times New Roman"/>
                <w:color w:val="auto"/>
                <w:sz w:val="24"/>
                <w:lang w:val="zh-CN"/>
              </w:rPr>
              <w:t>的“活性炭吸附处理装置”的活性炭消耗量，降低运行成本。</w:t>
            </w:r>
          </w:p>
          <w:p w14:paraId="267C7C62">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lang w:val="zh-CN"/>
              </w:rPr>
            </w:pPr>
            <w:r>
              <w:rPr>
                <w:rFonts w:hint="default" w:ascii="Times New Roman" w:hAnsi="Times New Roman" w:eastAsia="Times New Roman" w:cs="Times New Roman"/>
                <w:color w:val="auto"/>
                <w:sz w:val="24"/>
              </w:rPr>
              <w:t>综上所述，项目采用“UV光氧+活性炭吸附装置”去除甲醛、</w:t>
            </w:r>
            <w:r>
              <w:rPr>
                <w:rFonts w:hint="eastAsia" w:ascii="Times New Roman" w:hAnsi="Times New Roman" w:cs="Times New Roman"/>
                <w:color w:val="auto"/>
                <w:kern w:val="2"/>
                <w:sz w:val="24"/>
                <w:szCs w:val="24"/>
                <w:lang w:val="en-US" w:eastAsia="zh-CN"/>
              </w:rPr>
              <w:t>VOCs</w:t>
            </w:r>
            <w:r>
              <w:rPr>
                <w:rFonts w:hint="default" w:ascii="Times New Roman" w:hAnsi="Times New Roman" w:eastAsia="Times New Roman" w:cs="Times New Roman"/>
                <w:color w:val="auto"/>
                <w:sz w:val="24"/>
              </w:rPr>
              <w:t>废气是合理、可行的。</w:t>
            </w:r>
          </w:p>
          <w:p w14:paraId="703B7597">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lang w:val="zh-CN"/>
              </w:rPr>
            </w:pPr>
            <w:r>
              <w:rPr>
                <w:rFonts w:hint="default" w:ascii="Times New Roman" w:hAnsi="Times New Roman" w:cs="Times New Roman"/>
                <w:b/>
                <w:bCs/>
                <w:color w:val="auto"/>
                <w:sz w:val="24"/>
              </w:rPr>
              <w:t>（4）</w:t>
            </w:r>
            <w:r>
              <w:rPr>
                <w:rFonts w:hint="default" w:ascii="Times New Roman" w:hAnsi="Times New Roman" w:cs="Times New Roman"/>
                <w:b/>
                <w:bCs/>
                <w:color w:val="auto"/>
                <w:sz w:val="24"/>
                <w:lang w:val="zh-CN"/>
              </w:rPr>
              <w:t>废气非正常排放</w:t>
            </w:r>
            <w:r>
              <w:rPr>
                <w:rFonts w:hint="default" w:ascii="Times New Roman" w:hAnsi="Times New Roman" w:cs="Times New Roman"/>
                <w:b/>
                <w:bCs/>
                <w:color w:val="auto"/>
                <w:sz w:val="24"/>
              </w:rPr>
              <w:t>影响分析</w:t>
            </w:r>
          </w:p>
          <w:p w14:paraId="39CF1A74">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firstLine="480" w:firstLineChars="200"/>
              <w:textAlignment w:val="auto"/>
              <w:rPr>
                <w:rFonts w:hint="default" w:ascii="Times New Roman" w:hAnsi="Times New Roman" w:eastAsia="宋体" w:cs="Times New Roman"/>
                <w:color w:val="auto"/>
                <w:kern w:val="2"/>
                <w:sz w:val="24"/>
                <w:szCs w:val="30"/>
                <w:highlight w:val="none"/>
                <w:shd w:val="clear" w:color="auto" w:fill="auto"/>
                <w:lang w:val="en-US" w:eastAsia="zh-CN" w:bidi="ar-SA"/>
              </w:rPr>
            </w:pPr>
            <w:r>
              <w:rPr>
                <w:rFonts w:hint="default" w:ascii="Times New Roman" w:hAnsi="Times New Roman" w:cs="Times New Roman"/>
                <w:color w:val="auto"/>
                <w:sz w:val="24"/>
              </w:rPr>
              <w:t>项目</w:t>
            </w:r>
            <w:r>
              <w:rPr>
                <w:rFonts w:hint="default" w:ascii="Times New Roman" w:hAnsi="Times New Roman" w:cs="Times New Roman"/>
                <w:color w:val="auto"/>
                <w:sz w:val="24"/>
                <w:lang w:val="zh-CN"/>
              </w:rPr>
              <w:t>非正常情况考虑</w:t>
            </w:r>
            <w:r>
              <w:rPr>
                <w:rFonts w:hint="default" w:ascii="Times New Roman" w:hAnsi="Times New Roman" w:eastAsia="Times New Roman" w:cs="Times New Roman"/>
                <w:color w:val="auto"/>
                <w:sz w:val="24"/>
                <w:lang w:val="zh-CN"/>
              </w:rPr>
              <w:t>UV光解装置故障或检修、活性炭吸附装置</w:t>
            </w:r>
            <w:r>
              <w:rPr>
                <w:rFonts w:hint="default" w:ascii="Times New Roman" w:hAnsi="Times New Roman" w:cs="Times New Roman"/>
                <w:color w:val="auto"/>
                <w:sz w:val="24"/>
                <w:lang w:val="zh-CN"/>
              </w:rPr>
              <w:t>饱和。当</w:t>
            </w:r>
            <w:r>
              <w:rPr>
                <w:rFonts w:hint="default" w:ascii="Times New Roman" w:hAnsi="Times New Roman" w:eastAsia="Times New Roman" w:cs="Times New Roman"/>
                <w:color w:val="auto"/>
                <w:sz w:val="24"/>
                <w:lang w:val="zh-CN"/>
              </w:rPr>
              <w:t>UV光解装置故障或检修、活性炭吸附装置</w:t>
            </w:r>
            <w:r>
              <w:rPr>
                <w:rFonts w:hint="default" w:ascii="Times New Roman" w:hAnsi="Times New Roman" w:cs="Times New Roman"/>
                <w:color w:val="auto"/>
                <w:sz w:val="24"/>
                <w:lang w:val="zh-CN"/>
              </w:rPr>
              <w:t>饱和时，</w:t>
            </w:r>
            <w:r>
              <w:rPr>
                <w:rFonts w:hint="default" w:ascii="Times New Roman" w:hAnsi="Times New Roman" w:cs="Times New Roman"/>
                <w:color w:val="auto"/>
                <w:sz w:val="24"/>
              </w:rPr>
              <w:t>甲醛、</w:t>
            </w:r>
            <w:r>
              <w:rPr>
                <w:rFonts w:hint="eastAsia" w:cs="Times New Roman"/>
                <w:color w:val="auto"/>
                <w:sz w:val="24"/>
                <w:lang w:val="en-US" w:eastAsia="zh-CN"/>
              </w:rPr>
              <w:t>VOCs</w:t>
            </w:r>
            <w:r>
              <w:rPr>
                <w:rFonts w:hint="default" w:ascii="Times New Roman" w:hAnsi="Times New Roman" w:cs="Times New Roman"/>
                <w:color w:val="auto"/>
                <w:sz w:val="24"/>
                <w:lang w:val="zh-CN"/>
              </w:rPr>
              <w:t>去除效率由</w:t>
            </w:r>
            <w:r>
              <w:rPr>
                <w:rFonts w:hint="default" w:ascii="Times New Roman" w:hAnsi="Times New Roman" w:cs="Times New Roman"/>
                <w:color w:val="auto"/>
                <w:sz w:val="24"/>
              </w:rPr>
              <w:t>80</w:t>
            </w:r>
            <w:r>
              <w:rPr>
                <w:rFonts w:hint="default" w:ascii="Times New Roman" w:hAnsi="Times New Roman" w:cs="Times New Roman"/>
                <w:color w:val="auto"/>
                <w:sz w:val="24"/>
                <w:lang w:val="zh-CN"/>
              </w:rPr>
              <w:t>%下降至0%。一年发生次数约1-2次，持续时间约1~2h，</w:t>
            </w:r>
            <w:r>
              <w:rPr>
                <w:rFonts w:hint="default" w:ascii="Times New Roman" w:hAnsi="Times New Roman" w:cs="Times New Roman"/>
                <w:color w:val="auto"/>
                <w:sz w:val="24"/>
              </w:rPr>
              <w:t>甲醛、</w:t>
            </w:r>
            <w:r>
              <w:rPr>
                <w:rFonts w:hint="eastAsia" w:ascii="Times New Roman" w:hAnsi="Times New Roman" w:cs="Times New Roman"/>
                <w:color w:val="auto"/>
                <w:kern w:val="2"/>
                <w:sz w:val="24"/>
                <w:szCs w:val="24"/>
                <w:lang w:val="en-US" w:eastAsia="zh-CN"/>
              </w:rPr>
              <w:t>VOCs</w:t>
            </w:r>
            <w:r>
              <w:rPr>
                <w:rFonts w:hint="default" w:ascii="Times New Roman" w:hAnsi="Times New Roman" w:cs="Times New Roman"/>
                <w:color w:val="auto"/>
                <w:sz w:val="24"/>
                <w:lang w:val="zh-CN"/>
              </w:rPr>
              <w:t>排放浓度</w:t>
            </w:r>
            <w:r>
              <w:rPr>
                <w:rFonts w:hint="default" w:ascii="Times New Roman" w:hAnsi="Times New Roman" w:cs="Times New Roman"/>
                <w:color w:val="auto"/>
                <w:sz w:val="24"/>
              </w:rPr>
              <w:t>分别</w:t>
            </w:r>
            <w:r>
              <w:rPr>
                <w:rFonts w:hint="default" w:ascii="Times New Roman" w:hAnsi="Times New Roman" w:cs="Times New Roman"/>
                <w:color w:val="auto"/>
                <w:sz w:val="24"/>
                <w:lang w:val="zh-CN"/>
              </w:rPr>
              <w:t>由</w:t>
            </w:r>
            <w:r>
              <w:rPr>
                <w:rFonts w:hint="eastAsia" w:cs="Times New Roman"/>
                <w:color w:val="auto"/>
                <w:sz w:val="24"/>
                <w:lang w:val="en-US" w:eastAsia="zh-CN"/>
              </w:rPr>
              <w:t>3.150</w:t>
            </w:r>
            <w:r>
              <w:rPr>
                <w:rFonts w:hint="default" w:ascii="Times New Roman" w:hAnsi="Times New Roman" w:cs="Times New Roman"/>
                <w:color w:val="auto"/>
                <w:sz w:val="24"/>
                <w:lang w:val="zh-CN"/>
              </w:rPr>
              <w:t>mg/m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上升至</w:t>
            </w:r>
            <w:r>
              <w:rPr>
                <w:rFonts w:hint="eastAsia" w:cs="Times New Roman"/>
                <w:color w:val="auto"/>
                <w:sz w:val="24"/>
                <w:lang w:val="en-US" w:eastAsia="zh-CN"/>
              </w:rPr>
              <w:t>17.47</w:t>
            </w:r>
            <w:r>
              <w:rPr>
                <w:rFonts w:hint="default" w:ascii="Times New Roman" w:hAnsi="Times New Roman" w:cs="Times New Roman"/>
                <w:color w:val="auto"/>
                <w:sz w:val="24"/>
                <w:lang w:val="zh-CN"/>
              </w:rPr>
              <w:t>mg/m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w:t>
            </w:r>
            <w:r>
              <w:rPr>
                <w:rFonts w:hint="eastAsia" w:cs="Times New Roman"/>
                <w:color w:val="auto"/>
                <w:sz w:val="24"/>
                <w:lang w:val="en-US" w:eastAsia="zh-CN"/>
              </w:rPr>
              <w:t>36.614</w:t>
            </w:r>
            <w:r>
              <w:rPr>
                <w:rFonts w:hint="default" w:ascii="Times New Roman" w:hAnsi="Times New Roman" w:cs="Times New Roman"/>
                <w:color w:val="auto"/>
                <w:sz w:val="24"/>
                <w:lang w:val="zh-CN"/>
              </w:rPr>
              <w:t>mg/m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上升至</w:t>
            </w:r>
            <w:r>
              <w:rPr>
                <w:rFonts w:hint="eastAsia" w:cs="Times New Roman"/>
                <w:color w:val="auto"/>
                <w:sz w:val="24"/>
                <w:lang w:val="en-US" w:eastAsia="zh-CN"/>
              </w:rPr>
              <w:t>203.445</w:t>
            </w:r>
            <w:r>
              <w:rPr>
                <w:rFonts w:hint="default" w:ascii="Times New Roman" w:hAnsi="Times New Roman" w:cs="Times New Roman"/>
                <w:color w:val="auto"/>
                <w:sz w:val="24"/>
                <w:lang w:val="zh-CN"/>
              </w:rPr>
              <w:t>mg/m</w:t>
            </w:r>
            <w:r>
              <w:rPr>
                <w:rFonts w:hint="default" w:ascii="Times New Roman" w:hAnsi="Times New Roman" w:cs="Times New Roman"/>
                <w:color w:val="auto"/>
                <w:sz w:val="24"/>
                <w:vertAlign w:val="superscript"/>
                <w:lang w:val="zh-CN"/>
              </w:rPr>
              <w:t>3</w:t>
            </w:r>
            <w:r>
              <w:rPr>
                <w:rFonts w:hint="default" w:ascii="Times New Roman" w:hAnsi="Times New Roman" w:cs="Times New Roman"/>
                <w:color w:val="auto"/>
                <w:sz w:val="24"/>
                <w:lang w:val="zh-CN"/>
              </w:rPr>
              <w:t>；排气筒</w:t>
            </w:r>
            <w:r>
              <w:rPr>
                <w:rFonts w:hint="default" w:ascii="Times New Roman" w:hAnsi="Times New Roman" w:cs="Times New Roman"/>
                <w:color w:val="auto"/>
                <w:sz w:val="24"/>
              </w:rPr>
              <w:t>甲醛非正常排放量约为</w:t>
            </w:r>
            <w:r>
              <w:rPr>
                <w:rFonts w:hint="eastAsia" w:cs="Times New Roman"/>
                <w:color w:val="auto"/>
                <w:sz w:val="24"/>
                <w:lang w:val="en-US" w:eastAsia="zh-CN"/>
              </w:rPr>
              <w:t>0.355</w:t>
            </w:r>
            <w:r>
              <w:rPr>
                <w:rFonts w:hint="default" w:ascii="Times New Roman" w:hAnsi="Times New Roman" w:cs="Times New Roman"/>
                <w:color w:val="auto"/>
                <w:sz w:val="24"/>
                <w:lang w:val="zh-CN"/>
              </w:rPr>
              <w:t>kg/2h</w:t>
            </w:r>
            <w:r>
              <w:rPr>
                <w:rFonts w:hint="default" w:ascii="Times New Roman" w:hAnsi="Times New Roman" w:cs="Times New Roman"/>
                <w:color w:val="auto"/>
                <w:sz w:val="24"/>
              </w:rPr>
              <w:t>、</w:t>
            </w:r>
            <w:r>
              <w:rPr>
                <w:rFonts w:hint="eastAsia" w:ascii="Times New Roman" w:hAnsi="Times New Roman" w:cs="Times New Roman"/>
                <w:color w:val="auto"/>
                <w:kern w:val="2"/>
                <w:sz w:val="24"/>
                <w:szCs w:val="24"/>
                <w:lang w:val="en-US" w:eastAsia="zh-CN"/>
              </w:rPr>
              <w:t>VOCs</w:t>
            </w:r>
            <w:r>
              <w:rPr>
                <w:rFonts w:hint="default" w:ascii="Times New Roman" w:hAnsi="Times New Roman" w:cs="Times New Roman"/>
                <w:color w:val="auto"/>
                <w:sz w:val="24"/>
                <w:lang w:val="zh-CN"/>
              </w:rPr>
              <w:t>的非正常排放量约为</w:t>
            </w:r>
            <w:r>
              <w:rPr>
                <w:rFonts w:hint="eastAsia" w:cs="Times New Roman"/>
                <w:color w:val="auto"/>
                <w:sz w:val="24"/>
                <w:lang w:val="en-US" w:eastAsia="zh-CN"/>
              </w:rPr>
              <w:t>4.134</w:t>
            </w:r>
            <w:r>
              <w:rPr>
                <w:rFonts w:hint="default" w:ascii="Times New Roman" w:hAnsi="Times New Roman" w:cs="Times New Roman"/>
                <w:color w:val="auto"/>
                <w:sz w:val="24"/>
                <w:lang w:val="zh-CN"/>
              </w:rPr>
              <w:t>kg/2h。当发生非正常排放</w:t>
            </w:r>
            <w:r>
              <w:rPr>
                <w:rFonts w:hint="default" w:ascii="Times New Roman" w:hAnsi="Times New Roman" w:cs="Times New Roman"/>
                <w:color w:val="auto"/>
                <w:sz w:val="24"/>
              </w:rPr>
              <w:t>时</w:t>
            </w:r>
            <w:r>
              <w:rPr>
                <w:rFonts w:hint="default" w:ascii="Times New Roman" w:hAnsi="Times New Roman" w:cs="Times New Roman"/>
                <w:color w:val="auto"/>
                <w:sz w:val="24"/>
                <w:lang w:val="zh-CN"/>
              </w:rPr>
              <w:t>，</w:t>
            </w:r>
            <w:r>
              <w:rPr>
                <w:rFonts w:hint="default" w:ascii="Times New Roman" w:hAnsi="Times New Roman" w:cs="Times New Roman"/>
                <w:color w:val="auto"/>
                <w:sz w:val="24"/>
              </w:rPr>
              <w:t>甲醛</w:t>
            </w:r>
            <w:r>
              <w:rPr>
                <w:rFonts w:hint="eastAsia" w:cs="Times New Roman"/>
                <w:color w:val="auto"/>
                <w:sz w:val="24"/>
                <w:lang w:eastAsia="zh-CN"/>
              </w:rPr>
              <w:t>、</w:t>
            </w:r>
            <w:r>
              <w:rPr>
                <w:rFonts w:hint="eastAsia" w:ascii="Times New Roman" w:hAnsi="Times New Roman" w:cs="Times New Roman"/>
                <w:color w:val="auto"/>
                <w:kern w:val="2"/>
                <w:sz w:val="24"/>
                <w:szCs w:val="24"/>
                <w:lang w:val="en-US" w:eastAsia="zh-CN"/>
              </w:rPr>
              <w:t>VOCs</w:t>
            </w:r>
            <w:r>
              <w:rPr>
                <w:rFonts w:hint="eastAsia" w:cs="Times New Roman"/>
                <w:color w:val="auto"/>
                <w:kern w:val="2"/>
                <w:sz w:val="24"/>
                <w:szCs w:val="24"/>
                <w:lang w:val="en-US" w:eastAsia="zh-CN"/>
              </w:rPr>
              <w:t>（以非甲烷总烃计）的</w:t>
            </w:r>
            <w:r>
              <w:rPr>
                <w:rFonts w:hint="default" w:ascii="Times New Roman" w:hAnsi="Times New Roman" w:cs="Times New Roman"/>
                <w:color w:val="auto"/>
                <w:sz w:val="24"/>
                <w:lang w:val="zh-CN"/>
              </w:rPr>
              <w:t>排放</w:t>
            </w:r>
            <w:r>
              <w:rPr>
                <w:rFonts w:hint="eastAsia" w:cs="Times New Roman"/>
                <w:color w:val="auto"/>
                <w:sz w:val="24"/>
                <w:lang w:val="en-US" w:eastAsia="zh-CN"/>
              </w:rPr>
              <w:t>速率均</w:t>
            </w:r>
            <w:r>
              <w:rPr>
                <w:rFonts w:hint="default" w:ascii="Times New Roman" w:hAnsi="Times New Roman" w:cs="Times New Roman"/>
                <w:color w:val="auto"/>
                <w:sz w:val="24"/>
                <w:lang w:val="zh-CN"/>
              </w:rPr>
              <w:t>不</w:t>
            </w:r>
            <w:r>
              <w:rPr>
                <w:rFonts w:hint="default" w:ascii="Times New Roman" w:hAnsi="Times New Roman" w:cs="Times New Roman"/>
                <w:color w:val="auto"/>
                <w:sz w:val="24"/>
              </w:rPr>
              <w:t>能</w:t>
            </w:r>
            <w:r>
              <w:rPr>
                <w:rFonts w:hint="default" w:ascii="Times New Roman" w:hAnsi="Times New Roman" w:cs="Times New Roman"/>
                <w:color w:val="auto"/>
                <w:sz w:val="24"/>
                <w:lang w:val="zh-CN"/>
              </w:rPr>
              <w:t>满足《大气污染物综合排放标准》（GB16297-1996）表2中二级标准</w:t>
            </w:r>
            <w:r>
              <w:rPr>
                <w:rFonts w:hint="default" w:ascii="Times New Roman" w:hAnsi="Times New Roman" w:cs="Times New Roman"/>
                <w:color w:val="auto"/>
                <w:sz w:val="24"/>
              </w:rPr>
              <w:t>，故</w:t>
            </w:r>
            <w:r>
              <w:rPr>
                <w:rFonts w:hint="default" w:ascii="Times New Roman" w:hAnsi="Times New Roman" w:cs="Times New Roman"/>
                <w:color w:val="auto"/>
                <w:sz w:val="24"/>
                <w:lang w:val="zh-CN"/>
              </w:rPr>
              <w:t>应及时停止</w:t>
            </w:r>
            <w:r>
              <w:rPr>
                <w:rFonts w:hint="default" w:ascii="Times New Roman" w:hAnsi="Times New Roman" w:cs="Times New Roman"/>
                <w:color w:val="auto"/>
                <w:sz w:val="24"/>
              </w:rPr>
              <w:t>搅拌、浸胶、烘干等生产过程</w:t>
            </w:r>
            <w:r>
              <w:rPr>
                <w:rFonts w:hint="default" w:ascii="Times New Roman" w:hAnsi="Times New Roman" w:cs="Times New Roman"/>
                <w:color w:val="auto"/>
                <w:sz w:val="24"/>
                <w:lang w:val="zh-CN"/>
              </w:rPr>
              <w:t>的运行，并更换UV光解+活性炭吸附装置，确保净化处理设施的去除效率</w:t>
            </w:r>
            <w:r>
              <w:rPr>
                <w:rFonts w:hint="default" w:ascii="Times New Roman" w:hAnsi="Times New Roman" w:cs="Times New Roman"/>
                <w:color w:val="auto"/>
                <w:sz w:val="24"/>
              </w:rPr>
              <w:t>后方可正常投入生产。</w:t>
            </w:r>
          </w:p>
          <w:p w14:paraId="77FE0E5B">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lang w:val="en-US" w:eastAsia="zh-CN"/>
              </w:rPr>
            </w:pPr>
            <w:r>
              <w:rPr>
                <w:rFonts w:hint="default" w:ascii="Times New Roman" w:hAnsi="Times New Roman" w:eastAsia="宋体" w:cs="Times New Roman"/>
                <w:b/>
                <w:bCs/>
                <w:color w:val="auto"/>
                <w:sz w:val="24"/>
                <w:szCs w:val="28"/>
                <w:lang w:val="en-US" w:eastAsia="zh-CN"/>
              </w:rPr>
              <w:t>二、废水</w:t>
            </w:r>
          </w:p>
          <w:p w14:paraId="2033E0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snapToGrid w:val="0"/>
                <w:color w:val="auto"/>
                <w:kern w:val="0"/>
                <w:sz w:val="24"/>
                <w:highlight w:val="none"/>
                <w:lang w:val="en-US" w:eastAsia="zh-CN"/>
              </w:rPr>
            </w:pPr>
            <w:r>
              <w:rPr>
                <w:rFonts w:hint="default" w:ascii="Times New Roman" w:hAnsi="Times New Roman" w:eastAsia="宋体" w:cs="Times New Roman"/>
                <w:b w:val="0"/>
                <w:bCs w:val="0"/>
                <w:snapToGrid w:val="0"/>
                <w:color w:val="auto"/>
                <w:kern w:val="0"/>
                <w:sz w:val="24"/>
                <w:highlight w:val="none"/>
                <w:lang w:eastAsia="zh-CN"/>
              </w:rPr>
              <w:t>（</w:t>
            </w:r>
            <w:r>
              <w:rPr>
                <w:rFonts w:hint="default" w:ascii="Times New Roman" w:hAnsi="Times New Roman" w:eastAsia="宋体" w:cs="Times New Roman"/>
                <w:b w:val="0"/>
                <w:bCs w:val="0"/>
                <w:snapToGrid w:val="0"/>
                <w:color w:val="auto"/>
                <w:kern w:val="0"/>
                <w:sz w:val="24"/>
                <w:highlight w:val="none"/>
                <w:lang w:val="en-US" w:eastAsia="zh-CN"/>
              </w:rPr>
              <w:t>1</w:t>
            </w:r>
            <w:r>
              <w:rPr>
                <w:rFonts w:hint="default" w:ascii="Times New Roman" w:hAnsi="Times New Roman" w:eastAsia="宋体" w:cs="Times New Roman"/>
                <w:b w:val="0"/>
                <w:bCs w:val="0"/>
                <w:snapToGrid w:val="0"/>
                <w:color w:val="auto"/>
                <w:kern w:val="0"/>
                <w:sz w:val="24"/>
                <w:highlight w:val="none"/>
                <w:lang w:eastAsia="zh-CN"/>
              </w:rPr>
              <w:t>）</w:t>
            </w:r>
            <w:r>
              <w:rPr>
                <w:rFonts w:hint="default" w:ascii="Times New Roman" w:hAnsi="Times New Roman" w:eastAsia="宋体" w:cs="Times New Roman"/>
                <w:b w:val="0"/>
                <w:bCs w:val="0"/>
                <w:snapToGrid w:val="0"/>
                <w:color w:val="auto"/>
                <w:kern w:val="0"/>
                <w:sz w:val="24"/>
                <w:highlight w:val="none"/>
                <w:lang w:val="en-US" w:eastAsia="zh-CN"/>
              </w:rPr>
              <w:t>废水污染物核算</w:t>
            </w:r>
          </w:p>
          <w:p w14:paraId="208E671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用水</w:t>
            </w:r>
            <w:r>
              <w:rPr>
                <w:rFonts w:hint="default" w:ascii="Times New Roman" w:hAnsi="Times New Roman" w:eastAsia="宋体" w:cs="Times New Roman"/>
                <w:color w:val="auto"/>
                <w:sz w:val="24"/>
                <w:highlight w:val="none"/>
              </w:rPr>
              <w:t>包括</w:t>
            </w:r>
            <w:r>
              <w:rPr>
                <w:rFonts w:hint="default" w:ascii="Times New Roman" w:hAnsi="Times New Roman" w:cs="Times New Roman"/>
                <w:color w:val="auto"/>
                <w:sz w:val="24"/>
                <w:szCs w:val="24"/>
                <w:highlight w:val="none"/>
                <w:lang w:val="en-US" w:eastAsia="zh-CN"/>
              </w:rPr>
              <w:t>员工生活用水、</w:t>
            </w:r>
            <w:r>
              <w:rPr>
                <w:rFonts w:hint="eastAsia" w:cs="Times New Roman"/>
                <w:color w:val="auto"/>
                <w:sz w:val="24"/>
                <w:szCs w:val="24"/>
                <w:highlight w:val="none"/>
                <w:lang w:val="en-US" w:eastAsia="zh-CN"/>
              </w:rPr>
              <w:t>调胶</w:t>
            </w:r>
            <w:r>
              <w:rPr>
                <w:rFonts w:hint="default" w:ascii="Times New Roman" w:hAnsi="Times New Roman" w:cs="Times New Roman"/>
                <w:color w:val="auto"/>
                <w:sz w:val="24"/>
                <w:szCs w:val="24"/>
                <w:highlight w:val="none"/>
                <w:lang w:val="en-US" w:eastAsia="zh-CN"/>
              </w:rPr>
              <w:t>用水</w:t>
            </w:r>
            <w:r>
              <w:rPr>
                <w:rFonts w:hint="default" w:ascii="Times New Roman" w:hAnsi="Times New Roman" w:eastAsia="宋体" w:cs="Times New Roman"/>
                <w:color w:val="auto"/>
                <w:sz w:val="24"/>
                <w:highlight w:val="none"/>
              </w:rPr>
              <w:t>。</w:t>
            </w:r>
          </w:p>
          <w:p w14:paraId="030FDB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lang w:val="en-US" w:eastAsia="zh-CN"/>
              </w:rPr>
              <w:t>项目</w:t>
            </w:r>
            <w:r>
              <w:rPr>
                <w:rFonts w:hint="default" w:ascii="Times New Roman" w:hAnsi="Times New Roman" w:eastAsia="宋体" w:cs="Times New Roman"/>
                <w:b w:val="0"/>
                <w:bCs w:val="0"/>
                <w:color w:val="auto"/>
                <w:sz w:val="24"/>
                <w:szCs w:val="24"/>
                <w:highlight w:val="none"/>
                <w:lang w:eastAsia="zh-CN"/>
              </w:rPr>
              <w:t>污水产生量为</w:t>
            </w:r>
            <w:r>
              <w:rPr>
                <w:rFonts w:hint="eastAsia" w:ascii="Times New Roman" w:hAnsi="Times New Roman" w:cs="Times New Roman"/>
                <w:color w:val="auto"/>
                <w:sz w:val="24"/>
                <w:highlight w:val="none"/>
                <w:lang w:val="en-US" w:eastAsia="zh-CN"/>
              </w:rPr>
              <w:t>1.024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ascii="Times New Roman" w:hAnsi="Times New Roman" w:cs="Times New Roman"/>
                <w:color w:val="auto"/>
                <w:sz w:val="24"/>
                <w:highlight w:val="none"/>
                <w:lang w:val="en-US" w:eastAsia="zh-CN"/>
              </w:rPr>
              <w:t>307.2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调胶</w:t>
            </w:r>
            <w:r>
              <w:rPr>
                <w:rFonts w:hint="eastAsia" w:ascii="Times New Roman" w:hAnsi="Times New Roman" w:cs="Times New Roman"/>
                <w:color w:val="auto"/>
                <w:sz w:val="24"/>
                <w:highlight w:val="none"/>
                <w:lang w:val="en-US" w:eastAsia="zh-CN"/>
              </w:rPr>
              <w:t>用水量为</w:t>
            </w:r>
            <w:r>
              <w:rPr>
                <w:rFonts w:hint="eastAsia" w:cs="Times New Roman"/>
                <w:color w:val="auto"/>
                <w:sz w:val="24"/>
                <w:highlight w:val="none"/>
                <w:lang w:val="en-US" w:eastAsia="zh-CN"/>
              </w:rPr>
              <w:t>0.567</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170.1</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default" w:ascii="Times New Roman" w:hAnsi="Times New Roman" w:eastAsia="宋体" w:cs="Times New Roman"/>
                <w:color w:val="auto"/>
                <w:sz w:val="24"/>
                <w:szCs w:val="24"/>
                <w:highlight w:val="none"/>
                <w:lang w:eastAsia="zh-CN" w:bidi="ar"/>
              </w:rPr>
              <w:t>，</w:t>
            </w:r>
            <w:r>
              <w:rPr>
                <w:rFonts w:hint="eastAsia" w:cs="Times New Roman"/>
                <w:b w:val="0"/>
                <w:bCs w:val="0"/>
                <w:color w:val="auto"/>
                <w:sz w:val="24"/>
                <w:szCs w:val="24"/>
                <w:highlight w:val="none"/>
                <w:lang w:val="en-US" w:eastAsia="zh-CN"/>
              </w:rPr>
              <w:t>此环节不产生废水</w:t>
            </w:r>
            <w:r>
              <w:rPr>
                <w:rFonts w:hint="default" w:ascii="Times New Roman" w:hAnsi="Times New Roman" w:eastAsia="宋体" w:cs="Times New Roman"/>
                <w:color w:val="auto"/>
                <w:sz w:val="24"/>
                <w:szCs w:val="24"/>
                <w:highlight w:val="none"/>
                <w:lang w:val="zh-CN"/>
              </w:rPr>
              <w:t>。项目</w:t>
            </w:r>
            <w:r>
              <w:rPr>
                <w:rFonts w:hint="default" w:ascii="Times New Roman" w:hAnsi="Times New Roman" w:eastAsia="宋体" w:cs="Times New Roman"/>
                <w:color w:val="auto"/>
                <w:sz w:val="24"/>
                <w:szCs w:val="24"/>
                <w:highlight w:val="none"/>
                <w:lang w:val="en-US" w:eastAsia="zh-CN"/>
              </w:rPr>
              <w:t>生活污水中主要污染物及其浓度类比《昆明思柏雅定制木制品生产线建设项目竣工环境保护验收监测报告表》中生活污水相关数据。</w:t>
            </w:r>
            <w:r>
              <w:rPr>
                <w:rFonts w:hint="default" w:ascii="Times New Roman" w:hAnsi="Times New Roman" w:eastAsia="宋体" w:cs="Times New Roman"/>
                <w:bCs/>
                <w:color w:val="auto"/>
                <w:sz w:val="24"/>
                <w:highlight w:val="none"/>
                <w:lang w:val="en-US" w:eastAsia="zh-CN"/>
              </w:rPr>
              <w:t>项目拟采取的生活污水处理工艺与</w:t>
            </w:r>
            <w:r>
              <w:rPr>
                <w:rFonts w:hint="default" w:ascii="Times New Roman" w:hAnsi="Times New Roman" w:eastAsia="宋体" w:cs="Times New Roman"/>
                <w:color w:val="auto"/>
                <w:sz w:val="24"/>
                <w:szCs w:val="24"/>
                <w:highlight w:val="none"/>
                <w:lang w:val="en-US" w:eastAsia="zh-CN"/>
              </w:rPr>
              <w:t>昆明思柏雅定制木制品生产线建设项目相同，</w:t>
            </w:r>
            <w:r>
              <w:rPr>
                <w:rFonts w:hint="eastAsia" w:cs="Times New Roman"/>
                <w:color w:val="auto"/>
                <w:sz w:val="24"/>
                <w:szCs w:val="24"/>
                <w:highlight w:val="none"/>
                <w:lang w:val="en-US" w:eastAsia="zh-CN"/>
              </w:rPr>
              <w:t>均为调节池+SBR生物膜处理工艺，</w:t>
            </w:r>
            <w:r>
              <w:rPr>
                <w:rFonts w:hint="default" w:ascii="Times New Roman" w:hAnsi="Times New Roman" w:eastAsia="宋体" w:cs="Times New Roman"/>
                <w:color w:val="auto"/>
                <w:sz w:val="24"/>
                <w:szCs w:val="24"/>
                <w:highlight w:val="none"/>
                <w:lang w:val="en-US" w:eastAsia="zh-CN"/>
              </w:rPr>
              <w:t>故项目</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bCs/>
                <w:color w:val="auto"/>
                <w:sz w:val="24"/>
                <w:highlight w:val="none"/>
                <w:lang w:val="en-US" w:eastAsia="zh-CN"/>
              </w:rPr>
              <w:t>污水处理站出水水质类比</w:t>
            </w:r>
            <w:r>
              <w:rPr>
                <w:rFonts w:hint="default" w:ascii="Times New Roman" w:hAnsi="Times New Roman" w:eastAsia="宋体" w:cs="Times New Roman"/>
                <w:color w:val="auto"/>
                <w:sz w:val="24"/>
                <w:szCs w:val="24"/>
                <w:highlight w:val="none"/>
                <w:lang w:val="en-US" w:eastAsia="zh-CN"/>
              </w:rPr>
              <w:t>《昆明思柏雅定制木制品生产线建设项目竣工环境保护验收监测报告表》中生活污水处理站出水水质数据。</w:t>
            </w:r>
            <w:r>
              <w:rPr>
                <w:rFonts w:hint="default" w:ascii="Times New Roman" w:hAnsi="Times New Roman" w:eastAsia="宋体" w:cs="Times New Roman"/>
                <w:snapToGrid w:val="0"/>
                <w:color w:val="auto"/>
                <w:kern w:val="0"/>
                <w:sz w:val="24"/>
                <w:highlight w:val="none"/>
                <w:lang w:val="en-US" w:eastAsia="zh-CN"/>
              </w:rPr>
              <w:t>项目生活污水产排情况见</w:t>
            </w:r>
            <w:r>
              <w:rPr>
                <w:rFonts w:hint="default" w:ascii="Times New Roman" w:hAnsi="Times New Roman" w:cs="Times New Roman"/>
                <w:snapToGrid w:val="0"/>
                <w:color w:val="auto"/>
                <w:kern w:val="0"/>
                <w:sz w:val="24"/>
                <w:highlight w:val="none"/>
                <w:lang w:val="en-US" w:eastAsia="zh-CN"/>
              </w:rPr>
              <w:t>表4-</w:t>
            </w:r>
            <w:r>
              <w:rPr>
                <w:rFonts w:hint="eastAsia" w:ascii="Times New Roman" w:hAnsi="Times New Roman" w:cs="Times New Roman"/>
                <w:snapToGrid w:val="0"/>
                <w:color w:val="auto"/>
                <w:kern w:val="0"/>
                <w:sz w:val="24"/>
                <w:highlight w:val="none"/>
                <w:lang w:val="en-US" w:eastAsia="zh-CN"/>
              </w:rPr>
              <w:t>6</w:t>
            </w:r>
            <w:r>
              <w:rPr>
                <w:rFonts w:hint="default" w:ascii="Times New Roman" w:hAnsi="Times New Roman" w:eastAsia="宋体" w:cs="Times New Roman"/>
                <w:snapToGrid w:val="0"/>
                <w:color w:val="auto"/>
                <w:kern w:val="0"/>
                <w:sz w:val="24"/>
                <w:highlight w:val="none"/>
                <w:lang w:val="en-US" w:eastAsia="zh-CN"/>
              </w:rPr>
              <w:t>。</w:t>
            </w:r>
          </w:p>
          <w:p w14:paraId="67455EB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项目</w:t>
            </w:r>
            <w:r>
              <w:rPr>
                <w:rFonts w:hint="default" w:ascii="Times New Roman" w:hAnsi="Times New Roman" w:eastAsia="宋体" w:cs="Times New Roman"/>
                <w:b/>
                <w:color w:val="auto"/>
                <w:sz w:val="21"/>
                <w:szCs w:val="21"/>
                <w:lang w:val="en-US" w:eastAsia="zh-CN"/>
              </w:rPr>
              <w:t>废水</w:t>
            </w:r>
            <w:r>
              <w:rPr>
                <w:rFonts w:hint="default" w:ascii="Times New Roman" w:hAnsi="Times New Roman" w:eastAsia="宋体" w:cs="Times New Roman"/>
                <w:b/>
                <w:color w:val="auto"/>
                <w:sz w:val="21"/>
                <w:szCs w:val="21"/>
              </w:rPr>
              <w:t>产排情况一览表</w:t>
            </w:r>
          </w:p>
          <w:tbl>
            <w:tblPr>
              <w:tblStyle w:val="30"/>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36"/>
              <w:gridCol w:w="926"/>
              <w:gridCol w:w="795"/>
              <w:gridCol w:w="766"/>
              <w:gridCol w:w="792"/>
              <w:gridCol w:w="1102"/>
              <w:gridCol w:w="824"/>
              <w:gridCol w:w="913"/>
              <w:gridCol w:w="714"/>
            </w:tblGrid>
            <w:tr w14:paraId="4B5A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7F3A728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1136" w:type="dxa"/>
                  <w:vAlign w:val="center"/>
                </w:tcPr>
                <w:p w14:paraId="31EF5CA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926" w:type="dxa"/>
                  <w:vAlign w:val="center"/>
                </w:tcPr>
                <w:p w14:paraId="161A8A3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w:t>
                  </w:r>
                  <w:r>
                    <w:rPr>
                      <w:rFonts w:hint="default" w:ascii="Times New Roman" w:hAnsi="Times New Roman" w:eastAsia="宋体" w:cs="Times New Roman"/>
                      <w:b/>
                      <w:bCs/>
                      <w:color w:val="auto"/>
                      <w:szCs w:val="21"/>
                      <w:highlight w:val="none"/>
                      <w:lang w:eastAsia="zh-CN"/>
                    </w:rPr>
                    <w:t>浓度</w:t>
                  </w:r>
                  <w:r>
                    <w:rPr>
                      <w:rFonts w:hint="default" w:ascii="Times New Roman" w:hAnsi="Times New Roman" w:eastAsia="宋体" w:cs="Times New Roman"/>
                      <w:b/>
                      <w:bCs/>
                      <w:color w:val="auto"/>
                      <w:szCs w:val="21"/>
                      <w:highlight w:val="none"/>
                    </w:rPr>
                    <w:t>mg/L</w:t>
                  </w:r>
                </w:p>
              </w:tc>
              <w:tc>
                <w:tcPr>
                  <w:tcW w:w="795" w:type="dxa"/>
                  <w:vAlign w:val="center"/>
                </w:tcPr>
                <w:p w14:paraId="2A799D1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产生量</w:t>
                  </w:r>
                </w:p>
                <w:p w14:paraId="6511892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t/a</w:t>
                  </w:r>
                </w:p>
              </w:tc>
              <w:tc>
                <w:tcPr>
                  <w:tcW w:w="766" w:type="dxa"/>
                  <w:vAlign w:val="center"/>
                </w:tcPr>
                <w:p w14:paraId="1985409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处理方式</w:t>
                  </w:r>
                </w:p>
              </w:tc>
              <w:tc>
                <w:tcPr>
                  <w:tcW w:w="792" w:type="dxa"/>
                  <w:vAlign w:val="center"/>
                </w:tcPr>
                <w:p w14:paraId="61E9B75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去除效率%</w:t>
                  </w:r>
                </w:p>
              </w:tc>
              <w:tc>
                <w:tcPr>
                  <w:tcW w:w="1102" w:type="dxa"/>
                  <w:vAlign w:val="center"/>
                </w:tcPr>
                <w:p w14:paraId="73C635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处理设施出口浓度</w:t>
                  </w:r>
                  <w:r>
                    <w:rPr>
                      <w:rFonts w:hint="default" w:ascii="Times New Roman" w:hAnsi="Times New Roman" w:eastAsia="宋体" w:cs="Times New Roman"/>
                      <w:b/>
                      <w:bCs/>
                      <w:color w:val="auto"/>
                      <w:szCs w:val="21"/>
                      <w:highlight w:val="none"/>
                    </w:rPr>
                    <w:t>mg/L</w:t>
                  </w:r>
                </w:p>
              </w:tc>
              <w:tc>
                <w:tcPr>
                  <w:tcW w:w="824" w:type="dxa"/>
                  <w:vAlign w:val="center"/>
                </w:tcPr>
                <w:p w14:paraId="6A64332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去除量</w:t>
                  </w:r>
                </w:p>
                <w:p w14:paraId="6006DF8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t/a</w:t>
                  </w:r>
                </w:p>
              </w:tc>
              <w:tc>
                <w:tcPr>
                  <w:tcW w:w="913" w:type="dxa"/>
                  <w:vAlign w:val="center"/>
                </w:tcPr>
                <w:p w14:paraId="36DAB00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eastAsia="zh-CN"/>
                    </w:rPr>
                    <w:t>回用量</w:t>
                  </w:r>
                  <w:r>
                    <w:rPr>
                      <w:rFonts w:hint="default" w:ascii="Times New Roman" w:hAnsi="Times New Roman" w:eastAsia="宋体" w:cs="Times New Roman"/>
                      <w:b/>
                      <w:bCs/>
                      <w:color w:val="auto"/>
                      <w:szCs w:val="21"/>
                      <w:highlight w:val="none"/>
                    </w:rPr>
                    <w:t>t/a</w:t>
                  </w:r>
                </w:p>
              </w:tc>
              <w:tc>
                <w:tcPr>
                  <w:tcW w:w="714" w:type="dxa"/>
                  <w:vAlign w:val="center"/>
                </w:tcPr>
                <w:p w14:paraId="2E836BC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排放量</w:t>
                  </w:r>
                  <w:r>
                    <w:rPr>
                      <w:rFonts w:hint="default" w:ascii="Times New Roman" w:hAnsi="Times New Roman" w:eastAsia="宋体" w:cs="Times New Roman"/>
                      <w:b/>
                      <w:bCs/>
                      <w:color w:val="auto"/>
                      <w:szCs w:val="21"/>
                      <w:highlight w:val="none"/>
                    </w:rPr>
                    <w:t>t/a</w:t>
                  </w:r>
                </w:p>
              </w:tc>
            </w:tr>
            <w:tr w14:paraId="0F86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27" w:type="dxa"/>
                  <w:vMerge w:val="restart"/>
                  <w:vAlign w:val="center"/>
                </w:tcPr>
                <w:p w14:paraId="3F7B167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生活污水</w:t>
                  </w:r>
                </w:p>
              </w:tc>
              <w:tc>
                <w:tcPr>
                  <w:tcW w:w="1136" w:type="dxa"/>
                  <w:vAlign w:val="center"/>
                </w:tcPr>
                <w:p w14:paraId="1E5172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926" w:type="dxa"/>
                  <w:vAlign w:val="center"/>
                </w:tcPr>
                <w:p w14:paraId="2B3ABC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795" w:type="dxa"/>
                  <w:vAlign w:val="center"/>
                </w:tcPr>
                <w:p w14:paraId="7FA7CF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307.2</w:t>
                  </w:r>
                </w:p>
              </w:tc>
              <w:tc>
                <w:tcPr>
                  <w:tcW w:w="766" w:type="dxa"/>
                  <w:vMerge w:val="restart"/>
                  <w:vAlign w:val="center"/>
                </w:tcPr>
                <w:p w14:paraId="7DF45C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bidi="ar"/>
                    </w:rPr>
                  </w:pPr>
                  <w:r>
                    <w:rPr>
                      <w:rFonts w:hint="default" w:ascii="Times New Roman" w:hAnsi="Times New Roman" w:eastAsia="宋体" w:cs="Times New Roman"/>
                      <w:color w:val="auto"/>
                      <w:szCs w:val="21"/>
                      <w:highlight w:val="none"/>
                    </w:rPr>
                    <w:t>化粪池</w:t>
                  </w: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调节池+SBR生物膜</w:t>
                  </w:r>
                </w:p>
              </w:tc>
              <w:tc>
                <w:tcPr>
                  <w:tcW w:w="792" w:type="dxa"/>
                  <w:vAlign w:val="center"/>
                </w:tcPr>
                <w:p w14:paraId="2E70E7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w:t>
                  </w:r>
                </w:p>
              </w:tc>
              <w:tc>
                <w:tcPr>
                  <w:tcW w:w="1102" w:type="dxa"/>
                  <w:vAlign w:val="center"/>
                </w:tcPr>
                <w:p w14:paraId="3EBD48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24" w:type="dxa"/>
                  <w:vAlign w:val="center"/>
                </w:tcPr>
                <w:p w14:paraId="7A2113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p>
              </w:tc>
              <w:tc>
                <w:tcPr>
                  <w:tcW w:w="913" w:type="dxa"/>
                  <w:vAlign w:val="center"/>
                </w:tcPr>
                <w:p w14:paraId="667743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u w:val="none"/>
                      <w:lang w:val="en-US" w:eastAsia="zh-CN" w:bidi="ar"/>
                    </w:rPr>
                    <w:t>307.2</w:t>
                  </w:r>
                </w:p>
              </w:tc>
              <w:tc>
                <w:tcPr>
                  <w:tcW w:w="714" w:type="dxa"/>
                  <w:vAlign w:val="center"/>
                </w:tcPr>
                <w:p w14:paraId="3ACD9F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p>
              </w:tc>
            </w:tr>
            <w:tr w14:paraId="353D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vMerge w:val="continue"/>
                  <w:vAlign w:val="center"/>
                </w:tcPr>
                <w:p w14:paraId="1F91FA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136" w:type="dxa"/>
                  <w:vAlign w:val="center"/>
                </w:tcPr>
                <w:p w14:paraId="0B7A2D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926" w:type="dxa"/>
                  <w:vAlign w:val="bottom"/>
                </w:tcPr>
                <w:p w14:paraId="1908CA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400</w:t>
                  </w:r>
                </w:p>
              </w:tc>
              <w:tc>
                <w:tcPr>
                  <w:tcW w:w="795" w:type="dxa"/>
                  <w:vAlign w:val="center"/>
                </w:tcPr>
                <w:p w14:paraId="347E39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1229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66" w:type="dxa"/>
                  <w:vMerge w:val="continue"/>
                  <w:vAlign w:val="center"/>
                </w:tcPr>
                <w:p w14:paraId="55D7C2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p>
              </w:tc>
              <w:tc>
                <w:tcPr>
                  <w:tcW w:w="792" w:type="dxa"/>
                  <w:vAlign w:val="center"/>
                </w:tcPr>
                <w:p w14:paraId="21DA4C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92 </w:t>
                  </w:r>
                </w:p>
              </w:tc>
              <w:tc>
                <w:tcPr>
                  <w:tcW w:w="1102" w:type="dxa"/>
                  <w:vAlign w:val="center"/>
                </w:tcPr>
                <w:p w14:paraId="0F27D4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824" w:type="dxa"/>
                  <w:vAlign w:val="center"/>
                </w:tcPr>
                <w:p w14:paraId="7DE4C0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0.1130</w:t>
                  </w:r>
                  <w:r>
                    <w:rPr>
                      <w:rFonts w:hint="default" w:ascii="Times New Roman" w:hAnsi="Times New Roman" w:eastAsia="宋体" w:cs="Times New Roman"/>
                      <w:color w:val="auto"/>
                      <w:szCs w:val="21"/>
                      <w:highlight w:val="none"/>
                      <w:lang w:val="en-US" w:eastAsia="zh-CN"/>
                    </w:rPr>
                    <w:t xml:space="preserve"> </w:t>
                  </w:r>
                </w:p>
              </w:tc>
              <w:tc>
                <w:tcPr>
                  <w:tcW w:w="913" w:type="dxa"/>
                  <w:vAlign w:val="center"/>
                </w:tcPr>
                <w:p w14:paraId="252AD7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0.0098</w:t>
                  </w:r>
                  <w:r>
                    <w:rPr>
                      <w:rFonts w:hint="default" w:ascii="Times New Roman" w:hAnsi="Times New Roman" w:eastAsia="宋体" w:cs="Times New Roman"/>
                      <w:color w:val="auto"/>
                      <w:szCs w:val="21"/>
                      <w:highlight w:val="none"/>
                      <w:lang w:val="en-US" w:eastAsia="zh-CN"/>
                    </w:rPr>
                    <w:t xml:space="preserve"> </w:t>
                  </w:r>
                </w:p>
              </w:tc>
              <w:tc>
                <w:tcPr>
                  <w:tcW w:w="714" w:type="dxa"/>
                  <w:vAlign w:val="center"/>
                </w:tcPr>
                <w:p w14:paraId="42E98C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p>
              </w:tc>
            </w:tr>
            <w:tr w14:paraId="648E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vMerge w:val="continue"/>
                  <w:vAlign w:val="center"/>
                </w:tcPr>
                <w:p w14:paraId="1B0CDC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136" w:type="dxa"/>
                  <w:vAlign w:val="center"/>
                </w:tcPr>
                <w:p w14:paraId="458371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p>
              </w:tc>
              <w:tc>
                <w:tcPr>
                  <w:tcW w:w="926" w:type="dxa"/>
                  <w:vAlign w:val="bottom"/>
                </w:tcPr>
                <w:p w14:paraId="430497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110</w:t>
                  </w:r>
                </w:p>
              </w:tc>
              <w:tc>
                <w:tcPr>
                  <w:tcW w:w="795" w:type="dxa"/>
                  <w:vAlign w:val="center"/>
                </w:tcPr>
                <w:p w14:paraId="0D2C72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0.0338</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66" w:type="dxa"/>
                  <w:vMerge w:val="continue"/>
                  <w:vAlign w:val="center"/>
                </w:tcPr>
                <w:p w14:paraId="7D0AB0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p>
              </w:tc>
              <w:tc>
                <w:tcPr>
                  <w:tcW w:w="792" w:type="dxa"/>
                  <w:vAlign w:val="center"/>
                </w:tcPr>
                <w:p w14:paraId="186EBD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91 </w:t>
                  </w:r>
                </w:p>
              </w:tc>
              <w:tc>
                <w:tcPr>
                  <w:tcW w:w="1102" w:type="dxa"/>
                  <w:vAlign w:val="center"/>
                </w:tcPr>
                <w:p w14:paraId="685F53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9.9</w:t>
                  </w:r>
                </w:p>
              </w:tc>
              <w:tc>
                <w:tcPr>
                  <w:tcW w:w="824" w:type="dxa"/>
                  <w:vAlign w:val="center"/>
                </w:tcPr>
                <w:p w14:paraId="0AB711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0.0308</w:t>
                  </w:r>
                  <w:r>
                    <w:rPr>
                      <w:rFonts w:hint="default" w:ascii="Times New Roman" w:hAnsi="Times New Roman" w:eastAsia="宋体" w:cs="Times New Roman"/>
                      <w:color w:val="auto"/>
                      <w:szCs w:val="21"/>
                      <w:highlight w:val="none"/>
                      <w:lang w:val="en-US" w:eastAsia="zh-CN"/>
                    </w:rPr>
                    <w:t xml:space="preserve"> </w:t>
                  </w:r>
                </w:p>
              </w:tc>
              <w:tc>
                <w:tcPr>
                  <w:tcW w:w="913" w:type="dxa"/>
                  <w:vAlign w:val="center"/>
                </w:tcPr>
                <w:p w14:paraId="35D990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0.0030</w:t>
                  </w:r>
                  <w:r>
                    <w:rPr>
                      <w:rFonts w:hint="default" w:ascii="Times New Roman" w:hAnsi="Times New Roman" w:eastAsia="宋体" w:cs="Times New Roman"/>
                      <w:color w:val="auto"/>
                      <w:szCs w:val="21"/>
                      <w:highlight w:val="none"/>
                      <w:lang w:val="en-US" w:eastAsia="zh-CN"/>
                    </w:rPr>
                    <w:t xml:space="preserve"> </w:t>
                  </w:r>
                </w:p>
              </w:tc>
              <w:tc>
                <w:tcPr>
                  <w:tcW w:w="714" w:type="dxa"/>
                  <w:vAlign w:val="center"/>
                </w:tcPr>
                <w:p w14:paraId="75300F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p>
              </w:tc>
            </w:tr>
            <w:tr w14:paraId="1B17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vMerge w:val="continue"/>
                  <w:vAlign w:val="center"/>
                </w:tcPr>
                <w:p w14:paraId="4E11C7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136" w:type="dxa"/>
                  <w:vAlign w:val="center"/>
                </w:tcPr>
                <w:p w14:paraId="5B91A4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926" w:type="dxa"/>
                  <w:vAlign w:val="center"/>
                </w:tcPr>
                <w:p w14:paraId="61E9B3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150</w:t>
                  </w:r>
                </w:p>
              </w:tc>
              <w:tc>
                <w:tcPr>
                  <w:tcW w:w="795" w:type="dxa"/>
                  <w:vAlign w:val="center"/>
                </w:tcPr>
                <w:p w14:paraId="4F61F6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0.0461</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66" w:type="dxa"/>
                  <w:vMerge w:val="continue"/>
                  <w:vAlign w:val="center"/>
                </w:tcPr>
                <w:p w14:paraId="0F2DD7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p>
              </w:tc>
              <w:tc>
                <w:tcPr>
                  <w:tcW w:w="792" w:type="dxa"/>
                  <w:vAlign w:val="center"/>
                </w:tcPr>
                <w:p w14:paraId="61C951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88 </w:t>
                  </w:r>
                </w:p>
              </w:tc>
              <w:tc>
                <w:tcPr>
                  <w:tcW w:w="1102" w:type="dxa"/>
                  <w:vAlign w:val="center"/>
                </w:tcPr>
                <w:p w14:paraId="113762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824" w:type="dxa"/>
                  <w:vAlign w:val="center"/>
                </w:tcPr>
                <w:p w14:paraId="211722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0.0406</w:t>
                  </w:r>
                  <w:r>
                    <w:rPr>
                      <w:rFonts w:hint="default" w:ascii="Times New Roman" w:hAnsi="Times New Roman" w:eastAsia="宋体" w:cs="Times New Roman"/>
                      <w:color w:val="auto"/>
                      <w:szCs w:val="21"/>
                      <w:highlight w:val="none"/>
                      <w:lang w:val="en-US" w:eastAsia="zh-CN"/>
                    </w:rPr>
                    <w:t xml:space="preserve"> </w:t>
                  </w:r>
                </w:p>
              </w:tc>
              <w:tc>
                <w:tcPr>
                  <w:tcW w:w="913" w:type="dxa"/>
                  <w:vAlign w:val="center"/>
                </w:tcPr>
                <w:p w14:paraId="06BAA5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0.0055</w:t>
                  </w:r>
                  <w:r>
                    <w:rPr>
                      <w:rFonts w:hint="default" w:ascii="Times New Roman" w:hAnsi="Times New Roman" w:eastAsia="宋体" w:cs="Times New Roman"/>
                      <w:color w:val="auto"/>
                      <w:szCs w:val="21"/>
                      <w:highlight w:val="none"/>
                      <w:lang w:val="en-US" w:eastAsia="zh-CN"/>
                    </w:rPr>
                    <w:t xml:space="preserve"> </w:t>
                  </w:r>
                </w:p>
              </w:tc>
              <w:tc>
                <w:tcPr>
                  <w:tcW w:w="714" w:type="dxa"/>
                  <w:vAlign w:val="center"/>
                </w:tcPr>
                <w:p w14:paraId="4B18F5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p>
              </w:tc>
            </w:tr>
            <w:tr w14:paraId="503B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vMerge w:val="continue"/>
                  <w:vAlign w:val="center"/>
                </w:tcPr>
                <w:p w14:paraId="37F87E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136" w:type="dxa"/>
                  <w:vAlign w:val="center"/>
                </w:tcPr>
                <w:p w14:paraId="13EF2D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926" w:type="dxa"/>
                  <w:vAlign w:val="center"/>
                </w:tcPr>
                <w:p w14:paraId="1BB8F6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23</w:t>
                  </w:r>
                </w:p>
              </w:tc>
              <w:tc>
                <w:tcPr>
                  <w:tcW w:w="795" w:type="dxa"/>
                  <w:vAlign w:val="center"/>
                </w:tcPr>
                <w:p w14:paraId="36167D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0.0071</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66" w:type="dxa"/>
                  <w:vMerge w:val="continue"/>
                  <w:vAlign w:val="center"/>
                </w:tcPr>
                <w:p w14:paraId="50B078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p>
              </w:tc>
              <w:tc>
                <w:tcPr>
                  <w:tcW w:w="792" w:type="dxa"/>
                  <w:vAlign w:val="center"/>
                </w:tcPr>
                <w:p w14:paraId="1537AA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67 </w:t>
                  </w:r>
                </w:p>
              </w:tc>
              <w:tc>
                <w:tcPr>
                  <w:tcW w:w="1102" w:type="dxa"/>
                  <w:vAlign w:val="center"/>
                </w:tcPr>
                <w:p w14:paraId="3145B7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7.59</w:t>
                  </w:r>
                </w:p>
              </w:tc>
              <w:tc>
                <w:tcPr>
                  <w:tcW w:w="824" w:type="dxa"/>
                  <w:vAlign w:val="center"/>
                </w:tcPr>
                <w:p w14:paraId="14FBC4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0.0047</w:t>
                  </w:r>
                  <w:r>
                    <w:rPr>
                      <w:rFonts w:hint="default" w:ascii="Times New Roman" w:hAnsi="Times New Roman" w:eastAsia="宋体" w:cs="Times New Roman"/>
                      <w:color w:val="auto"/>
                      <w:szCs w:val="21"/>
                      <w:highlight w:val="none"/>
                      <w:lang w:val="en-US" w:eastAsia="zh-CN"/>
                    </w:rPr>
                    <w:t xml:space="preserve"> </w:t>
                  </w:r>
                </w:p>
              </w:tc>
              <w:tc>
                <w:tcPr>
                  <w:tcW w:w="913" w:type="dxa"/>
                  <w:vAlign w:val="center"/>
                </w:tcPr>
                <w:p w14:paraId="1CFDE4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23</w:t>
                  </w:r>
                </w:p>
              </w:tc>
              <w:tc>
                <w:tcPr>
                  <w:tcW w:w="714" w:type="dxa"/>
                  <w:vAlign w:val="center"/>
                </w:tcPr>
                <w:p w14:paraId="672B98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p>
              </w:tc>
            </w:tr>
            <w:tr w14:paraId="625F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27" w:type="dxa"/>
                  <w:vMerge w:val="continue"/>
                  <w:vAlign w:val="center"/>
                </w:tcPr>
                <w:p w14:paraId="2D3CEF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136" w:type="dxa"/>
                  <w:vAlign w:val="center"/>
                </w:tcPr>
                <w:p w14:paraId="557F35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总磷</w:t>
                  </w:r>
                </w:p>
              </w:tc>
              <w:tc>
                <w:tcPr>
                  <w:tcW w:w="926" w:type="dxa"/>
                  <w:vAlign w:val="center"/>
                </w:tcPr>
                <w:p w14:paraId="09BE06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795" w:type="dxa"/>
                  <w:vAlign w:val="center"/>
                </w:tcPr>
                <w:p w14:paraId="4A2E1B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15</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66" w:type="dxa"/>
                  <w:vMerge w:val="continue"/>
                  <w:vAlign w:val="center"/>
                </w:tcPr>
                <w:p w14:paraId="3FCAA5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p>
              </w:tc>
              <w:tc>
                <w:tcPr>
                  <w:tcW w:w="792" w:type="dxa"/>
                  <w:vAlign w:val="center"/>
                </w:tcPr>
                <w:p w14:paraId="53F032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50 </w:t>
                  </w:r>
                </w:p>
              </w:tc>
              <w:tc>
                <w:tcPr>
                  <w:tcW w:w="1102" w:type="dxa"/>
                  <w:vAlign w:val="center"/>
                </w:tcPr>
                <w:p w14:paraId="32D5AE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824" w:type="dxa"/>
                  <w:vAlign w:val="center"/>
                </w:tcPr>
                <w:p w14:paraId="2CC481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08</w:t>
                  </w:r>
                  <w:r>
                    <w:rPr>
                      <w:rFonts w:hint="default" w:ascii="Times New Roman" w:hAnsi="Times New Roman" w:eastAsia="宋体" w:cs="Times New Roman"/>
                      <w:color w:val="auto"/>
                      <w:szCs w:val="21"/>
                      <w:highlight w:val="none"/>
                      <w:lang w:val="en-US" w:eastAsia="zh-CN"/>
                    </w:rPr>
                    <w:t xml:space="preserve"> </w:t>
                  </w:r>
                </w:p>
              </w:tc>
              <w:tc>
                <w:tcPr>
                  <w:tcW w:w="913" w:type="dxa"/>
                  <w:vAlign w:val="center"/>
                </w:tcPr>
                <w:p w14:paraId="6B9692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08</w:t>
                  </w:r>
                  <w:r>
                    <w:rPr>
                      <w:rFonts w:hint="default" w:ascii="Times New Roman" w:hAnsi="Times New Roman" w:eastAsia="宋体" w:cs="Times New Roman"/>
                      <w:color w:val="auto"/>
                      <w:szCs w:val="21"/>
                      <w:highlight w:val="none"/>
                      <w:lang w:val="en-US" w:eastAsia="zh-CN"/>
                    </w:rPr>
                    <w:t xml:space="preserve"> </w:t>
                  </w:r>
                </w:p>
              </w:tc>
              <w:tc>
                <w:tcPr>
                  <w:tcW w:w="714" w:type="dxa"/>
                  <w:vAlign w:val="center"/>
                </w:tcPr>
                <w:p w14:paraId="177E33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p>
              </w:tc>
            </w:tr>
            <w:tr w14:paraId="272C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27" w:type="dxa"/>
                  <w:vMerge w:val="continue"/>
                  <w:vAlign w:val="center"/>
                </w:tcPr>
                <w:p w14:paraId="5DE11F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136" w:type="dxa"/>
                  <w:vAlign w:val="center"/>
                </w:tcPr>
                <w:p w14:paraId="50B82F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动植物油</w:t>
                  </w:r>
                </w:p>
              </w:tc>
              <w:tc>
                <w:tcPr>
                  <w:tcW w:w="926" w:type="dxa"/>
                  <w:vAlign w:val="center"/>
                </w:tcPr>
                <w:p w14:paraId="508FD3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w:t>
                  </w:r>
                </w:p>
              </w:tc>
              <w:tc>
                <w:tcPr>
                  <w:tcW w:w="795" w:type="dxa"/>
                  <w:vAlign w:val="center"/>
                </w:tcPr>
                <w:p w14:paraId="70B19A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092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66" w:type="dxa"/>
                  <w:vMerge w:val="continue"/>
                  <w:vAlign w:val="center"/>
                </w:tcPr>
                <w:p w14:paraId="59B001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p>
              </w:tc>
              <w:tc>
                <w:tcPr>
                  <w:tcW w:w="792" w:type="dxa"/>
                  <w:vAlign w:val="center"/>
                </w:tcPr>
                <w:p w14:paraId="068B85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80 </w:t>
                  </w:r>
                </w:p>
              </w:tc>
              <w:tc>
                <w:tcPr>
                  <w:tcW w:w="1102" w:type="dxa"/>
                  <w:vAlign w:val="center"/>
                </w:tcPr>
                <w:p w14:paraId="6BDE0D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824" w:type="dxa"/>
                  <w:vAlign w:val="center"/>
                </w:tcPr>
                <w:p w14:paraId="445483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074</w:t>
                  </w:r>
                  <w:r>
                    <w:rPr>
                      <w:rFonts w:hint="default" w:ascii="Times New Roman" w:hAnsi="Times New Roman" w:eastAsia="宋体" w:cs="Times New Roman"/>
                      <w:color w:val="auto"/>
                      <w:szCs w:val="21"/>
                      <w:highlight w:val="none"/>
                      <w:lang w:val="en-US" w:eastAsia="zh-CN"/>
                    </w:rPr>
                    <w:t xml:space="preserve"> </w:t>
                  </w:r>
                </w:p>
              </w:tc>
              <w:tc>
                <w:tcPr>
                  <w:tcW w:w="913" w:type="dxa"/>
                  <w:vAlign w:val="center"/>
                </w:tcPr>
                <w:p w14:paraId="60D46A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18</w:t>
                  </w:r>
                  <w:r>
                    <w:rPr>
                      <w:rFonts w:hint="default" w:ascii="Times New Roman" w:hAnsi="Times New Roman" w:eastAsia="宋体" w:cs="Times New Roman"/>
                      <w:color w:val="auto"/>
                      <w:szCs w:val="21"/>
                      <w:highlight w:val="none"/>
                      <w:lang w:val="en-US" w:eastAsia="zh-CN"/>
                    </w:rPr>
                    <w:t xml:space="preserve"> </w:t>
                  </w:r>
                </w:p>
              </w:tc>
              <w:tc>
                <w:tcPr>
                  <w:tcW w:w="714" w:type="dxa"/>
                  <w:vAlign w:val="center"/>
                </w:tcPr>
                <w:p w14:paraId="4AE53F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p>
              </w:tc>
            </w:tr>
          </w:tbl>
          <w:p w14:paraId="4F49D0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pacing w:val="-10"/>
                <w:sz w:val="24"/>
                <w:highlight w:val="none"/>
              </w:rPr>
            </w:pP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z w:val="24"/>
                <w:highlight w:val="none"/>
                <w:lang w:val="en-US" w:eastAsia="zh-CN"/>
              </w:rPr>
              <w:t>2</w:t>
            </w: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pacing w:val="-10"/>
                <w:sz w:val="24"/>
                <w:highlight w:val="none"/>
              </w:rPr>
              <w:t>污水达标性分析</w:t>
            </w:r>
          </w:p>
          <w:p w14:paraId="5C64CD09">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根据上述分析，本项目</w:t>
            </w:r>
            <w:r>
              <w:rPr>
                <w:rFonts w:hint="default" w:ascii="Times New Roman" w:hAnsi="Times New Roman" w:eastAsia="宋体" w:cs="Times New Roman"/>
                <w:color w:val="auto"/>
                <w:sz w:val="24"/>
                <w:highlight w:val="none"/>
                <w:lang w:eastAsia="zh-CN"/>
              </w:rPr>
              <w:t>生活</w:t>
            </w:r>
            <w:r>
              <w:rPr>
                <w:rFonts w:hint="default" w:ascii="Times New Roman" w:hAnsi="Times New Roman" w:eastAsia="宋体" w:cs="Times New Roman"/>
                <w:color w:val="auto"/>
                <w:sz w:val="24"/>
                <w:highlight w:val="none"/>
                <w:lang w:val="en-US" w:eastAsia="zh-CN"/>
              </w:rPr>
              <w:t>污水</w:t>
            </w:r>
            <w:r>
              <w:rPr>
                <w:rFonts w:hint="default" w:ascii="Times New Roman" w:hAnsi="Times New Roman" w:eastAsia="宋体" w:cs="Times New Roman"/>
                <w:color w:val="auto"/>
                <w:sz w:val="24"/>
                <w:highlight w:val="none"/>
              </w:rPr>
              <w:t>达标</w:t>
            </w:r>
            <w:r>
              <w:rPr>
                <w:rFonts w:hint="default" w:ascii="Times New Roman" w:hAnsi="Times New Roman" w:eastAsia="宋体" w:cs="Times New Roman"/>
                <w:color w:val="auto"/>
                <w:sz w:val="24"/>
                <w:highlight w:val="none"/>
                <w:lang w:val="en-US" w:eastAsia="zh-CN"/>
              </w:rPr>
              <w:t>情况</w:t>
            </w:r>
            <w:r>
              <w:rPr>
                <w:rFonts w:hint="default" w:ascii="Times New Roman" w:hAnsi="Times New Roman" w:eastAsia="宋体" w:cs="Times New Roman"/>
                <w:color w:val="auto"/>
                <w:sz w:val="24"/>
                <w:highlight w:val="none"/>
              </w:rPr>
              <w:t>分析如下表。</w:t>
            </w:r>
          </w:p>
          <w:p w14:paraId="02F5E14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表4-</w:t>
            </w:r>
            <w:r>
              <w:rPr>
                <w:rFonts w:hint="eastAsia" w:ascii="Times New Roman" w:hAnsi="Times New Roman"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项目废水</w:t>
            </w:r>
            <w:r>
              <w:rPr>
                <w:rFonts w:hint="default" w:ascii="Times New Roman" w:hAnsi="Times New Roman" w:eastAsia="宋体" w:cs="Times New Roman"/>
                <w:b/>
                <w:color w:val="auto"/>
                <w:sz w:val="21"/>
                <w:szCs w:val="21"/>
                <w:lang w:val="en-US" w:eastAsia="zh-CN"/>
              </w:rPr>
              <w:t>达标情况分析表</w:t>
            </w:r>
          </w:p>
          <w:tbl>
            <w:tblPr>
              <w:tblStyle w:val="30"/>
              <w:tblW w:w="8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472"/>
              <w:gridCol w:w="1905"/>
              <w:gridCol w:w="1245"/>
              <w:gridCol w:w="1755"/>
              <w:gridCol w:w="1335"/>
            </w:tblGrid>
            <w:tr w14:paraId="5E1C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F7E8DDB">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污染源</w:t>
                  </w:r>
                </w:p>
              </w:tc>
              <w:tc>
                <w:tcPr>
                  <w:tcW w:w="1472" w:type="dxa"/>
                  <w:vAlign w:val="center"/>
                </w:tcPr>
                <w:p w14:paraId="5CF5E24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污染物指标</w:t>
                  </w:r>
                </w:p>
              </w:tc>
              <w:tc>
                <w:tcPr>
                  <w:tcW w:w="1905" w:type="dxa"/>
                  <w:vAlign w:val="center"/>
                </w:tcPr>
                <w:p w14:paraId="054252A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污水处理设施出口</w:t>
                  </w:r>
                  <w:r>
                    <w:rPr>
                      <w:rFonts w:hint="default" w:ascii="Times New Roman" w:hAnsi="Times New Roman" w:eastAsia="宋体" w:cs="Times New Roman"/>
                      <w:b/>
                      <w:bCs/>
                      <w:color w:val="auto"/>
                      <w:sz w:val="21"/>
                      <w:szCs w:val="21"/>
                      <w:highlight w:val="none"/>
                    </w:rPr>
                    <w:t>浓度mg/L</w:t>
                  </w:r>
                </w:p>
              </w:tc>
              <w:tc>
                <w:tcPr>
                  <w:tcW w:w="1245" w:type="dxa"/>
                  <w:vAlign w:val="center"/>
                </w:tcPr>
                <w:p w14:paraId="0066139E">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回用</w:t>
                  </w:r>
                  <w:r>
                    <w:rPr>
                      <w:rFonts w:hint="default" w:ascii="Times New Roman" w:hAnsi="Times New Roman" w:eastAsia="宋体" w:cs="Times New Roman"/>
                      <w:b/>
                      <w:bCs/>
                      <w:color w:val="auto"/>
                      <w:sz w:val="21"/>
                      <w:szCs w:val="21"/>
                      <w:highlight w:val="none"/>
                    </w:rPr>
                    <w:t>量t/a</w:t>
                  </w:r>
                </w:p>
              </w:tc>
              <w:tc>
                <w:tcPr>
                  <w:tcW w:w="1755" w:type="dxa"/>
                  <w:vAlign w:val="center"/>
                </w:tcPr>
                <w:p w14:paraId="29C79288">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回用标准限值</w:t>
                  </w:r>
                </w:p>
              </w:tc>
              <w:tc>
                <w:tcPr>
                  <w:tcW w:w="1335" w:type="dxa"/>
                  <w:vAlign w:val="center"/>
                </w:tcPr>
                <w:p w14:paraId="576667D0">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达标情况</w:t>
                  </w:r>
                </w:p>
              </w:tc>
            </w:tr>
            <w:tr w14:paraId="7F53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83" w:type="dxa"/>
                  <w:vMerge w:val="restart"/>
                  <w:vAlign w:val="center"/>
                </w:tcPr>
                <w:p w14:paraId="15BA9AA6">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1472" w:type="dxa"/>
                  <w:vAlign w:val="center"/>
                </w:tcPr>
                <w:p w14:paraId="46FBB4D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废水量</w:t>
                  </w:r>
                </w:p>
              </w:tc>
              <w:tc>
                <w:tcPr>
                  <w:tcW w:w="1905" w:type="dxa"/>
                  <w:vAlign w:val="center"/>
                </w:tcPr>
                <w:p w14:paraId="01FC82D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45" w:type="dxa"/>
                  <w:vAlign w:val="center"/>
                </w:tcPr>
                <w:p w14:paraId="7206DE9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307.2</w:t>
                  </w:r>
                </w:p>
              </w:tc>
              <w:tc>
                <w:tcPr>
                  <w:tcW w:w="1755" w:type="dxa"/>
                  <w:vAlign w:val="center"/>
                </w:tcPr>
                <w:p w14:paraId="46C2DA7A">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35" w:type="dxa"/>
                  <w:vAlign w:val="center"/>
                </w:tcPr>
                <w:p w14:paraId="01A71F7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A58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14:paraId="04C343DC">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472" w:type="dxa"/>
                  <w:vAlign w:val="center"/>
                </w:tcPr>
                <w:p w14:paraId="11F833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p>
              </w:tc>
              <w:tc>
                <w:tcPr>
                  <w:tcW w:w="1905" w:type="dxa"/>
                  <w:vAlign w:val="center"/>
                </w:tcPr>
                <w:p w14:paraId="09A1C8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245" w:type="dxa"/>
                  <w:vAlign w:val="center"/>
                </w:tcPr>
                <w:p w14:paraId="3C5A3A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0.0098</w:t>
                  </w:r>
                  <w:r>
                    <w:rPr>
                      <w:rFonts w:hint="default" w:ascii="Times New Roman" w:hAnsi="Times New Roman" w:eastAsia="宋体" w:cs="Times New Roman"/>
                      <w:color w:val="auto"/>
                      <w:szCs w:val="21"/>
                      <w:highlight w:val="none"/>
                      <w:lang w:val="en-US" w:eastAsia="zh-CN"/>
                    </w:rPr>
                    <w:t xml:space="preserve"> </w:t>
                  </w:r>
                </w:p>
              </w:tc>
              <w:tc>
                <w:tcPr>
                  <w:tcW w:w="1755" w:type="dxa"/>
                  <w:vAlign w:val="center"/>
                </w:tcPr>
                <w:p w14:paraId="6ADBE561">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35" w:type="dxa"/>
                  <w:vAlign w:val="center"/>
                </w:tcPr>
                <w:p w14:paraId="570E4866">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3FD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14:paraId="256F2E5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472" w:type="dxa"/>
                  <w:vAlign w:val="center"/>
                </w:tcPr>
                <w:p w14:paraId="059190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905" w:type="dxa"/>
                  <w:vAlign w:val="center"/>
                </w:tcPr>
                <w:p w14:paraId="011678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9.9</w:t>
                  </w:r>
                </w:p>
              </w:tc>
              <w:tc>
                <w:tcPr>
                  <w:tcW w:w="1245" w:type="dxa"/>
                  <w:vAlign w:val="center"/>
                </w:tcPr>
                <w:p w14:paraId="242173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0.0030</w:t>
                  </w:r>
                  <w:r>
                    <w:rPr>
                      <w:rFonts w:hint="default" w:ascii="Times New Roman" w:hAnsi="Times New Roman" w:eastAsia="宋体" w:cs="Times New Roman"/>
                      <w:color w:val="auto"/>
                      <w:szCs w:val="21"/>
                      <w:highlight w:val="none"/>
                      <w:lang w:val="en-US" w:eastAsia="zh-CN"/>
                    </w:rPr>
                    <w:t xml:space="preserve"> </w:t>
                  </w:r>
                </w:p>
              </w:tc>
              <w:tc>
                <w:tcPr>
                  <w:tcW w:w="1755" w:type="dxa"/>
                  <w:vAlign w:val="center"/>
                </w:tcPr>
                <w:p w14:paraId="07B45CC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335" w:type="dxa"/>
                  <w:vAlign w:val="center"/>
                </w:tcPr>
                <w:p w14:paraId="526CEE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254C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14:paraId="41D8DD83">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472" w:type="dxa"/>
                  <w:vAlign w:val="center"/>
                </w:tcPr>
                <w:p w14:paraId="531F06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SS</w:t>
                  </w:r>
                </w:p>
              </w:tc>
              <w:tc>
                <w:tcPr>
                  <w:tcW w:w="1905" w:type="dxa"/>
                  <w:vAlign w:val="center"/>
                </w:tcPr>
                <w:p w14:paraId="40D31B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45" w:type="dxa"/>
                  <w:vAlign w:val="center"/>
                </w:tcPr>
                <w:p w14:paraId="15C44C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0.0055</w:t>
                  </w:r>
                  <w:r>
                    <w:rPr>
                      <w:rFonts w:hint="default" w:ascii="Times New Roman" w:hAnsi="Times New Roman" w:eastAsia="宋体" w:cs="Times New Roman"/>
                      <w:color w:val="auto"/>
                      <w:szCs w:val="21"/>
                      <w:highlight w:val="none"/>
                      <w:lang w:val="en-US" w:eastAsia="zh-CN"/>
                    </w:rPr>
                    <w:t xml:space="preserve"> </w:t>
                  </w:r>
                </w:p>
              </w:tc>
              <w:tc>
                <w:tcPr>
                  <w:tcW w:w="1755" w:type="dxa"/>
                  <w:vAlign w:val="center"/>
                </w:tcPr>
                <w:p w14:paraId="1F5848A2">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35" w:type="dxa"/>
                  <w:vAlign w:val="center"/>
                </w:tcPr>
                <w:p w14:paraId="32B430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71DF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14:paraId="793D33E7">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472" w:type="dxa"/>
                  <w:vAlign w:val="center"/>
                </w:tcPr>
                <w:p w14:paraId="4F1E6F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氨氮</w:t>
                  </w:r>
                </w:p>
              </w:tc>
              <w:tc>
                <w:tcPr>
                  <w:tcW w:w="1905" w:type="dxa"/>
                  <w:vAlign w:val="center"/>
                </w:tcPr>
                <w:p w14:paraId="3992CA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7.59</w:t>
                  </w:r>
                </w:p>
              </w:tc>
              <w:tc>
                <w:tcPr>
                  <w:tcW w:w="1245" w:type="dxa"/>
                  <w:vAlign w:val="center"/>
                </w:tcPr>
                <w:p w14:paraId="55F72C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23</w:t>
                  </w:r>
                </w:p>
              </w:tc>
              <w:tc>
                <w:tcPr>
                  <w:tcW w:w="1755" w:type="dxa"/>
                  <w:vAlign w:val="center"/>
                </w:tcPr>
                <w:p w14:paraId="751DAC0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335" w:type="dxa"/>
                  <w:vAlign w:val="center"/>
                </w:tcPr>
                <w:p w14:paraId="2D0C0C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4E1E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683" w:type="dxa"/>
                  <w:vMerge w:val="continue"/>
                  <w:vAlign w:val="center"/>
                </w:tcPr>
                <w:p w14:paraId="78B0A5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472" w:type="dxa"/>
                  <w:vAlign w:val="center"/>
                </w:tcPr>
                <w:p w14:paraId="399721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总磷</w:t>
                  </w:r>
                </w:p>
              </w:tc>
              <w:tc>
                <w:tcPr>
                  <w:tcW w:w="1905" w:type="dxa"/>
                  <w:vAlign w:val="center"/>
                </w:tcPr>
                <w:p w14:paraId="130169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245" w:type="dxa"/>
                  <w:vAlign w:val="center"/>
                </w:tcPr>
                <w:p w14:paraId="52C474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08</w:t>
                  </w:r>
                  <w:r>
                    <w:rPr>
                      <w:rFonts w:hint="default" w:ascii="Times New Roman" w:hAnsi="Times New Roman" w:eastAsia="宋体" w:cs="Times New Roman"/>
                      <w:color w:val="auto"/>
                      <w:szCs w:val="21"/>
                      <w:highlight w:val="none"/>
                      <w:lang w:val="en-US" w:eastAsia="zh-CN"/>
                    </w:rPr>
                    <w:t xml:space="preserve"> </w:t>
                  </w:r>
                </w:p>
              </w:tc>
              <w:tc>
                <w:tcPr>
                  <w:tcW w:w="1755" w:type="dxa"/>
                  <w:vAlign w:val="center"/>
                </w:tcPr>
                <w:p w14:paraId="7D1D439D">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35" w:type="dxa"/>
                  <w:vAlign w:val="center"/>
                </w:tcPr>
                <w:p w14:paraId="4BBFB2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0C12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3" w:type="dxa"/>
                  <w:vMerge w:val="continue"/>
                  <w:vAlign w:val="center"/>
                </w:tcPr>
                <w:p w14:paraId="050117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472" w:type="dxa"/>
                  <w:vAlign w:val="center"/>
                </w:tcPr>
                <w:p w14:paraId="365156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动植物油</w:t>
                  </w:r>
                </w:p>
              </w:tc>
              <w:tc>
                <w:tcPr>
                  <w:tcW w:w="1905" w:type="dxa"/>
                  <w:vAlign w:val="center"/>
                </w:tcPr>
                <w:p w14:paraId="6FDB0A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45" w:type="dxa"/>
                  <w:vAlign w:val="center"/>
                </w:tcPr>
                <w:p w14:paraId="4AEA22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18</w:t>
                  </w:r>
                  <w:r>
                    <w:rPr>
                      <w:rFonts w:hint="default" w:ascii="Times New Roman" w:hAnsi="Times New Roman" w:eastAsia="宋体" w:cs="Times New Roman"/>
                      <w:color w:val="auto"/>
                      <w:szCs w:val="21"/>
                      <w:highlight w:val="none"/>
                      <w:lang w:val="en-US" w:eastAsia="zh-CN"/>
                    </w:rPr>
                    <w:t xml:space="preserve"> </w:t>
                  </w:r>
                </w:p>
              </w:tc>
              <w:tc>
                <w:tcPr>
                  <w:tcW w:w="1755" w:type="dxa"/>
                  <w:vAlign w:val="center"/>
                </w:tcPr>
                <w:p w14:paraId="15DDAD59">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35" w:type="dxa"/>
                  <w:vAlign w:val="center"/>
                </w:tcPr>
                <w:p w14:paraId="3E65B6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2FC0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395" w:type="dxa"/>
                  <w:gridSpan w:val="6"/>
                  <w:vAlign w:val="center"/>
                </w:tcPr>
                <w:p w14:paraId="2A8E1A7B">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注：生活污水执行《城市污水再生利用 城市杂用水水质》（GB/T18920-2020）中的城市绿化、道路清扫、消防、建筑施工标准</w:t>
                  </w:r>
                </w:p>
              </w:tc>
            </w:tr>
          </w:tbl>
          <w:p w14:paraId="72CB8E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z w:val="24"/>
                <w:highlight w:val="none"/>
                <w:lang w:val="en-US" w:eastAsia="zh-CN"/>
              </w:rPr>
              <w:t>根据上表分析，项目生活污水经化粪池处理</w:t>
            </w:r>
            <w:r>
              <w:rPr>
                <w:rFonts w:hint="default" w:ascii="Times New Roman" w:hAnsi="Times New Roman" w:cs="Times New Roman"/>
                <w:bCs/>
                <w:color w:val="auto"/>
                <w:sz w:val="24"/>
                <w:highlight w:val="none"/>
                <w:lang w:val="en-US" w:eastAsia="zh-CN"/>
              </w:rPr>
              <w:t>、</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bCs/>
                <w:color w:val="auto"/>
                <w:sz w:val="24"/>
                <w:highlight w:val="none"/>
                <w:lang w:val="en-US" w:eastAsia="zh-CN"/>
              </w:rPr>
              <w:t>污水处理站处理</w:t>
            </w:r>
            <w:r>
              <w:rPr>
                <w:rFonts w:hint="default" w:ascii="Times New Roman" w:hAnsi="Times New Roman" w:eastAsia="宋体" w:cs="Times New Roman"/>
                <w:color w:val="auto"/>
                <w:sz w:val="24"/>
                <w:szCs w:val="24"/>
                <w:highlight w:val="none"/>
                <w:lang w:val="en-US" w:eastAsia="zh-CN"/>
              </w:rPr>
              <w:t>后，</w:t>
            </w:r>
            <w:r>
              <w:rPr>
                <w:rFonts w:hint="default" w:ascii="Times New Roman" w:hAnsi="Times New Roman" w:eastAsia="宋体" w:cs="Times New Roman"/>
                <w:bCs/>
                <w:color w:val="auto"/>
                <w:sz w:val="24"/>
                <w:highlight w:val="none"/>
                <w:lang w:val="en-US" w:eastAsia="zh-CN"/>
              </w:rPr>
              <w:t>各污染物浓度</w:t>
            </w:r>
            <w:r>
              <w:rPr>
                <w:rFonts w:hint="default" w:ascii="Times New Roman" w:hAnsi="Times New Roman" w:cs="Times New Roman"/>
                <w:bCs/>
                <w:color w:val="auto"/>
                <w:sz w:val="24"/>
                <w:highlight w:val="none"/>
                <w:lang w:val="en-US" w:eastAsia="zh-CN"/>
              </w:rPr>
              <w:t>均</w:t>
            </w:r>
            <w:r>
              <w:rPr>
                <w:rFonts w:hint="default" w:ascii="Times New Roman" w:hAnsi="Times New Roman" w:eastAsia="宋体" w:cs="Times New Roman"/>
                <w:bCs/>
                <w:color w:val="auto"/>
                <w:sz w:val="24"/>
                <w:highlight w:val="none"/>
                <w:lang w:val="en-US" w:eastAsia="zh-CN"/>
              </w:rPr>
              <w:t>满足《城市污水再生利用 城市杂用水水质》（GB/T18920-2020）中的城市绿化、道路清扫、消防、建筑施工标准</w:t>
            </w:r>
            <w:r>
              <w:rPr>
                <w:rFonts w:hint="default" w:ascii="Times New Roman" w:hAnsi="Times New Roman" w:cs="Times New Roman"/>
                <w:bCs/>
                <w:color w:val="auto"/>
                <w:sz w:val="24"/>
                <w:highlight w:val="none"/>
                <w:lang w:val="en-US" w:eastAsia="zh-CN"/>
              </w:rPr>
              <w:t>，满足道路洒水降尘标准。项目处理后达标废水</w:t>
            </w:r>
            <w:r>
              <w:rPr>
                <w:rFonts w:hint="default" w:ascii="Times New Roman" w:hAnsi="Times New Roman" w:eastAsia="宋体" w:cs="Times New Roman"/>
                <w:color w:val="auto"/>
                <w:sz w:val="24"/>
                <w:szCs w:val="24"/>
                <w:highlight w:val="none"/>
                <w:lang w:val="en-US" w:eastAsia="zh-CN" w:bidi="ar"/>
              </w:rPr>
              <w:t>回用于项目</w:t>
            </w:r>
            <w:r>
              <w:rPr>
                <w:rFonts w:hint="default" w:ascii="Times New Roman" w:hAnsi="Times New Roman" w:cs="Times New Roman"/>
                <w:color w:val="auto"/>
                <w:sz w:val="24"/>
                <w:szCs w:val="24"/>
                <w:highlight w:val="none"/>
                <w:lang w:val="en-US" w:eastAsia="zh-CN"/>
              </w:rPr>
              <w:t>绿化及道路洒水降尘用水，不外排。</w:t>
            </w:r>
          </w:p>
          <w:p w14:paraId="7AD0FB53">
            <w:pPr>
              <w:keepNext w:val="0"/>
              <w:keepLines w:val="0"/>
              <w:suppressLineNumbers w:val="0"/>
              <w:tabs>
                <w:tab w:val="left" w:pos="5300"/>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bidi="ar"/>
              </w:rPr>
            </w:pPr>
            <w:r>
              <w:rPr>
                <w:rFonts w:hint="default" w:ascii="Times New Roman" w:hAnsi="Times New Roman" w:eastAsia="宋体" w:cs="Times New Roman"/>
                <w:b w:val="0"/>
                <w:bCs/>
                <w:color w:val="auto"/>
                <w:sz w:val="24"/>
                <w:highlight w:val="none"/>
                <w:lang w:bidi="ar"/>
              </w:rPr>
              <w:t>（</w:t>
            </w:r>
            <w:r>
              <w:rPr>
                <w:rFonts w:hint="default" w:ascii="Times New Roman" w:hAnsi="Times New Roman" w:eastAsia="宋体" w:cs="Times New Roman"/>
                <w:b w:val="0"/>
                <w:bCs/>
                <w:color w:val="auto"/>
                <w:sz w:val="24"/>
                <w:highlight w:val="none"/>
                <w:lang w:val="en-US" w:eastAsia="zh-CN" w:bidi="ar"/>
              </w:rPr>
              <w:t>3</w:t>
            </w:r>
            <w:r>
              <w:rPr>
                <w:rFonts w:hint="default" w:ascii="Times New Roman" w:hAnsi="Times New Roman" w:eastAsia="宋体" w:cs="Times New Roman"/>
                <w:b w:val="0"/>
                <w:bCs/>
                <w:color w:val="auto"/>
                <w:sz w:val="24"/>
                <w:highlight w:val="none"/>
                <w:lang w:bidi="ar"/>
              </w:rPr>
              <w:t>）污水处理</w:t>
            </w:r>
            <w:r>
              <w:rPr>
                <w:rFonts w:hint="default" w:ascii="Times New Roman" w:hAnsi="Times New Roman" w:eastAsia="宋体" w:cs="Times New Roman"/>
                <w:b w:val="0"/>
                <w:bCs/>
                <w:color w:val="auto"/>
                <w:sz w:val="24"/>
                <w:highlight w:val="none"/>
                <w:lang w:val="en-US" w:eastAsia="zh-CN" w:bidi="ar"/>
              </w:rPr>
              <w:t>设施</w:t>
            </w:r>
            <w:r>
              <w:rPr>
                <w:rFonts w:hint="default" w:ascii="Times New Roman" w:hAnsi="Times New Roman" w:eastAsia="宋体" w:cs="Times New Roman"/>
                <w:b w:val="0"/>
                <w:bCs/>
                <w:color w:val="auto"/>
                <w:sz w:val="24"/>
                <w:highlight w:val="none"/>
                <w:lang w:bidi="ar"/>
              </w:rPr>
              <w:t>可行性分析</w:t>
            </w:r>
          </w:p>
          <w:p w14:paraId="51DF0D98">
            <w:pPr>
              <w:keepNext w:val="0"/>
              <w:keepLines w:val="0"/>
              <w:suppressLineNumbers w:val="0"/>
              <w:tabs>
                <w:tab w:val="left" w:pos="5300"/>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bidi="ar"/>
              </w:rPr>
            </w:pPr>
            <w:r>
              <w:rPr>
                <w:rFonts w:hint="eastAsia" w:ascii="Times New Roman" w:hAnsi="Times New Roman" w:cs="Times New Roman"/>
                <w:color w:val="auto"/>
                <w:sz w:val="24"/>
                <w:highlight w:val="none"/>
                <w:lang w:val="en-US" w:eastAsia="zh-CN" w:bidi="ar"/>
              </w:rPr>
              <w:t>①</w:t>
            </w:r>
            <w:r>
              <w:rPr>
                <w:rFonts w:hint="default" w:ascii="Times New Roman" w:hAnsi="Times New Roman" w:eastAsia="宋体" w:cs="Times New Roman"/>
                <w:color w:val="auto"/>
                <w:sz w:val="24"/>
                <w:highlight w:val="none"/>
                <w:lang w:bidi="ar"/>
              </w:rPr>
              <w:t>化粪池的可行性分析</w:t>
            </w:r>
          </w:p>
          <w:p w14:paraId="2E7BEA0E">
            <w:pPr>
              <w:pStyle w:val="13"/>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lang w:val="en-US" w:eastAsia="zh-CN"/>
              </w:rPr>
              <w:t>本项目生活污水产生量为</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024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val="en-US" w:eastAsia="zh-CN" w:bidi="ar"/>
              </w:rPr>
              <w:t>厂房已配套</w:t>
            </w:r>
            <w:r>
              <w:rPr>
                <w:rFonts w:hint="default" w:ascii="Times New Roman" w:hAnsi="Times New Roman" w:eastAsia="宋体" w:cs="Times New Roman"/>
                <w:color w:val="auto"/>
                <w:sz w:val="24"/>
                <w:highlight w:val="none"/>
                <w:lang w:eastAsia="zh-CN"/>
              </w:rPr>
              <w:t>建设</w:t>
            </w:r>
            <w:r>
              <w:rPr>
                <w:rFonts w:hint="default" w:ascii="Times New Roman" w:hAnsi="Times New Roman" w:cs="Times New Roman"/>
                <w:color w:val="auto"/>
                <w:sz w:val="24"/>
                <w:highlight w:val="none"/>
                <w:lang w:val="en-US" w:eastAsia="zh-CN"/>
              </w:rPr>
              <w:t>了</w:t>
            </w:r>
            <w:r>
              <w:rPr>
                <w:rFonts w:hint="default" w:ascii="Times New Roman" w:hAnsi="Times New Roman" w:eastAsia="宋体" w:cs="Times New Roman"/>
                <w:color w:val="auto"/>
                <w:sz w:val="24"/>
                <w:highlight w:val="none"/>
                <w:lang w:val="en-US" w:eastAsia="zh-CN"/>
              </w:rPr>
              <w:t>1个容积为</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的化粪池，</w:t>
            </w:r>
            <w:r>
              <w:rPr>
                <w:rFonts w:hint="eastAsia" w:ascii="Times New Roman" w:hAnsi="Times New Roman" w:cs="Times New Roman"/>
                <w:color w:val="auto"/>
                <w:sz w:val="24"/>
                <w:highlight w:val="none"/>
                <w:lang w:val="en-US" w:eastAsia="zh-CN"/>
              </w:rPr>
              <w:t>该化粪池仅容纳本项目员工生活废水，因此</w:t>
            </w:r>
            <w:r>
              <w:rPr>
                <w:rFonts w:hint="default" w:ascii="Times New Roman" w:hAnsi="Times New Roman" w:eastAsia="宋体" w:cs="Times New Roman"/>
                <w:color w:val="auto"/>
                <w:sz w:val="24"/>
                <w:highlight w:val="none"/>
                <w:lang w:val="zh-CN"/>
              </w:rPr>
              <w:t>化粪池容积能够满足</w:t>
            </w:r>
            <w:r>
              <w:rPr>
                <w:rFonts w:hint="default" w:ascii="Times New Roman" w:hAnsi="Times New Roman" w:eastAsia="宋体" w:cs="Times New Roman"/>
                <w:color w:val="auto"/>
                <w:sz w:val="24"/>
                <w:highlight w:val="none"/>
                <w:lang w:val="en-US" w:eastAsia="zh-CN"/>
              </w:rPr>
              <w:t>生活污水</w:t>
            </w:r>
            <w:r>
              <w:rPr>
                <w:rFonts w:hint="default" w:ascii="Times New Roman" w:hAnsi="Times New Roman" w:eastAsia="宋体" w:cs="Times New Roman"/>
                <w:color w:val="auto"/>
                <w:sz w:val="24"/>
                <w:highlight w:val="none"/>
                <w:lang w:val="zh-CN"/>
              </w:rPr>
              <w:t>24小时停留</w:t>
            </w:r>
            <w:r>
              <w:rPr>
                <w:rFonts w:hint="default" w:ascii="Times New Roman" w:hAnsi="Times New Roman" w:eastAsia="宋体" w:cs="Times New Roman"/>
                <w:color w:val="auto"/>
                <w:sz w:val="24"/>
                <w:highlight w:val="none"/>
                <w:u w:val="none"/>
                <w:lang w:val="zh-CN"/>
              </w:rPr>
              <w:t>时间要求。</w:t>
            </w:r>
          </w:p>
          <w:p w14:paraId="4918D8AD">
            <w:pPr>
              <w:keepNext w:val="0"/>
              <w:keepLines w:val="0"/>
              <w:pageBreakBefore w:val="0"/>
              <w:widowControl w:val="0"/>
              <w:suppressLineNumbers w:val="0"/>
              <w:tabs>
                <w:tab w:val="left" w:pos="530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u w:val="none"/>
                <w:lang w:val="en-US" w:eastAsia="zh-CN" w:bidi="ar"/>
              </w:rPr>
            </w:pPr>
            <w:r>
              <w:rPr>
                <w:rFonts w:hint="eastAsia" w:ascii="Times New Roman" w:hAnsi="Times New Roman" w:cs="Times New Roman"/>
                <w:color w:val="auto"/>
                <w:sz w:val="24"/>
                <w:highlight w:val="none"/>
                <w:u w:val="none"/>
                <w:lang w:val="en-US" w:eastAsia="zh-CN" w:bidi="ar"/>
              </w:rPr>
              <w:t>②</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highlight w:val="none"/>
                <w:u w:val="none"/>
                <w:lang w:val="en-US" w:eastAsia="zh-CN" w:bidi="ar"/>
              </w:rPr>
              <w:t>污水处理</w:t>
            </w:r>
            <w:r>
              <w:rPr>
                <w:rFonts w:hint="default" w:ascii="Times New Roman" w:hAnsi="Times New Roman" w:eastAsia="宋体" w:cs="Times New Roman"/>
                <w:color w:val="auto"/>
                <w:sz w:val="24"/>
                <w:highlight w:val="none"/>
                <w:u w:val="none"/>
                <w:lang w:bidi="ar"/>
              </w:rPr>
              <w:t>站</w:t>
            </w:r>
            <w:r>
              <w:rPr>
                <w:rFonts w:hint="default" w:ascii="Times New Roman" w:hAnsi="Times New Roman" w:eastAsia="宋体" w:cs="Times New Roman"/>
                <w:color w:val="auto"/>
                <w:sz w:val="24"/>
                <w:highlight w:val="none"/>
                <w:u w:val="none"/>
                <w:lang w:val="en-US" w:eastAsia="zh-CN" w:bidi="ar"/>
              </w:rPr>
              <w:t>的可行性</w:t>
            </w:r>
            <w:r>
              <w:rPr>
                <w:rFonts w:hint="default" w:ascii="Times New Roman" w:hAnsi="Times New Roman" w:eastAsia="宋体" w:cs="Times New Roman"/>
                <w:color w:val="auto"/>
                <w:sz w:val="24"/>
                <w:szCs w:val="24"/>
                <w:highlight w:val="none"/>
                <w:u w:val="none"/>
                <w:lang w:val="en-US" w:eastAsia="zh-CN" w:bidi="ar"/>
              </w:rPr>
              <w:t>分析</w:t>
            </w:r>
          </w:p>
          <w:p w14:paraId="6C30D3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zh-CN"/>
              </w:rPr>
              <w:t>项目</w:t>
            </w:r>
            <w:r>
              <w:rPr>
                <w:rFonts w:hint="eastAsia" w:cs="Times New Roman"/>
                <w:color w:val="auto"/>
                <w:sz w:val="24"/>
                <w:szCs w:val="24"/>
                <w:highlight w:val="none"/>
                <w:u w:val="none"/>
                <w:lang w:val="en-US" w:eastAsia="zh-CN"/>
              </w:rPr>
              <w:t>依托寻甸荣禾工贸有限公司已建的</w:t>
            </w:r>
            <w:r>
              <w:rPr>
                <w:rFonts w:hint="default" w:ascii="Times New Roman" w:hAnsi="Times New Roman" w:eastAsia="宋体" w:cs="Times New Roman"/>
                <w:color w:val="auto"/>
                <w:sz w:val="24"/>
                <w:szCs w:val="24"/>
                <w:highlight w:val="none"/>
                <w:u w:val="none"/>
                <w:lang w:val="en-US" w:eastAsia="zh-CN"/>
              </w:rPr>
              <w:t>1座处理规模为</w:t>
            </w:r>
            <w:r>
              <w:rPr>
                <w:rFonts w:hint="eastAsia" w:cs="Times New Roman"/>
                <w:color w:val="auto"/>
                <w:sz w:val="24"/>
                <w:szCs w:val="24"/>
                <w:highlight w:val="none"/>
                <w:u w:val="none"/>
                <w:lang w:val="en-US" w:eastAsia="zh-CN"/>
              </w:rPr>
              <w:t>5</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3</w:t>
            </w:r>
            <w:r>
              <w:rPr>
                <w:rFonts w:hint="default" w:ascii="Times New Roman" w:hAnsi="Times New Roman" w:eastAsia="宋体" w:cs="Times New Roman"/>
                <w:color w:val="auto"/>
                <w:sz w:val="24"/>
                <w:szCs w:val="24"/>
                <w:highlight w:val="none"/>
                <w:u w:val="none"/>
                <w:lang w:val="en-US" w:eastAsia="zh-CN"/>
              </w:rPr>
              <w:t>/d</w:t>
            </w:r>
            <w:r>
              <w:rPr>
                <w:rFonts w:hint="default" w:ascii="Times New Roman" w:hAnsi="Times New Roman" w:cs="Times New Roman"/>
                <w:color w:val="auto"/>
                <w:sz w:val="24"/>
                <w:szCs w:val="24"/>
                <w:highlight w:val="none"/>
                <w:u w:val="none"/>
                <w:lang w:val="en-US" w:eastAsia="zh-CN"/>
              </w:rPr>
              <w:t>的</w:t>
            </w:r>
            <w:r>
              <w:rPr>
                <w:rFonts w:hint="default" w:ascii="Times New Roman" w:hAnsi="Times New Roman" w:eastAsia="宋体" w:cs="Times New Roman"/>
                <w:color w:val="auto"/>
                <w:sz w:val="24"/>
                <w:szCs w:val="24"/>
                <w:highlight w:val="none"/>
                <w:u w:val="none"/>
                <w:lang w:val="en-US" w:eastAsia="zh-CN"/>
              </w:rPr>
              <w:t>一体化污水处理站用于处理项目区生活废水。鉴于项目生活污水水质与</w:t>
            </w:r>
            <w:r>
              <w:rPr>
                <w:rFonts w:hint="default" w:ascii="Times New Roman" w:hAnsi="Times New Roman" w:eastAsia="宋体" w:cs="Times New Roman"/>
                <w:color w:val="auto"/>
                <w:sz w:val="24"/>
                <w:szCs w:val="24"/>
                <w:highlight w:val="none"/>
                <w:lang w:val="en-US" w:eastAsia="zh-CN"/>
              </w:rPr>
              <w:t>昆明思柏雅定制木制品生产线建设项目生活污水一致，且该项目已建成投产且完成了竣工环境保护验收，一体化污水处理设施运行效果较好，本评价推荐项目采用与昆明思柏雅定制木制品生产线建设项目相同的污水处理工艺，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vertAlign w:val="baseline"/>
                <w:lang w:val="en-US" w:eastAsia="zh-CN"/>
              </w:rPr>
              <w:t>调节池＋</w:t>
            </w:r>
            <w:r>
              <w:rPr>
                <w:rFonts w:hint="eastAsia" w:cs="Times New Roman"/>
                <w:bCs/>
                <w:color w:val="auto"/>
                <w:sz w:val="24"/>
                <w:szCs w:val="24"/>
                <w:highlight w:val="none"/>
                <w:vertAlign w:val="baseline"/>
                <w:lang w:val="en-US" w:eastAsia="zh-CN"/>
              </w:rPr>
              <w:t>S</w:t>
            </w:r>
            <w:r>
              <w:rPr>
                <w:rFonts w:hint="default" w:ascii="Times New Roman" w:hAnsi="Times New Roman" w:eastAsia="宋体" w:cs="Times New Roman"/>
                <w:bCs/>
                <w:color w:val="auto"/>
                <w:sz w:val="24"/>
                <w:szCs w:val="24"/>
                <w:highlight w:val="none"/>
                <w:vertAlign w:val="baseline"/>
                <w:lang w:val="en-US" w:eastAsia="zh-CN"/>
              </w:rPr>
              <w:t>BR生物膜池</w:t>
            </w:r>
            <w:r>
              <w:rPr>
                <w:rFonts w:hint="default" w:ascii="Times New Roman" w:hAnsi="Times New Roman" w:eastAsia="宋体" w:cs="Times New Roman"/>
                <w:color w:val="auto"/>
                <w:sz w:val="24"/>
                <w:szCs w:val="24"/>
                <w:highlight w:val="none"/>
              </w:rPr>
              <w:t>”工艺</w:t>
            </w:r>
            <w:r>
              <w:rPr>
                <w:rFonts w:hint="default" w:ascii="Times New Roman" w:hAnsi="Times New Roman" w:eastAsia="宋体" w:cs="Times New Roman"/>
                <w:color w:val="auto"/>
                <w:sz w:val="24"/>
                <w:szCs w:val="24"/>
                <w:highlight w:val="none"/>
                <w:lang w:eastAsia="zh-CN"/>
              </w:rPr>
              <w:t>。该一体化污水处理设备运行操作简单，运行成本低，能高效去除污水中的有机污染</w:t>
            </w:r>
            <w:r>
              <w:rPr>
                <w:rFonts w:hint="default" w:ascii="Times New Roman" w:hAnsi="Times New Roman" w:eastAsia="宋体" w:cs="Times New Roman"/>
                <w:color w:val="auto"/>
                <w:sz w:val="24"/>
                <w:szCs w:val="24"/>
                <w:highlight w:val="none"/>
                <w:u w:val="none"/>
                <w:lang w:val="en-US" w:eastAsia="zh-CN"/>
              </w:rPr>
              <w:t>物</w:t>
            </w:r>
            <w:r>
              <w:rPr>
                <w:rFonts w:hint="default" w:ascii="Times New Roman" w:hAnsi="Times New Roman" w:eastAsia="宋体" w:cs="Times New Roman"/>
                <w:bCs/>
                <w:color w:val="auto"/>
                <w:sz w:val="24"/>
                <w:highlight w:val="none"/>
              </w:rPr>
              <w:t>，属于</w:t>
            </w:r>
            <w:r>
              <w:rPr>
                <w:rFonts w:hint="default" w:ascii="Times New Roman" w:hAnsi="Times New Roman" w:eastAsia="宋体" w:cs="Times New Roman"/>
                <w:color w:val="auto"/>
                <w:sz w:val="24"/>
                <w:highlight w:val="none"/>
              </w:rPr>
              <w:t>可行技术。</w:t>
            </w:r>
          </w:p>
          <w:p w14:paraId="6742A74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u w:val="none"/>
                <w:lang w:val="en-US" w:eastAsia="zh-CN"/>
              </w:rPr>
              <w:t>根据《昆明思柏雅定制木制品生产线建设项目竣工环境保护验收监测报告表》，</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szCs w:val="24"/>
                <w:highlight w:val="none"/>
                <w:u w:val="none"/>
                <w:lang w:val="en-US" w:eastAsia="zh-CN"/>
              </w:rPr>
              <w:t>污水处理站出水水质满足</w:t>
            </w:r>
            <w:r>
              <w:rPr>
                <w:rFonts w:hint="default" w:ascii="Times New Roman" w:hAnsi="Times New Roman" w:eastAsia="宋体" w:cs="Times New Roman"/>
                <w:bCs/>
                <w:color w:val="auto"/>
                <w:sz w:val="24"/>
                <w:highlight w:val="none"/>
                <w:lang w:val="en-US" w:eastAsia="zh-CN"/>
              </w:rPr>
              <w:t>《城市污水再生利用 城市杂用水水质》（GB/T18920-2020）中的城市绿化、道路清扫、消防、建筑施工标准。故项目一体化污水处理站出水水质也能满足《城市污水再生利用 城市杂用水水质》（GB/T18920-2020）中的城市绿化、道路清扫、消防、建筑施工标准。另外，项目一体化污水处理站处理规模</w:t>
            </w:r>
            <w:r>
              <w:rPr>
                <w:rFonts w:hint="default" w:ascii="Times New Roman" w:hAnsi="Times New Roman" w:eastAsia="宋体" w:cs="Times New Roman"/>
                <w:color w:val="auto"/>
                <w:sz w:val="24"/>
                <w:szCs w:val="24"/>
                <w:highlight w:val="none"/>
                <w:lang w:val="en-US" w:eastAsia="zh-CN" w:bidi="ar"/>
              </w:rPr>
              <w:t>完全满足项目生活污水处理要求。</w:t>
            </w:r>
          </w:p>
          <w:p w14:paraId="05F16A2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综上，项目一体化污水处理站处理规模、工艺均满足要求。</w:t>
            </w:r>
          </w:p>
          <w:p w14:paraId="36F26E4B">
            <w:pPr>
              <w:keepNext w:val="0"/>
              <w:keepLines w:val="0"/>
              <w:suppressLineNumbers w:val="0"/>
              <w:tabs>
                <w:tab w:val="left" w:pos="5300"/>
              </w:tabs>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bidi="ar"/>
              </w:rPr>
            </w:pPr>
            <w:r>
              <w:rPr>
                <w:rFonts w:hint="default" w:ascii="Times New Roman" w:hAnsi="Times New Roman" w:eastAsia="宋体" w:cs="Times New Roman"/>
                <w:b w:val="0"/>
                <w:bCs/>
                <w:color w:val="auto"/>
                <w:sz w:val="24"/>
                <w:highlight w:val="none"/>
                <w:lang w:val="en-US" w:eastAsia="zh-CN" w:bidi="ar"/>
              </w:rPr>
              <w:t>（4）生活污水回用可行性分析</w:t>
            </w:r>
          </w:p>
          <w:p w14:paraId="6863563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highlight w:val="none"/>
                <w:lang w:val="en-US" w:eastAsia="zh-CN"/>
              </w:rPr>
              <w:t>根据项目水平衡，项目</w:t>
            </w:r>
            <w:r>
              <w:rPr>
                <w:rFonts w:hint="default" w:ascii="Times New Roman" w:hAnsi="Times New Roman" w:eastAsia="宋体" w:cs="Times New Roman"/>
                <w:b w:val="0"/>
                <w:bCs/>
                <w:color w:val="auto"/>
                <w:sz w:val="24"/>
                <w:highlight w:val="none"/>
                <w:lang w:val="en-US" w:eastAsia="zh-CN" w:bidi="ar"/>
              </w:rPr>
              <w:t>污水</w:t>
            </w:r>
            <w:r>
              <w:rPr>
                <w:rFonts w:hint="default" w:ascii="Times New Roman" w:hAnsi="Times New Roman" w:eastAsia="宋体" w:cs="Times New Roman"/>
                <w:color w:val="auto"/>
                <w:sz w:val="24"/>
                <w:highlight w:val="none"/>
                <w:lang w:val="en-US" w:eastAsia="zh-CN"/>
              </w:rPr>
              <w:t>产生量为</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024</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cs="Times New Roman"/>
                <w:color w:val="auto"/>
                <w:sz w:val="24"/>
                <w:szCs w:val="24"/>
                <w:highlight w:val="none"/>
                <w:lang w:eastAsia="zh-CN" w:bidi="ar"/>
              </w:rPr>
              <w:t>，</w:t>
            </w:r>
            <w:r>
              <w:rPr>
                <w:rFonts w:hint="eastAsia" w:cs="Times New Roman"/>
                <w:color w:val="auto"/>
                <w:sz w:val="24"/>
                <w:szCs w:val="24"/>
                <w:highlight w:val="none"/>
                <w:lang w:val="en-US" w:eastAsia="zh-CN"/>
              </w:rPr>
              <w:t>307.2</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color w:val="auto"/>
                <w:sz w:val="24"/>
                <w:szCs w:val="24"/>
                <w:highlight w:val="none"/>
                <w:lang w:eastAsia="zh-CN" w:bidi="ar"/>
              </w:rPr>
              <w:t>，</w:t>
            </w:r>
            <w:r>
              <w:rPr>
                <w:rFonts w:hint="eastAsia" w:cs="Times New Roman"/>
                <w:color w:val="auto"/>
                <w:sz w:val="24"/>
                <w:szCs w:val="24"/>
                <w:highlight w:val="none"/>
                <w:lang w:val="en-US" w:eastAsia="zh-CN" w:bidi="ar"/>
              </w:rPr>
              <w:t>根据《云南省用水定额》（云水发（2019）122号），</w:t>
            </w:r>
            <w:r>
              <w:rPr>
                <w:rFonts w:hint="default" w:ascii="Times New Roman" w:hAnsi="Times New Roman" w:eastAsia="宋体" w:cs="Times New Roman"/>
                <w:color w:val="auto"/>
                <w:sz w:val="24"/>
                <w:szCs w:val="24"/>
                <w:highlight w:val="none"/>
                <w:lang w:val="en-US" w:eastAsia="zh-CN" w:bidi="ar"/>
              </w:rPr>
              <w:t>项目区</w:t>
            </w:r>
            <w:r>
              <w:rPr>
                <w:rFonts w:hint="default" w:ascii="Times New Roman" w:hAnsi="Times New Roman" w:cs="Times New Roman"/>
                <w:color w:val="auto"/>
                <w:sz w:val="24"/>
                <w:szCs w:val="24"/>
                <w:highlight w:val="none"/>
                <w:lang w:val="en-US" w:eastAsia="zh-CN" w:bidi="ar"/>
              </w:rPr>
              <w:t>绿化及</w:t>
            </w:r>
            <w:r>
              <w:rPr>
                <w:rFonts w:hint="default" w:ascii="Times New Roman" w:hAnsi="Times New Roman" w:eastAsia="宋体" w:cs="Times New Roman"/>
                <w:color w:val="auto"/>
                <w:sz w:val="24"/>
                <w:szCs w:val="24"/>
                <w:highlight w:val="none"/>
                <w:lang w:val="en-US" w:eastAsia="zh-CN"/>
              </w:rPr>
              <w:t>道路洒水</w:t>
            </w:r>
            <w:r>
              <w:rPr>
                <w:rFonts w:hint="default" w:ascii="Times New Roman" w:hAnsi="Times New Roman" w:eastAsia="宋体" w:cs="Times New Roman"/>
                <w:color w:val="auto"/>
                <w:sz w:val="24"/>
                <w:szCs w:val="24"/>
                <w:highlight w:val="none"/>
                <w:lang w:val="en-US" w:eastAsia="zh-CN" w:bidi="ar"/>
              </w:rPr>
              <w:t>用水量为</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460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/a（非雨天按200d计）</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val="en-US" w:eastAsia="zh-CN" w:bidi="ar"/>
              </w:rPr>
              <w:t>则项目生活污水可全部回用于项目区</w:t>
            </w:r>
            <w:r>
              <w:rPr>
                <w:rFonts w:hint="default" w:ascii="Times New Roman" w:hAnsi="Times New Roman" w:cs="Times New Roman"/>
                <w:color w:val="auto"/>
                <w:sz w:val="24"/>
                <w:szCs w:val="24"/>
                <w:highlight w:val="none"/>
                <w:lang w:val="en-US" w:eastAsia="zh-CN" w:bidi="ar"/>
              </w:rPr>
              <w:t>绿化及</w:t>
            </w:r>
            <w:r>
              <w:rPr>
                <w:rFonts w:hint="default" w:ascii="Times New Roman" w:hAnsi="Times New Roman" w:eastAsia="宋体" w:cs="Times New Roman"/>
                <w:color w:val="auto"/>
                <w:sz w:val="24"/>
                <w:szCs w:val="24"/>
                <w:highlight w:val="none"/>
                <w:lang w:val="en-US" w:eastAsia="zh-CN"/>
              </w:rPr>
              <w:t>道路洒水</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highlight w:val="none"/>
                <w:lang w:val="en-US" w:eastAsia="zh-CN"/>
              </w:rPr>
              <w:t>另外，项目区</w:t>
            </w:r>
            <w:r>
              <w:rPr>
                <w:rFonts w:hint="eastAsia" w:cs="Times New Roman"/>
                <w:color w:val="auto"/>
                <w:sz w:val="24"/>
                <w:highlight w:val="none"/>
                <w:lang w:val="en-US" w:eastAsia="zh-CN"/>
              </w:rPr>
              <w:t>已</w:t>
            </w:r>
            <w:r>
              <w:rPr>
                <w:rFonts w:hint="default" w:ascii="Times New Roman" w:hAnsi="Times New Roman" w:cs="Times New Roman"/>
                <w:color w:val="auto"/>
                <w:sz w:val="24"/>
                <w:highlight w:val="none"/>
                <w:lang w:val="en-US" w:eastAsia="zh-CN"/>
              </w:rPr>
              <w:t>建设</w:t>
            </w:r>
            <w:r>
              <w:rPr>
                <w:rFonts w:hint="default" w:ascii="Times New Roman" w:hAnsi="Times New Roman" w:eastAsia="宋体" w:cs="Times New Roman"/>
                <w:color w:val="auto"/>
                <w:sz w:val="24"/>
                <w:highlight w:val="none"/>
                <w:lang w:val="en-US" w:eastAsia="zh-CN"/>
              </w:rPr>
              <w:t>1个容积为</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cs="Times New Roman"/>
                <w:color w:val="auto"/>
                <w:sz w:val="24"/>
                <w:highlight w:val="none"/>
                <w:lang w:val="en-US" w:eastAsia="zh-CN"/>
              </w:rPr>
              <w:t>暂存池</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用于暂存项目区雨天经处理达标的生活污水</w:t>
            </w:r>
            <w:r>
              <w:rPr>
                <w:rFonts w:hint="default" w:ascii="Times New Roman" w:hAnsi="Times New Roman" w:eastAsia="宋体" w:cs="Times New Roman"/>
                <w:color w:val="auto"/>
                <w:sz w:val="24"/>
                <w:highlight w:val="none"/>
                <w:lang w:val="en-US" w:eastAsia="zh-CN"/>
              </w:rPr>
              <w:t>，可满足项目</w:t>
            </w:r>
            <w:r>
              <w:rPr>
                <w:rFonts w:hint="default" w:ascii="Times New Roman" w:hAnsi="Times New Roman" w:cs="Times New Roman"/>
                <w:color w:val="auto"/>
                <w:sz w:val="24"/>
                <w:highlight w:val="none"/>
                <w:lang w:val="en-US" w:eastAsia="zh-CN"/>
              </w:rPr>
              <w:t>区7天</w:t>
            </w:r>
            <w:r>
              <w:rPr>
                <w:rFonts w:hint="default" w:ascii="Times New Roman" w:hAnsi="Times New Roman" w:eastAsia="宋体" w:cs="Times New Roman"/>
                <w:color w:val="auto"/>
                <w:sz w:val="24"/>
                <w:highlight w:val="none"/>
                <w:lang w:val="en-US" w:eastAsia="zh-CN"/>
              </w:rPr>
              <w:t>以上的生活污水暂存要求。故项目</w:t>
            </w:r>
            <w:r>
              <w:rPr>
                <w:rFonts w:hint="default" w:ascii="Times New Roman" w:hAnsi="Times New Roman" w:cs="Times New Roman"/>
                <w:color w:val="auto"/>
                <w:sz w:val="24"/>
                <w:highlight w:val="none"/>
                <w:lang w:val="en-US" w:eastAsia="zh-CN"/>
              </w:rPr>
              <w:t>暂存池</w:t>
            </w:r>
            <w:r>
              <w:rPr>
                <w:rFonts w:hint="default" w:ascii="Times New Roman" w:hAnsi="Times New Roman" w:eastAsia="宋体" w:cs="Times New Roman"/>
                <w:color w:val="auto"/>
                <w:sz w:val="24"/>
                <w:szCs w:val="24"/>
                <w:highlight w:val="none"/>
                <w:lang w:val="en-US" w:eastAsia="zh-CN" w:bidi="ar"/>
              </w:rPr>
              <w:t>容积满足项目生活污水暂存要求。</w:t>
            </w:r>
          </w:p>
          <w:p w14:paraId="56629BE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综上分析，项目生活污水经处理达标后</w:t>
            </w:r>
            <w:r>
              <w:rPr>
                <w:rFonts w:hint="default" w:ascii="Times New Roman" w:hAnsi="Times New Roman" w:cs="Times New Roman"/>
                <w:color w:val="auto"/>
                <w:sz w:val="24"/>
                <w:szCs w:val="24"/>
                <w:highlight w:val="none"/>
                <w:lang w:val="en-US" w:eastAsia="zh-CN" w:bidi="ar"/>
              </w:rPr>
              <w:t>全部</w:t>
            </w:r>
            <w:r>
              <w:rPr>
                <w:rFonts w:hint="default" w:ascii="Times New Roman" w:hAnsi="Times New Roman" w:eastAsia="宋体" w:cs="Times New Roman"/>
                <w:color w:val="auto"/>
                <w:sz w:val="24"/>
                <w:szCs w:val="24"/>
                <w:highlight w:val="none"/>
                <w:lang w:val="en-US" w:eastAsia="zh-CN" w:bidi="ar"/>
              </w:rPr>
              <w:t>回用于项目区</w:t>
            </w:r>
            <w:r>
              <w:rPr>
                <w:rFonts w:hint="default" w:ascii="Times New Roman" w:hAnsi="Times New Roman" w:cs="Times New Roman"/>
                <w:color w:val="auto"/>
                <w:sz w:val="24"/>
                <w:szCs w:val="24"/>
                <w:highlight w:val="none"/>
                <w:lang w:val="en-US" w:eastAsia="zh-CN" w:bidi="ar"/>
              </w:rPr>
              <w:t>绿化及</w:t>
            </w:r>
            <w:r>
              <w:rPr>
                <w:rFonts w:hint="default" w:ascii="Times New Roman" w:hAnsi="Times New Roman" w:eastAsia="宋体" w:cs="Times New Roman"/>
                <w:color w:val="auto"/>
                <w:sz w:val="24"/>
                <w:szCs w:val="24"/>
                <w:highlight w:val="none"/>
                <w:lang w:val="en-US" w:eastAsia="zh-CN"/>
              </w:rPr>
              <w:t>道路洒水</w:t>
            </w:r>
            <w:r>
              <w:rPr>
                <w:rFonts w:hint="default" w:ascii="Times New Roman" w:hAnsi="Times New Roman" w:eastAsia="宋体" w:cs="Times New Roman"/>
                <w:color w:val="auto"/>
                <w:sz w:val="24"/>
                <w:szCs w:val="24"/>
                <w:highlight w:val="none"/>
                <w:lang w:val="en-US" w:eastAsia="zh-CN" w:bidi="ar"/>
              </w:rPr>
              <w:t>是可行的。</w:t>
            </w:r>
          </w:p>
          <w:p w14:paraId="317385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（5）地表水环境影响分析</w:t>
            </w:r>
          </w:p>
          <w:p w14:paraId="724D8F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项目</w:t>
            </w:r>
            <w:r>
              <w:rPr>
                <w:rFonts w:hint="default" w:ascii="Times New Roman" w:hAnsi="Times New Roman" w:eastAsia="宋体" w:cs="Times New Roman"/>
                <w:color w:val="auto"/>
                <w:sz w:val="24"/>
                <w:highlight w:val="none"/>
                <w:lang w:val="en-US" w:eastAsia="zh-CN"/>
              </w:rPr>
              <w:t>无生产废水产生，运营期废水主要为生活污水。</w:t>
            </w:r>
            <w:r>
              <w:rPr>
                <w:rFonts w:hint="default" w:ascii="Times New Roman" w:hAnsi="Times New Roman" w:cs="Times New Roman"/>
                <w:color w:val="auto"/>
                <w:sz w:val="24"/>
                <w:szCs w:val="24"/>
                <w:highlight w:val="none"/>
                <w:lang w:val="en-US" w:eastAsia="zh-CN"/>
              </w:rPr>
              <w:t>生活污水经化粪池、化粪池</w:t>
            </w:r>
            <w:r>
              <w:rPr>
                <w:rFonts w:hint="default" w:ascii="Times New Roman" w:hAnsi="Times New Roman" w:eastAsia="宋体" w:cs="Times New Roman"/>
                <w:color w:val="auto"/>
                <w:sz w:val="24"/>
                <w:szCs w:val="24"/>
                <w:highlight w:val="none"/>
                <w:lang w:val="en-US" w:eastAsia="zh-CN" w:bidi="ar"/>
              </w:rPr>
              <w:t>及一体化污水处理站处理</w:t>
            </w:r>
            <w:r>
              <w:rPr>
                <w:rFonts w:hint="eastAsia" w:cs="Times New Roman"/>
                <w:color w:val="auto"/>
                <w:sz w:val="24"/>
                <w:szCs w:val="24"/>
                <w:highlight w:val="none"/>
                <w:lang w:val="en-US" w:eastAsia="zh-CN" w:bidi="ar"/>
              </w:rPr>
              <w:t>达到</w:t>
            </w:r>
            <w:r>
              <w:rPr>
                <w:rFonts w:hint="default" w:ascii="Times New Roman" w:hAnsi="Times New Roman" w:eastAsia="宋体" w:cs="Times New Roman"/>
                <w:bCs/>
                <w:color w:val="auto"/>
                <w:sz w:val="24"/>
                <w:highlight w:val="none"/>
                <w:lang w:val="en-US" w:eastAsia="zh-CN"/>
              </w:rPr>
              <w:t>《城市污水再生利用 城市杂用水水质》（GB/T18920-2020）中的城市绿化、道路清扫标准</w:t>
            </w:r>
            <w:r>
              <w:rPr>
                <w:rFonts w:hint="default" w:ascii="Times New Roman" w:hAnsi="Times New Roman" w:cs="Times New Roman"/>
                <w:color w:val="auto"/>
                <w:sz w:val="24"/>
                <w:szCs w:val="24"/>
                <w:highlight w:val="none"/>
                <w:lang w:val="en-US" w:eastAsia="zh-CN"/>
              </w:rPr>
              <w:t>后，</w:t>
            </w:r>
            <w:r>
              <w:rPr>
                <w:rFonts w:hint="default" w:ascii="Times New Roman" w:hAnsi="Times New Roman" w:cs="Times New Roman"/>
                <w:color w:val="auto"/>
                <w:sz w:val="24"/>
                <w:szCs w:val="24"/>
                <w:highlight w:val="none"/>
                <w:lang w:val="en-US" w:eastAsia="zh-CN" w:bidi="ar"/>
              </w:rPr>
              <w:t>全部</w:t>
            </w:r>
            <w:r>
              <w:rPr>
                <w:rFonts w:hint="default" w:ascii="Times New Roman" w:hAnsi="Times New Roman" w:eastAsia="宋体" w:cs="Times New Roman"/>
                <w:color w:val="auto"/>
                <w:sz w:val="24"/>
                <w:szCs w:val="24"/>
                <w:highlight w:val="none"/>
                <w:lang w:val="en-US" w:eastAsia="zh-CN" w:bidi="ar"/>
              </w:rPr>
              <w:t>回用于项目区</w:t>
            </w:r>
            <w:r>
              <w:rPr>
                <w:rFonts w:hint="default" w:ascii="Times New Roman" w:hAnsi="Times New Roman" w:cs="Times New Roman"/>
                <w:color w:val="auto"/>
                <w:sz w:val="24"/>
                <w:szCs w:val="24"/>
                <w:highlight w:val="none"/>
                <w:lang w:val="en-US" w:eastAsia="zh-CN" w:bidi="ar"/>
              </w:rPr>
              <w:t>绿化及</w:t>
            </w:r>
            <w:r>
              <w:rPr>
                <w:rFonts w:hint="default" w:ascii="Times New Roman" w:hAnsi="Times New Roman" w:eastAsia="宋体" w:cs="Times New Roman"/>
                <w:color w:val="auto"/>
                <w:sz w:val="24"/>
                <w:szCs w:val="24"/>
                <w:highlight w:val="none"/>
                <w:lang w:val="en-US" w:eastAsia="zh-CN"/>
              </w:rPr>
              <w:t>道路洒水</w:t>
            </w:r>
            <w:r>
              <w:rPr>
                <w:rFonts w:hint="default" w:ascii="Times New Roman" w:hAnsi="Times New Roman" w:eastAsia="宋体" w:cs="Times New Roman"/>
                <w:iCs/>
                <w:color w:val="auto"/>
                <w:sz w:val="24"/>
                <w:highlight w:val="none"/>
                <w:lang w:val="en-US" w:eastAsia="zh-CN"/>
              </w:rPr>
              <w:t>，不外排，</w:t>
            </w:r>
            <w:r>
              <w:rPr>
                <w:rFonts w:hint="default" w:ascii="Times New Roman" w:hAnsi="Times New Roman" w:eastAsia="宋体" w:cs="Times New Roman"/>
                <w:color w:val="auto"/>
                <w:kern w:val="0"/>
                <w:sz w:val="24"/>
                <w:szCs w:val="24"/>
                <w:highlight w:val="none"/>
                <w:lang w:val="en-US" w:eastAsia="zh-CN" w:bidi="ar"/>
              </w:rPr>
              <w:t>对周边地表水环境影响较小。</w:t>
            </w:r>
          </w:p>
          <w:p w14:paraId="11FB9ED1">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三、噪声</w:t>
            </w:r>
          </w:p>
          <w:p w14:paraId="5C6423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baseline"/>
              <w:outlineLvl w:val="9"/>
              <w:rPr>
                <w:rFonts w:hint="default" w:ascii="Times New Roman" w:hAnsi="Times New Roman" w:eastAsia="宋体" w:cs="Times New Roman"/>
                <w:b/>
                <w:bCs/>
                <w:color w:val="auto"/>
                <w:kern w:val="2"/>
                <w:sz w:val="24"/>
                <w:szCs w:val="28"/>
                <w:lang w:val="en-US" w:eastAsia="zh-CN" w:bidi="ar-SA"/>
              </w:rPr>
            </w:pPr>
            <w:r>
              <w:rPr>
                <w:rFonts w:hint="default" w:ascii="Times New Roman" w:hAnsi="Times New Roman" w:eastAsia="宋体" w:cs="Times New Roman"/>
                <w:b/>
                <w:bCs/>
                <w:color w:val="auto"/>
                <w:kern w:val="2"/>
                <w:sz w:val="24"/>
                <w:szCs w:val="28"/>
                <w:lang w:val="en-US" w:eastAsia="zh-CN" w:bidi="ar-SA"/>
              </w:rPr>
              <w:t>1、源强分析</w:t>
            </w:r>
          </w:p>
          <w:p w14:paraId="4891E05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lang w:val="zh-CN" w:bidi="ar"/>
              </w:rPr>
              <w:t>项目</w:t>
            </w:r>
            <w:r>
              <w:rPr>
                <w:rFonts w:hint="default" w:ascii="Times New Roman" w:hAnsi="Times New Roman" w:cs="Times New Roman"/>
                <w:color w:val="auto"/>
                <w:sz w:val="24"/>
                <w:highlight w:val="none"/>
                <w:lang w:val="en-US" w:eastAsia="zh-CN" w:bidi="ar"/>
              </w:rPr>
              <w:t>运营期噪声</w:t>
            </w:r>
            <w:r>
              <w:rPr>
                <w:rFonts w:hint="default" w:ascii="Times New Roman" w:hAnsi="Times New Roman" w:eastAsia="宋体" w:cs="Times New Roman"/>
                <w:color w:val="auto"/>
                <w:sz w:val="24"/>
                <w:highlight w:val="none"/>
                <w:lang w:val="zh-CN" w:bidi="ar"/>
              </w:rPr>
              <w:t>主要</w:t>
            </w:r>
            <w:r>
              <w:rPr>
                <w:rFonts w:hint="default" w:ascii="Times New Roman" w:hAnsi="Times New Roman" w:cs="Times New Roman"/>
                <w:color w:val="auto"/>
                <w:sz w:val="24"/>
                <w:highlight w:val="none"/>
                <w:lang w:val="en-US" w:eastAsia="zh-CN" w:bidi="ar"/>
              </w:rPr>
              <w:t>来源于</w:t>
            </w:r>
            <w:r>
              <w:rPr>
                <w:rFonts w:hint="eastAsia" w:cs="Times New Roman"/>
                <w:color w:val="auto"/>
                <w:sz w:val="24"/>
                <w:highlight w:val="none"/>
                <w:lang w:val="en-US" w:eastAsia="zh-CN" w:bidi="ar"/>
              </w:rPr>
              <w:t>卧式浸渍烘干一体机</w:t>
            </w:r>
            <w:r>
              <w:rPr>
                <w:rFonts w:hint="default" w:ascii="Times New Roman" w:hAnsi="Times New Roman" w:cs="Times New Roman"/>
                <w:color w:val="auto"/>
                <w:sz w:val="24"/>
                <w:highlight w:val="none"/>
                <w:lang w:val="en-US" w:eastAsia="zh-CN" w:bidi="ar"/>
              </w:rPr>
              <w:t>、</w:t>
            </w:r>
            <w:r>
              <w:rPr>
                <w:rFonts w:hint="eastAsia" w:cs="Times New Roman"/>
                <w:color w:val="auto"/>
                <w:sz w:val="24"/>
                <w:highlight w:val="none"/>
                <w:lang w:val="en-US" w:eastAsia="zh-CN" w:bidi="ar"/>
              </w:rPr>
              <w:t>搅拌机</w:t>
            </w:r>
            <w:r>
              <w:rPr>
                <w:rFonts w:hint="default" w:ascii="Times New Roman" w:hAnsi="Times New Roman" w:cs="Times New Roman"/>
                <w:color w:val="auto"/>
                <w:sz w:val="24"/>
                <w:highlight w:val="none"/>
                <w:lang w:val="en-US" w:eastAsia="zh-CN" w:bidi="ar"/>
              </w:rPr>
              <w:t>、</w:t>
            </w:r>
            <w:r>
              <w:rPr>
                <w:rFonts w:hint="eastAsia" w:cs="Times New Roman"/>
                <w:color w:val="auto"/>
                <w:sz w:val="24"/>
                <w:highlight w:val="none"/>
                <w:lang w:val="en-US" w:eastAsia="zh-CN" w:bidi="ar"/>
              </w:rPr>
              <w:t>曝气机</w:t>
            </w:r>
            <w:r>
              <w:rPr>
                <w:rFonts w:hint="default" w:ascii="Times New Roman" w:hAnsi="Times New Roman" w:cs="Times New Roman"/>
                <w:color w:val="auto"/>
                <w:sz w:val="24"/>
                <w:highlight w:val="none"/>
                <w:lang w:val="en-US" w:eastAsia="zh-CN" w:bidi="ar"/>
              </w:rPr>
              <w:t>、</w:t>
            </w:r>
            <w:r>
              <w:rPr>
                <w:rFonts w:hint="eastAsia" w:cs="Times New Roman"/>
                <w:color w:val="auto"/>
                <w:sz w:val="24"/>
                <w:highlight w:val="none"/>
                <w:lang w:val="en-US" w:eastAsia="zh-CN" w:bidi="ar"/>
              </w:rPr>
              <w:t>叉车、螺杆式空压机、冷冻式压缩空气干燥器、离心风机</w:t>
            </w:r>
            <w:r>
              <w:rPr>
                <w:rFonts w:hint="default" w:ascii="Times New Roman" w:hAnsi="Times New Roman" w:cs="Times New Roman"/>
                <w:color w:val="auto"/>
                <w:sz w:val="24"/>
                <w:highlight w:val="none"/>
                <w:lang w:val="en-US" w:eastAsia="zh-CN" w:bidi="ar"/>
              </w:rPr>
              <w:t>等设备运转时产生的噪声。项目</w:t>
            </w:r>
            <w:r>
              <w:rPr>
                <w:rFonts w:hint="default" w:ascii="Times New Roman" w:hAnsi="Times New Roman" w:eastAsia="宋体" w:cs="Times New Roman"/>
                <w:color w:val="auto"/>
                <w:sz w:val="24"/>
                <w:highlight w:val="none"/>
                <w:lang w:val="zh-CN" w:bidi="ar"/>
              </w:rPr>
              <w:t>各</w:t>
            </w:r>
            <w:r>
              <w:rPr>
                <w:rFonts w:hint="default" w:ascii="Times New Roman" w:hAnsi="Times New Roman" w:cs="Times New Roman"/>
                <w:color w:val="auto"/>
                <w:sz w:val="24"/>
                <w:highlight w:val="none"/>
                <w:lang w:val="en-US" w:eastAsia="zh-CN" w:bidi="ar"/>
              </w:rPr>
              <w:t>设备</w:t>
            </w:r>
            <w:r>
              <w:rPr>
                <w:rFonts w:hint="default" w:ascii="Times New Roman" w:hAnsi="Times New Roman" w:eastAsia="宋体" w:cs="Times New Roman"/>
                <w:color w:val="auto"/>
                <w:sz w:val="24"/>
                <w:highlight w:val="none"/>
                <w:lang w:val="zh-CN" w:bidi="ar"/>
              </w:rPr>
              <w:t>噪声值在</w:t>
            </w:r>
            <w:r>
              <w:rPr>
                <w:rFonts w:hint="eastAsia" w:cs="Times New Roman"/>
                <w:color w:val="auto"/>
                <w:sz w:val="24"/>
                <w:highlight w:val="none"/>
                <w:lang w:val="en-US" w:eastAsia="zh-CN" w:bidi="ar"/>
              </w:rPr>
              <w:t>70</w:t>
            </w:r>
            <w:r>
              <w:rPr>
                <w:rFonts w:hint="default" w:ascii="Times New Roman" w:hAnsi="Times New Roman" w:eastAsia="宋体" w:cs="Times New Roman"/>
                <w:color w:val="auto"/>
                <w:sz w:val="24"/>
                <w:highlight w:val="none"/>
                <w:lang w:val="zh-CN" w:bidi="ar"/>
              </w:rPr>
              <w:t>～</w:t>
            </w:r>
            <w:r>
              <w:rPr>
                <w:rFonts w:hint="default" w:ascii="Times New Roman" w:hAnsi="Times New Roman" w:eastAsia="宋体" w:cs="Times New Roman"/>
                <w:color w:val="auto"/>
                <w:sz w:val="24"/>
                <w:highlight w:val="none"/>
                <w:lang w:val="en-US" w:eastAsia="zh-CN" w:bidi="ar"/>
              </w:rPr>
              <w:t>9</w:t>
            </w:r>
            <w:r>
              <w:rPr>
                <w:rFonts w:hint="eastAsia" w:cs="Times New Roman"/>
                <w:color w:val="auto"/>
                <w:sz w:val="24"/>
                <w:highlight w:val="none"/>
                <w:lang w:val="en-US" w:eastAsia="zh-CN" w:bidi="ar"/>
              </w:rPr>
              <w:t>0</w:t>
            </w:r>
            <w:r>
              <w:rPr>
                <w:rFonts w:hint="default" w:ascii="Times New Roman" w:hAnsi="Times New Roman" w:eastAsia="宋体" w:cs="Times New Roman"/>
                <w:color w:val="auto"/>
                <w:sz w:val="24"/>
                <w:highlight w:val="none"/>
                <w:lang w:val="zh-CN" w:bidi="ar"/>
              </w:rPr>
              <w:t>dB(A)之间。</w:t>
            </w:r>
            <w:r>
              <w:rPr>
                <w:rFonts w:hint="default" w:ascii="Times New Roman" w:hAnsi="Times New Roman" w:eastAsia="宋体" w:cs="Times New Roman"/>
                <w:color w:val="auto"/>
                <w:sz w:val="24"/>
                <w:lang w:eastAsia="zh-CN"/>
              </w:rPr>
              <w:t>具体</w:t>
            </w:r>
            <w:r>
              <w:rPr>
                <w:rFonts w:hint="default" w:ascii="Times New Roman" w:hAnsi="Times New Roman" w:eastAsia="宋体" w:cs="Times New Roman"/>
                <w:color w:val="auto"/>
                <w:sz w:val="24"/>
              </w:rPr>
              <w:t>噪声源强见</w:t>
            </w:r>
            <w:r>
              <w:rPr>
                <w:rFonts w:hint="eastAsia" w:cs="Times New Roman"/>
                <w:color w:val="auto"/>
                <w:sz w:val="24"/>
                <w:lang w:val="en-US" w:eastAsia="zh-CN"/>
              </w:rPr>
              <w:t>下表</w:t>
            </w:r>
            <w:r>
              <w:rPr>
                <w:rFonts w:hint="default" w:ascii="Times New Roman" w:hAnsi="Times New Roman" w:eastAsia="宋体" w:cs="Times New Roman"/>
                <w:color w:val="auto"/>
                <w:sz w:val="24"/>
              </w:rPr>
              <w:t>。</w:t>
            </w:r>
          </w:p>
          <w:p w14:paraId="3F6E674A">
            <w:pPr>
              <w:pStyle w:val="96"/>
              <w:keepNext w:val="0"/>
              <w:keepLines w:val="0"/>
              <w:suppressLineNumbers w:val="0"/>
              <w:spacing w:before="0" w:beforeAutospacing="0" w:after="0" w:afterAutospacing="0"/>
              <w:ind w:left="0" w:right="0"/>
              <w:rPr>
                <w:rFonts w:hint="default"/>
                <w:color w:val="auto"/>
              </w:rPr>
            </w:pPr>
            <w:r>
              <w:rPr>
                <w:rFonts w:hint="eastAsia"/>
                <w:color w:val="auto"/>
              </w:rPr>
              <w:t>表4-</w:t>
            </w:r>
            <w:r>
              <w:rPr>
                <w:rFonts w:hint="eastAsia"/>
                <w:color w:val="auto"/>
                <w:lang w:val="en-US" w:eastAsia="zh-CN"/>
              </w:rPr>
              <w:t>9</w:t>
            </w:r>
            <w:r>
              <w:rPr>
                <w:rFonts w:hint="eastAsia"/>
                <w:color w:val="auto"/>
              </w:rPr>
              <w:t xml:space="preserve"> 运营期噪声源强一览表 dB（A）</w:t>
            </w:r>
          </w:p>
          <w:tbl>
            <w:tblPr>
              <w:tblStyle w:val="30"/>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178"/>
              <w:gridCol w:w="872"/>
              <w:gridCol w:w="1383"/>
              <w:gridCol w:w="1247"/>
              <w:gridCol w:w="1744"/>
            </w:tblGrid>
            <w:tr w14:paraId="3B0C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noWrap w:val="0"/>
                  <w:vAlign w:val="center"/>
                </w:tcPr>
                <w:p w14:paraId="1D48D508">
                  <w:pPr>
                    <w:pStyle w:val="97"/>
                    <w:keepNext w:val="0"/>
                    <w:keepLines w:val="0"/>
                    <w:suppressLineNumbers w:val="0"/>
                    <w:spacing w:before="0" w:beforeAutospacing="0" w:after="0" w:afterAutospacing="0"/>
                    <w:ind w:left="0" w:right="0"/>
                    <w:rPr>
                      <w:rFonts w:hint="default"/>
                      <w:color w:val="auto"/>
                    </w:rPr>
                  </w:pPr>
                  <w:r>
                    <w:rPr>
                      <w:rFonts w:hint="eastAsia"/>
                      <w:color w:val="auto"/>
                    </w:rPr>
                    <w:t>序号</w:t>
                  </w:r>
                </w:p>
              </w:tc>
              <w:tc>
                <w:tcPr>
                  <w:tcW w:w="2178" w:type="dxa"/>
                  <w:noWrap w:val="0"/>
                  <w:vAlign w:val="center"/>
                </w:tcPr>
                <w:p w14:paraId="2C0E797C">
                  <w:pPr>
                    <w:pStyle w:val="97"/>
                    <w:keepNext w:val="0"/>
                    <w:keepLines w:val="0"/>
                    <w:suppressLineNumbers w:val="0"/>
                    <w:spacing w:before="0" w:beforeAutospacing="0" w:after="0" w:afterAutospacing="0"/>
                    <w:ind w:left="0" w:right="0"/>
                    <w:rPr>
                      <w:rFonts w:hint="default"/>
                      <w:color w:val="auto"/>
                    </w:rPr>
                  </w:pPr>
                  <w:r>
                    <w:rPr>
                      <w:rFonts w:hint="eastAsia"/>
                      <w:color w:val="auto"/>
                    </w:rPr>
                    <w:t>噪声源强</w:t>
                  </w:r>
                </w:p>
              </w:tc>
              <w:tc>
                <w:tcPr>
                  <w:tcW w:w="872" w:type="dxa"/>
                  <w:noWrap w:val="0"/>
                  <w:vAlign w:val="center"/>
                </w:tcPr>
                <w:p w14:paraId="4A31698C">
                  <w:pPr>
                    <w:pStyle w:val="97"/>
                    <w:keepNext w:val="0"/>
                    <w:keepLines w:val="0"/>
                    <w:suppressLineNumbers w:val="0"/>
                    <w:spacing w:before="0" w:beforeAutospacing="0" w:after="0" w:afterAutospacing="0"/>
                    <w:ind w:left="0" w:right="0"/>
                    <w:rPr>
                      <w:rFonts w:hint="default"/>
                      <w:color w:val="auto"/>
                    </w:rPr>
                  </w:pPr>
                  <w:r>
                    <w:rPr>
                      <w:rFonts w:hint="eastAsia"/>
                      <w:color w:val="auto"/>
                    </w:rPr>
                    <w:t>台数</w:t>
                  </w:r>
                </w:p>
              </w:tc>
              <w:tc>
                <w:tcPr>
                  <w:tcW w:w="1383" w:type="dxa"/>
                  <w:noWrap w:val="0"/>
                  <w:vAlign w:val="center"/>
                </w:tcPr>
                <w:p w14:paraId="41356810">
                  <w:pPr>
                    <w:pStyle w:val="97"/>
                    <w:keepNext w:val="0"/>
                    <w:keepLines w:val="0"/>
                    <w:suppressLineNumbers w:val="0"/>
                    <w:spacing w:before="0" w:beforeAutospacing="0" w:after="0" w:afterAutospacing="0"/>
                    <w:ind w:left="0" w:right="0"/>
                    <w:rPr>
                      <w:rFonts w:hint="default"/>
                      <w:color w:val="auto"/>
                    </w:rPr>
                  </w:pPr>
                  <w:r>
                    <w:rPr>
                      <w:rFonts w:hint="eastAsia"/>
                      <w:color w:val="auto"/>
                    </w:rPr>
                    <w:t>源强</w:t>
                  </w:r>
                  <w:r>
                    <w:rPr>
                      <w:rFonts w:hint="default"/>
                      <w:color w:val="auto"/>
                    </w:rPr>
                    <w:t>[dB(A)]</w:t>
                  </w:r>
                </w:p>
              </w:tc>
              <w:tc>
                <w:tcPr>
                  <w:tcW w:w="1247" w:type="dxa"/>
                  <w:noWrap w:val="0"/>
                  <w:vAlign w:val="center"/>
                </w:tcPr>
                <w:p w14:paraId="32243A03">
                  <w:pPr>
                    <w:pStyle w:val="97"/>
                    <w:keepNext w:val="0"/>
                    <w:keepLines w:val="0"/>
                    <w:suppressLineNumbers w:val="0"/>
                    <w:spacing w:before="0" w:beforeAutospacing="0" w:after="0" w:afterAutospacing="0"/>
                    <w:ind w:left="0" w:right="0"/>
                    <w:rPr>
                      <w:rFonts w:hint="default"/>
                      <w:color w:val="auto"/>
                    </w:rPr>
                  </w:pPr>
                  <w:r>
                    <w:rPr>
                      <w:rFonts w:hint="eastAsia"/>
                      <w:color w:val="auto"/>
                    </w:rPr>
                    <w:t>治理措施</w:t>
                  </w:r>
                </w:p>
              </w:tc>
              <w:tc>
                <w:tcPr>
                  <w:tcW w:w="1744" w:type="dxa"/>
                  <w:noWrap w:val="0"/>
                  <w:vAlign w:val="center"/>
                </w:tcPr>
                <w:p w14:paraId="17CFFCE0">
                  <w:pPr>
                    <w:pStyle w:val="97"/>
                    <w:keepNext w:val="0"/>
                    <w:keepLines w:val="0"/>
                    <w:suppressLineNumbers w:val="0"/>
                    <w:spacing w:before="0" w:beforeAutospacing="0" w:after="0" w:afterAutospacing="0"/>
                    <w:ind w:left="0" w:right="0"/>
                    <w:rPr>
                      <w:rFonts w:hint="default"/>
                      <w:color w:val="auto"/>
                    </w:rPr>
                  </w:pPr>
                  <w:r>
                    <w:rPr>
                      <w:rFonts w:hint="eastAsia"/>
                      <w:color w:val="auto"/>
                    </w:rPr>
                    <w:t>处理后效果</w:t>
                  </w:r>
                  <w:r>
                    <w:rPr>
                      <w:rFonts w:hint="default"/>
                      <w:color w:val="auto"/>
                    </w:rPr>
                    <w:t>[dB(A)]</w:t>
                  </w:r>
                </w:p>
              </w:tc>
            </w:tr>
            <w:tr w14:paraId="474D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95" w:type="dxa"/>
                  <w:noWrap w:val="0"/>
                  <w:vAlign w:val="center"/>
                </w:tcPr>
                <w:p w14:paraId="2779A0C9">
                  <w:pPr>
                    <w:pStyle w:val="97"/>
                    <w:keepNext w:val="0"/>
                    <w:keepLines w:val="0"/>
                    <w:suppressLineNumbers w:val="0"/>
                    <w:spacing w:before="0" w:beforeAutospacing="0" w:after="0" w:afterAutospacing="0"/>
                    <w:ind w:left="0" w:right="0"/>
                    <w:rPr>
                      <w:rFonts w:hint="default"/>
                      <w:color w:val="auto"/>
                    </w:rPr>
                  </w:pPr>
                  <w:r>
                    <w:rPr>
                      <w:rFonts w:hint="eastAsia"/>
                      <w:color w:val="auto"/>
                    </w:rPr>
                    <w:t>1</w:t>
                  </w:r>
                </w:p>
              </w:tc>
              <w:tc>
                <w:tcPr>
                  <w:tcW w:w="2178" w:type="dxa"/>
                  <w:noWrap w:val="0"/>
                  <w:vAlign w:val="center"/>
                </w:tcPr>
                <w:p w14:paraId="4F1473A8">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卧式浸渍烘干一体机</w:t>
                  </w:r>
                </w:p>
              </w:tc>
              <w:tc>
                <w:tcPr>
                  <w:tcW w:w="872" w:type="dxa"/>
                  <w:noWrap w:val="0"/>
                  <w:vAlign w:val="center"/>
                </w:tcPr>
                <w:p w14:paraId="48D4B23A">
                  <w:pPr>
                    <w:pStyle w:val="97"/>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val="en-US" w:eastAsia="zh-CN"/>
                    </w:rPr>
                    <w:t>3</w:t>
                  </w:r>
                </w:p>
              </w:tc>
              <w:tc>
                <w:tcPr>
                  <w:tcW w:w="1383" w:type="dxa"/>
                  <w:noWrap w:val="0"/>
                  <w:vAlign w:val="center"/>
                </w:tcPr>
                <w:p w14:paraId="31523991">
                  <w:pPr>
                    <w:pStyle w:val="97"/>
                    <w:keepNext w:val="0"/>
                    <w:keepLines w:val="0"/>
                    <w:suppressLineNumbers w:val="0"/>
                    <w:spacing w:before="0" w:beforeAutospacing="0" w:after="0" w:afterAutospacing="0"/>
                    <w:ind w:left="0" w:right="0"/>
                    <w:rPr>
                      <w:rFonts w:hint="default"/>
                      <w:color w:val="auto"/>
                    </w:rPr>
                  </w:pPr>
                  <w:r>
                    <w:rPr>
                      <w:rFonts w:hint="default"/>
                      <w:color w:val="auto"/>
                    </w:rPr>
                    <w:t>85</w:t>
                  </w:r>
                </w:p>
              </w:tc>
              <w:tc>
                <w:tcPr>
                  <w:tcW w:w="1247" w:type="dxa"/>
                  <w:vMerge w:val="restart"/>
                  <w:noWrap w:val="0"/>
                  <w:vAlign w:val="center"/>
                </w:tcPr>
                <w:p w14:paraId="22A75A51">
                  <w:pPr>
                    <w:pStyle w:val="97"/>
                    <w:keepNext w:val="0"/>
                    <w:keepLines w:val="0"/>
                    <w:suppressLineNumbers w:val="0"/>
                    <w:spacing w:before="0" w:beforeAutospacing="0" w:after="0" w:afterAutospacing="0"/>
                    <w:ind w:left="0" w:right="0"/>
                    <w:rPr>
                      <w:rFonts w:hint="default"/>
                      <w:color w:val="auto"/>
                    </w:rPr>
                  </w:pPr>
                  <w:r>
                    <w:rPr>
                      <w:rFonts w:hint="eastAsia"/>
                      <w:color w:val="auto"/>
                    </w:rPr>
                    <w:t>厂</w:t>
                  </w:r>
                  <w:r>
                    <w:rPr>
                      <w:rFonts w:hint="eastAsia"/>
                      <w:color w:val="auto"/>
                      <w:lang w:val="en-US" w:eastAsia="zh-CN"/>
                    </w:rPr>
                    <w:t>房</w:t>
                  </w:r>
                  <w:r>
                    <w:rPr>
                      <w:rFonts w:hint="eastAsia"/>
                      <w:color w:val="auto"/>
                    </w:rPr>
                    <w:t>隔声、减震</w:t>
                  </w:r>
                  <w:r>
                    <w:rPr>
                      <w:rFonts w:hint="eastAsia"/>
                      <w:color w:val="auto"/>
                      <w:lang w:val="en-US" w:eastAsia="zh-CN"/>
                    </w:rPr>
                    <w:t>基座</w:t>
                  </w:r>
                </w:p>
              </w:tc>
              <w:tc>
                <w:tcPr>
                  <w:tcW w:w="1744" w:type="dxa"/>
                  <w:noWrap w:val="0"/>
                  <w:vAlign w:val="center"/>
                </w:tcPr>
                <w:p w14:paraId="7F74F5E1">
                  <w:pPr>
                    <w:keepNext w:val="0"/>
                    <w:keepLines w:val="0"/>
                    <w:suppressLineNumbers w:val="0"/>
                    <w:spacing w:before="0" w:beforeAutospacing="0" w:after="0" w:afterAutospacing="0" w:line="240" w:lineRule="auto"/>
                    <w:ind w:left="0" w:right="0" w:firstLine="0" w:firstLineChars="0"/>
                    <w:jc w:val="center"/>
                    <w:rPr>
                      <w:rFonts w:hint="default"/>
                      <w:color w:val="auto"/>
                    </w:rPr>
                  </w:pPr>
                  <w:r>
                    <w:rPr>
                      <w:rFonts w:hint="default"/>
                      <w:color w:val="auto"/>
                    </w:rPr>
                    <w:t>70</w:t>
                  </w:r>
                </w:p>
              </w:tc>
            </w:tr>
            <w:tr w14:paraId="2B38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95" w:type="dxa"/>
                  <w:noWrap w:val="0"/>
                  <w:vAlign w:val="center"/>
                </w:tcPr>
                <w:p w14:paraId="65A325DA">
                  <w:pPr>
                    <w:pStyle w:val="97"/>
                    <w:keepNext w:val="0"/>
                    <w:keepLines w:val="0"/>
                    <w:suppressLineNumbers w:val="0"/>
                    <w:spacing w:before="0" w:beforeAutospacing="0" w:after="0" w:afterAutospacing="0"/>
                    <w:ind w:left="0" w:right="0"/>
                    <w:rPr>
                      <w:rFonts w:hint="default"/>
                      <w:color w:val="auto"/>
                    </w:rPr>
                  </w:pPr>
                  <w:r>
                    <w:rPr>
                      <w:rFonts w:hint="eastAsia"/>
                      <w:color w:val="auto"/>
                    </w:rPr>
                    <w:t>2</w:t>
                  </w:r>
                </w:p>
              </w:tc>
              <w:tc>
                <w:tcPr>
                  <w:tcW w:w="2178" w:type="dxa"/>
                  <w:noWrap w:val="0"/>
                  <w:vAlign w:val="center"/>
                </w:tcPr>
                <w:p w14:paraId="36DA81EB">
                  <w:pPr>
                    <w:pStyle w:val="97"/>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val="en-US" w:eastAsia="zh-CN"/>
                    </w:rPr>
                    <w:t>搅拌机</w:t>
                  </w:r>
                </w:p>
              </w:tc>
              <w:tc>
                <w:tcPr>
                  <w:tcW w:w="872" w:type="dxa"/>
                  <w:noWrap w:val="0"/>
                  <w:vAlign w:val="center"/>
                </w:tcPr>
                <w:p w14:paraId="00154001">
                  <w:pPr>
                    <w:pStyle w:val="97"/>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val="en-US" w:eastAsia="zh-CN"/>
                    </w:rPr>
                    <w:t>2</w:t>
                  </w:r>
                </w:p>
              </w:tc>
              <w:tc>
                <w:tcPr>
                  <w:tcW w:w="1383" w:type="dxa"/>
                  <w:noWrap w:val="0"/>
                  <w:vAlign w:val="center"/>
                </w:tcPr>
                <w:p w14:paraId="392EEBCA">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90</w:t>
                  </w:r>
                </w:p>
              </w:tc>
              <w:tc>
                <w:tcPr>
                  <w:tcW w:w="1247" w:type="dxa"/>
                  <w:vMerge w:val="continue"/>
                  <w:noWrap w:val="0"/>
                  <w:vAlign w:val="center"/>
                </w:tcPr>
                <w:p w14:paraId="2E6ADACA">
                  <w:pPr>
                    <w:pStyle w:val="97"/>
                    <w:keepNext w:val="0"/>
                    <w:keepLines w:val="0"/>
                    <w:suppressLineNumbers w:val="0"/>
                    <w:spacing w:before="0" w:beforeAutospacing="0" w:after="0" w:afterAutospacing="0"/>
                    <w:ind w:left="0" w:right="0"/>
                    <w:rPr>
                      <w:rFonts w:hint="default"/>
                      <w:color w:val="auto"/>
                    </w:rPr>
                  </w:pPr>
                </w:p>
              </w:tc>
              <w:tc>
                <w:tcPr>
                  <w:tcW w:w="1744" w:type="dxa"/>
                  <w:noWrap w:val="0"/>
                  <w:vAlign w:val="center"/>
                </w:tcPr>
                <w:p w14:paraId="4534E280">
                  <w:pPr>
                    <w:keepNext w:val="0"/>
                    <w:keepLines w:val="0"/>
                    <w:suppressLineNumbers w:val="0"/>
                    <w:spacing w:before="0" w:beforeAutospacing="0" w:after="0" w:afterAutospacing="0" w:line="240" w:lineRule="auto"/>
                    <w:ind w:left="0" w:right="0" w:firstLine="0" w:firstLineChars="0"/>
                    <w:jc w:val="center"/>
                    <w:rPr>
                      <w:rFonts w:hint="default" w:eastAsia="宋体"/>
                      <w:color w:val="auto"/>
                      <w:lang w:val="en-US" w:eastAsia="zh-CN"/>
                    </w:rPr>
                  </w:pPr>
                  <w:r>
                    <w:rPr>
                      <w:rFonts w:hint="eastAsia"/>
                      <w:color w:val="auto"/>
                      <w:lang w:val="en-US" w:eastAsia="zh-CN"/>
                    </w:rPr>
                    <w:t>75</w:t>
                  </w:r>
                </w:p>
              </w:tc>
            </w:tr>
            <w:tr w14:paraId="54B0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5" w:type="dxa"/>
                  <w:noWrap w:val="0"/>
                  <w:vAlign w:val="center"/>
                </w:tcPr>
                <w:p w14:paraId="3CFB47EA">
                  <w:pPr>
                    <w:pStyle w:val="97"/>
                    <w:keepNext w:val="0"/>
                    <w:keepLines w:val="0"/>
                    <w:suppressLineNumbers w:val="0"/>
                    <w:spacing w:before="0" w:beforeAutospacing="0" w:after="0" w:afterAutospacing="0"/>
                    <w:ind w:left="0" w:right="0"/>
                    <w:rPr>
                      <w:rFonts w:hint="default"/>
                      <w:color w:val="auto"/>
                    </w:rPr>
                  </w:pPr>
                  <w:r>
                    <w:rPr>
                      <w:rFonts w:hint="eastAsia"/>
                      <w:color w:val="auto"/>
                    </w:rPr>
                    <w:t>3</w:t>
                  </w:r>
                </w:p>
              </w:tc>
              <w:tc>
                <w:tcPr>
                  <w:tcW w:w="2178" w:type="dxa"/>
                  <w:noWrap w:val="0"/>
                  <w:vAlign w:val="center"/>
                </w:tcPr>
                <w:p w14:paraId="35098BE0">
                  <w:pPr>
                    <w:pStyle w:val="97"/>
                    <w:keepNext w:val="0"/>
                    <w:keepLines w:val="0"/>
                    <w:suppressLineNumbers w:val="0"/>
                    <w:spacing w:before="0" w:beforeAutospacing="0" w:after="0" w:afterAutospacing="0"/>
                    <w:ind w:left="0" w:right="0" w:firstLine="0" w:firstLineChars="0"/>
                    <w:rPr>
                      <w:rFonts w:hint="default" w:eastAsia="宋体"/>
                      <w:color w:val="auto"/>
                      <w:lang w:val="en-US" w:eastAsia="zh-CN"/>
                    </w:rPr>
                  </w:pPr>
                  <w:r>
                    <w:rPr>
                      <w:rFonts w:hint="eastAsia"/>
                      <w:color w:val="auto"/>
                      <w:lang w:val="en-US" w:eastAsia="zh-CN"/>
                    </w:rPr>
                    <w:t>叉车</w:t>
                  </w:r>
                </w:p>
              </w:tc>
              <w:tc>
                <w:tcPr>
                  <w:tcW w:w="872" w:type="dxa"/>
                  <w:noWrap w:val="0"/>
                  <w:vAlign w:val="center"/>
                </w:tcPr>
                <w:p w14:paraId="6FA9C409">
                  <w:pPr>
                    <w:pStyle w:val="97"/>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val="en-US" w:eastAsia="zh-CN"/>
                    </w:rPr>
                    <w:t>3</w:t>
                  </w:r>
                </w:p>
              </w:tc>
              <w:tc>
                <w:tcPr>
                  <w:tcW w:w="1383" w:type="dxa"/>
                  <w:noWrap w:val="0"/>
                  <w:vAlign w:val="center"/>
                </w:tcPr>
                <w:p w14:paraId="71EA0945">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80</w:t>
                  </w:r>
                </w:p>
              </w:tc>
              <w:tc>
                <w:tcPr>
                  <w:tcW w:w="1247" w:type="dxa"/>
                  <w:vMerge w:val="continue"/>
                  <w:noWrap w:val="0"/>
                  <w:vAlign w:val="center"/>
                </w:tcPr>
                <w:p w14:paraId="0CCD23D5">
                  <w:pPr>
                    <w:pStyle w:val="97"/>
                    <w:keepNext w:val="0"/>
                    <w:keepLines w:val="0"/>
                    <w:suppressLineNumbers w:val="0"/>
                    <w:spacing w:before="0" w:beforeAutospacing="0" w:after="0" w:afterAutospacing="0"/>
                    <w:ind w:left="0" w:right="0"/>
                    <w:rPr>
                      <w:rFonts w:hint="default"/>
                      <w:color w:val="auto"/>
                    </w:rPr>
                  </w:pPr>
                </w:p>
              </w:tc>
              <w:tc>
                <w:tcPr>
                  <w:tcW w:w="1744" w:type="dxa"/>
                  <w:noWrap w:val="0"/>
                  <w:vAlign w:val="center"/>
                </w:tcPr>
                <w:p w14:paraId="3A485DCE">
                  <w:pPr>
                    <w:keepNext w:val="0"/>
                    <w:keepLines w:val="0"/>
                    <w:suppressLineNumbers w:val="0"/>
                    <w:spacing w:before="0" w:beforeAutospacing="0" w:after="0" w:afterAutospacing="0" w:line="240" w:lineRule="auto"/>
                    <w:ind w:left="0" w:right="0" w:firstLine="0" w:firstLineChars="0"/>
                    <w:jc w:val="center"/>
                    <w:rPr>
                      <w:rFonts w:hint="default" w:eastAsia="宋体"/>
                      <w:color w:val="auto"/>
                      <w:lang w:val="en-US" w:eastAsia="zh-CN"/>
                    </w:rPr>
                  </w:pPr>
                  <w:r>
                    <w:rPr>
                      <w:rFonts w:hint="eastAsia"/>
                      <w:color w:val="auto"/>
                      <w:lang w:val="en-US" w:eastAsia="zh-CN"/>
                    </w:rPr>
                    <w:t>65</w:t>
                  </w:r>
                </w:p>
              </w:tc>
            </w:tr>
            <w:tr w14:paraId="43A9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noWrap w:val="0"/>
                  <w:vAlign w:val="center"/>
                </w:tcPr>
                <w:p w14:paraId="57F51F6D">
                  <w:pPr>
                    <w:pStyle w:val="97"/>
                    <w:keepNext w:val="0"/>
                    <w:keepLines w:val="0"/>
                    <w:suppressLineNumbers w:val="0"/>
                    <w:spacing w:before="0" w:beforeAutospacing="0" w:after="0" w:afterAutospacing="0"/>
                    <w:ind w:left="0" w:right="0"/>
                    <w:rPr>
                      <w:rFonts w:hint="default"/>
                      <w:color w:val="auto"/>
                    </w:rPr>
                  </w:pPr>
                  <w:r>
                    <w:rPr>
                      <w:rFonts w:hint="eastAsia"/>
                      <w:color w:val="auto"/>
                    </w:rPr>
                    <w:t>4</w:t>
                  </w:r>
                </w:p>
              </w:tc>
              <w:tc>
                <w:tcPr>
                  <w:tcW w:w="2178" w:type="dxa"/>
                  <w:noWrap w:val="0"/>
                  <w:vAlign w:val="center"/>
                </w:tcPr>
                <w:p w14:paraId="205C8C6F">
                  <w:pPr>
                    <w:pStyle w:val="97"/>
                    <w:keepNext w:val="0"/>
                    <w:keepLines w:val="0"/>
                    <w:suppressLineNumbers w:val="0"/>
                    <w:spacing w:before="0" w:beforeAutospacing="0" w:after="0" w:afterAutospacing="0"/>
                    <w:ind w:left="0" w:right="0" w:firstLine="0" w:firstLineChars="0"/>
                    <w:rPr>
                      <w:rFonts w:hint="eastAsia" w:eastAsia="宋体"/>
                      <w:color w:val="auto"/>
                      <w:lang w:eastAsia="zh-CN"/>
                    </w:rPr>
                  </w:pPr>
                  <w:r>
                    <w:rPr>
                      <w:rFonts w:hint="eastAsia"/>
                      <w:color w:val="auto"/>
                      <w:lang w:val="en-US" w:eastAsia="zh-CN"/>
                    </w:rPr>
                    <w:t>螺杆式空压机</w:t>
                  </w:r>
                </w:p>
              </w:tc>
              <w:tc>
                <w:tcPr>
                  <w:tcW w:w="872" w:type="dxa"/>
                  <w:noWrap w:val="0"/>
                  <w:vAlign w:val="center"/>
                </w:tcPr>
                <w:p w14:paraId="32C9CFF6">
                  <w:pPr>
                    <w:pStyle w:val="97"/>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val="en-US" w:eastAsia="zh-CN"/>
                    </w:rPr>
                    <w:t>1</w:t>
                  </w:r>
                </w:p>
              </w:tc>
              <w:tc>
                <w:tcPr>
                  <w:tcW w:w="1383" w:type="dxa"/>
                  <w:noWrap w:val="0"/>
                  <w:vAlign w:val="center"/>
                </w:tcPr>
                <w:p w14:paraId="180C6CFE">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100</w:t>
                  </w:r>
                </w:p>
              </w:tc>
              <w:tc>
                <w:tcPr>
                  <w:tcW w:w="1247" w:type="dxa"/>
                  <w:vMerge w:val="continue"/>
                  <w:noWrap w:val="0"/>
                  <w:vAlign w:val="center"/>
                </w:tcPr>
                <w:p w14:paraId="1E987334">
                  <w:pPr>
                    <w:pStyle w:val="97"/>
                    <w:keepNext w:val="0"/>
                    <w:keepLines w:val="0"/>
                    <w:suppressLineNumbers w:val="0"/>
                    <w:spacing w:before="0" w:beforeAutospacing="0" w:after="0" w:afterAutospacing="0"/>
                    <w:ind w:left="0" w:right="0"/>
                    <w:rPr>
                      <w:rFonts w:hint="default"/>
                      <w:color w:val="auto"/>
                    </w:rPr>
                  </w:pPr>
                </w:p>
              </w:tc>
              <w:tc>
                <w:tcPr>
                  <w:tcW w:w="1744" w:type="dxa"/>
                  <w:noWrap w:val="0"/>
                  <w:vAlign w:val="center"/>
                </w:tcPr>
                <w:p w14:paraId="0339C131">
                  <w:pPr>
                    <w:keepNext w:val="0"/>
                    <w:keepLines w:val="0"/>
                    <w:suppressLineNumbers w:val="0"/>
                    <w:spacing w:before="0" w:beforeAutospacing="0" w:after="0" w:afterAutospacing="0" w:line="240" w:lineRule="auto"/>
                    <w:ind w:left="0" w:right="0" w:firstLine="0" w:firstLineChars="0"/>
                    <w:jc w:val="center"/>
                    <w:rPr>
                      <w:rFonts w:hint="default" w:eastAsia="宋体"/>
                      <w:color w:val="auto"/>
                      <w:lang w:val="en-US" w:eastAsia="zh-CN"/>
                    </w:rPr>
                  </w:pPr>
                  <w:r>
                    <w:rPr>
                      <w:rFonts w:hint="eastAsia"/>
                      <w:color w:val="auto"/>
                      <w:lang w:val="en-US" w:eastAsia="zh-CN"/>
                    </w:rPr>
                    <w:t>85</w:t>
                  </w:r>
                </w:p>
              </w:tc>
            </w:tr>
            <w:tr w14:paraId="5EBC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noWrap w:val="0"/>
                  <w:vAlign w:val="center"/>
                </w:tcPr>
                <w:p w14:paraId="1816101C">
                  <w:pPr>
                    <w:pStyle w:val="97"/>
                    <w:keepNext w:val="0"/>
                    <w:keepLines w:val="0"/>
                    <w:suppressLineNumbers w:val="0"/>
                    <w:spacing w:before="0" w:beforeAutospacing="0" w:after="0" w:afterAutospacing="0"/>
                    <w:ind w:left="0" w:right="0"/>
                    <w:rPr>
                      <w:rFonts w:hint="eastAsia"/>
                      <w:color w:val="auto"/>
                    </w:rPr>
                  </w:pPr>
                  <w:r>
                    <w:rPr>
                      <w:rFonts w:hint="eastAsia"/>
                      <w:color w:val="auto"/>
                    </w:rPr>
                    <w:t>5</w:t>
                  </w:r>
                </w:p>
              </w:tc>
              <w:tc>
                <w:tcPr>
                  <w:tcW w:w="2178" w:type="dxa"/>
                  <w:noWrap w:val="0"/>
                  <w:vAlign w:val="center"/>
                </w:tcPr>
                <w:p w14:paraId="497EF36F">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s="Times New Roman"/>
                      <w:color w:val="auto"/>
                      <w:sz w:val="24"/>
                      <w:highlight w:val="none"/>
                      <w:lang w:val="en-US" w:eastAsia="zh-CN" w:bidi="ar"/>
                    </w:rPr>
                    <w:t>冷冻式压缩空气干燥器</w:t>
                  </w:r>
                </w:p>
              </w:tc>
              <w:tc>
                <w:tcPr>
                  <w:tcW w:w="872" w:type="dxa"/>
                  <w:noWrap w:val="0"/>
                  <w:vAlign w:val="center"/>
                </w:tcPr>
                <w:p w14:paraId="3378D353">
                  <w:pPr>
                    <w:pStyle w:val="97"/>
                    <w:keepNext w:val="0"/>
                    <w:keepLines w:val="0"/>
                    <w:suppressLineNumbers w:val="0"/>
                    <w:spacing w:before="0" w:beforeAutospacing="0" w:after="0" w:afterAutospacing="0"/>
                    <w:ind w:left="0" w:right="0"/>
                    <w:rPr>
                      <w:rFonts w:hint="default"/>
                      <w:color w:val="auto"/>
                    </w:rPr>
                  </w:pPr>
                  <w:r>
                    <w:rPr>
                      <w:rFonts w:hint="eastAsia"/>
                      <w:color w:val="auto"/>
                    </w:rPr>
                    <w:t>1</w:t>
                  </w:r>
                </w:p>
              </w:tc>
              <w:tc>
                <w:tcPr>
                  <w:tcW w:w="1383" w:type="dxa"/>
                  <w:noWrap w:val="0"/>
                  <w:vAlign w:val="center"/>
                </w:tcPr>
                <w:p w14:paraId="42A75670">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95</w:t>
                  </w:r>
                </w:p>
              </w:tc>
              <w:tc>
                <w:tcPr>
                  <w:tcW w:w="1247" w:type="dxa"/>
                  <w:vMerge w:val="continue"/>
                  <w:noWrap w:val="0"/>
                  <w:vAlign w:val="center"/>
                </w:tcPr>
                <w:p w14:paraId="39638679">
                  <w:pPr>
                    <w:pStyle w:val="97"/>
                    <w:keepNext w:val="0"/>
                    <w:keepLines w:val="0"/>
                    <w:suppressLineNumbers w:val="0"/>
                    <w:spacing w:before="0" w:beforeAutospacing="0" w:after="0" w:afterAutospacing="0"/>
                    <w:ind w:left="0" w:right="0"/>
                    <w:rPr>
                      <w:rFonts w:hint="default"/>
                      <w:color w:val="auto"/>
                    </w:rPr>
                  </w:pPr>
                </w:p>
              </w:tc>
              <w:tc>
                <w:tcPr>
                  <w:tcW w:w="1744" w:type="dxa"/>
                  <w:noWrap w:val="0"/>
                  <w:vAlign w:val="center"/>
                </w:tcPr>
                <w:p w14:paraId="0F6E708E">
                  <w:pPr>
                    <w:keepNext w:val="0"/>
                    <w:keepLines w:val="0"/>
                    <w:suppressLineNumbers w:val="0"/>
                    <w:spacing w:before="0" w:beforeAutospacing="0" w:after="0" w:afterAutospacing="0" w:line="240" w:lineRule="auto"/>
                    <w:ind w:left="0" w:right="0" w:firstLine="0" w:firstLineChars="0"/>
                    <w:jc w:val="center"/>
                    <w:rPr>
                      <w:rFonts w:hint="default" w:eastAsia="宋体"/>
                      <w:color w:val="auto"/>
                      <w:lang w:val="en-US" w:eastAsia="zh-CN"/>
                    </w:rPr>
                  </w:pPr>
                  <w:r>
                    <w:rPr>
                      <w:rFonts w:hint="eastAsia"/>
                      <w:color w:val="auto"/>
                      <w:lang w:val="en-US" w:eastAsia="zh-CN"/>
                    </w:rPr>
                    <w:t>80</w:t>
                  </w:r>
                </w:p>
              </w:tc>
            </w:tr>
            <w:tr w14:paraId="56C8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noWrap w:val="0"/>
                  <w:vAlign w:val="center"/>
                </w:tcPr>
                <w:p w14:paraId="22E188A4">
                  <w:pPr>
                    <w:pStyle w:val="97"/>
                    <w:keepNext w:val="0"/>
                    <w:keepLines w:val="0"/>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6</w:t>
                  </w:r>
                </w:p>
              </w:tc>
              <w:tc>
                <w:tcPr>
                  <w:tcW w:w="2178" w:type="dxa"/>
                  <w:noWrap w:val="0"/>
                  <w:vAlign w:val="center"/>
                </w:tcPr>
                <w:p w14:paraId="18F329C6">
                  <w:pPr>
                    <w:pStyle w:val="97"/>
                    <w:keepNext w:val="0"/>
                    <w:keepLines w:val="0"/>
                    <w:suppressLineNumbers w:val="0"/>
                    <w:spacing w:before="0" w:beforeAutospacing="0" w:after="0" w:afterAutospacing="0"/>
                    <w:ind w:left="0" w:right="0"/>
                    <w:rPr>
                      <w:rFonts w:hint="eastAsia" w:cs="Times New Roman"/>
                      <w:color w:val="auto"/>
                      <w:sz w:val="24"/>
                      <w:highlight w:val="none"/>
                      <w:lang w:val="en-US" w:eastAsia="zh-CN" w:bidi="ar"/>
                    </w:rPr>
                  </w:pPr>
                  <w:r>
                    <w:rPr>
                      <w:rFonts w:hint="eastAsia" w:cs="Times New Roman"/>
                      <w:color w:val="auto"/>
                      <w:sz w:val="24"/>
                      <w:highlight w:val="none"/>
                      <w:lang w:val="en-US" w:eastAsia="zh-CN" w:bidi="ar"/>
                    </w:rPr>
                    <w:t>离心风机</w:t>
                  </w:r>
                </w:p>
              </w:tc>
              <w:tc>
                <w:tcPr>
                  <w:tcW w:w="872" w:type="dxa"/>
                  <w:noWrap w:val="0"/>
                  <w:vAlign w:val="center"/>
                </w:tcPr>
                <w:p w14:paraId="25A6A11A">
                  <w:pPr>
                    <w:pStyle w:val="97"/>
                    <w:keepNext w:val="0"/>
                    <w:keepLines w:val="0"/>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1</w:t>
                  </w:r>
                </w:p>
              </w:tc>
              <w:tc>
                <w:tcPr>
                  <w:tcW w:w="1383" w:type="dxa"/>
                  <w:noWrap w:val="0"/>
                  <w:vAlign w:val="center"/>
                </w:tcPr>
                <w:p w14:paraId="60BCA4AE">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100</w:t>
                  </w:r>
                </w:p>
              </w:tc>
              <w:tc>
                <w:tcPr>
                  <w:tcW w:w="1247" w:type="dxa"/>
                  <w:noWrap w:val="0"/>
                  <w:vAlign w:val="center"/>
                </w:tcPr>
                <w:p w14:paraId="59DC0120">
                  <w:pPr>
                    <w:pStyle w:val="97"/>
                    <w:keepNext w:val="0"/>
                    <w:keepLines w:val="0"/>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隔声罩、</w:t>
                  </w:r>
                  <w:r>
                    <w:rPr>
                      <w:rFonts w:hint="eastAsia"/>
                      <w:color w:val="auto"/>
                    </w:rPr>
                    <w:t>减震</w:t>
                  </w:r>
                  <w:r>
                    <w:rPr>
                      <w:rFonts w:hint="eastAsia"/>
                      <w:color w:val="auto"/>
                      <w:lang w:val="en-US" w:eastAsia="zh-CN"/>
                    </w:rPr>
                    <w:t>基座</w:t>
                  </w:r>
                </w:p>
              </w:tc>
              <w:tc>
                <w:tcPr>
                  <w:tcW w:w="1744" w:type="dxa"/>
                  <w:noWrap w:val="0"/>
                  <w:vAlign w:val="center"/>
                </w:tcPr>
                <w:p w14:paraId="710A72A3">
                  <w:pPr>
                    <w:keepNext w:val="0"/>
                    <w:keepLines w:val="0"/>
                    <w:suppressLineNumbers w:val="0"/>
                    <w:spacing w:before="0" w:beforeAutospacing="0" w:after="0" w:afterAutospacing="0" w:line="240" w:lineRule="auto"/>
                    <w:ind w:left="0" w:right="0" w:firstLine="0" w:firstLineChars="0"/>
                    <w:jc w:val="center"/>
                    <w:rPr>
                      <w:rFonts w:hint="default" w:eastAsia="宋体"/>
                      <w:color w:val="auto"/>
                      <w:lang w:val="en-US" w:eastAsia="zh-CN"/>
                    </w:rPr>
                  </w:pPr>
                  <w:r>
                    <w:rPr>
                      <w:rFonts w:hint="eastAsia"/>
                      <w:color w:val="auto"/>
                      <w:lang w:val="en-US" w:eastAsia="zh-CN"/>
                    </w:rPr>
                    <w:t>85</w:t>
                  </w:r>
                </w:p>
              </w:tc>
            </w:tr>
            <w:tr w14:paraId="5862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noWrap w:val="0"/>
                  <w:vAlign w:val="center"/>
                </w:tcPr>
                <w:p w14:paraId="220F9F99">
                  <w:pPr>
                    <w:pStyle w:val="97"/>
                    <w:keepNext w:val="0"/>
                    <w:keepLines w:val="0"/>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7</w:t>
                  </w:r>
                </w:p>
              </w:tc>
              <w:tc>
                <w:tcPr>
                  <w:tcW w:w="2178" w:type="dxa"/>
                  <w:noWrap w:val="0"/>
                  <w:vAlign w:val="center"/>
                </w:tcPr>
                <w:p w14:paraId="4CDBACF2">
                  <w:pPr>
                    <w:pStyle w:val="97"/>
                    <w:keepNext w:val="0"/>
                    <w:keepLines w:val="0"/>
                    <w:suppressLineNumbers w:val="0"/>
                    <w:spacing w:before="0" w:beforeAutospacing="0" w:after="0" w:afterAutospacing="0"/>
                    <w:ind w:left="0" w:right="0"/>
                    <w:rPr>
                      <w:rFonts w:hint="default" w:cs="Times New Roman"/>
                      <w:color w:val="auto"/>
                      <w:sz w:val="24"/>
                      <w:highlight w:val="none"/>
                      <w:lang w:val="en-US" w:eastAsia="zh-CN" w:bidi="ar"/>
                    </w:rPr>
                  </w:pPr>
                  <w:r>
                    <w:rPr>
                      <w:rFonts w:hint="eastAsia" w:cs="Times New Roman"/>
                      <w:color w:val="auto"/>
                      <w:sz w:val="24"/>
                      <w:highlight w:val="none"/>
                      <w:lang w:val="en-US" w:eastAsia="zh-CN" w:bidi="ar"/>
                    </w:rPr>
                    <w:t>曝气机</w:t>
                  </w:r>
                </w:p>
              </w:tc>
              <w:tc>
                <w:tcPr>
                  <w:tcW w:w="872" w:type="dxa"/>
                  <w:noWrap w:val="0"/>
                  <w:vAlign w:val="center"/>
                </w:tcPr>
                <w:p w14:paraId="0580C6B0">
                  <w:pPr>
                    <w:pStyle w:val="97"/>
                    <w:keepNext w:val="0"/>
                    <w:keepLines w:val="0"/>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1</w:t>
                  </w:r>
                </w:p>
              </w:tc>
              <w:tc>
                <w:tcPr>
                  <w:tcW w:w="1383" w:type="dxa"/>
                  <w:noWrap w:val="0"/>
                  <w:vAlign w:val="center"/>
                </w:tcPr>
                <w:p w14:paraId="692A721B">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75</w:t>
                  </w:r>
                </w:p>
              </w:tc>
              <w:tc>
                <w:tcPr>
                  <w:tcW w:w="1247" w:type="dxa"/>
                  <w:noWrap w:val="0"/>
                  <w:vAlign w:val="center"/>
                </w:tcPr>
                <w:p w14:paraId="43C82324">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盖板隔音</w:t>
                  </w:r>
                </w:p>
              </w:tc>
              <w:tc>
                <w:tcPr>
                  <w:tcW w:w="1744" w:type="dxa"/>
                  <w:noWrap w:val="0"/>
                  <w:vAlign w:val="center"/>
                </w:tcPr>
                <w:p w14:paraId="346B1921">
                  <w:pPr>
                    <w:keepNext w:val="0"/>
                    <w:keepLines w:val="0"/>
                    <w:suppressLineNumbers w:val="0"/>
                    <w:spacing w:before="0" w:beforeAutospacing="0" w:after="0" w:afterAutospacing="0" w:line="240" w:lineRule="auto"/>
                    <w:ind w:left="0" w:right="0" w:firstLine="0" w:firstLineChars="0"/>
                    <w:jc w:val="center"/>
                    <w:rPr>
                      <w:rFonts w:hint="default" w:eastAsia="宋体"/>
                      <w:color w:val="auto"/>
                      <w:lang w:val="en-US" w:eastAsia="zh-CN"/>
                    </w:rPr>
                  </w:pPr>
                  <w:r>
                    <w:rPr>
                      <w:rFonts w:hint="eastAsia"/>
                      <w:color w:val="auto"/>
                      <w:lang w:val="en-US" w:eastAsia="zh-CN"/>
                    </w:rPr>
                    <w:t>60</w:t>
                  </w:r>
                </w:p>
              </w:tc>
            </w:tr>
            <w:tr w14:paraId="4BE8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noWrap w:val="0"/>
                  <w:vAlign w:val="center"/>
                </w:tcPr>
                <w:p w14:paraId="155EC7B6">
                  <w:pPr>
                    <w:pStyle w:val="9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8</w:t>
                  </w:r>
                </w:p>
              </w:tc>
              <w:tc>
                <w:tcPr>
                  <w:tcW w:w="2178" w:type="dxa"/>
                  <w:noWrap w:val="0"/>
                  <w:vAlign w:val="center"/>
                </w:tcPr>
                <w:p w14:paraId="0245E909">
                  <w:pPr>
                    <w:pStyle w:val="97"/>
                    <w:keepNext w:val="0"/>
                    <w:keepLines w:val="0"/>
                    <w:suppressLineNumbers w:val="0"/>
                    <w:spacing w:before="0" w:beforeAutospacing="0" w:after="0" w:afterAutospacing="0"/>
                    <w:ind w:left="0" w:right="0"/>
                    <w:rPr>
                      <w:rFonts w:hint="default" w:cs="Times New Roman"/>
                      <w:color w:val="auto"/>
                      <w:sz w:val="24"/>
                      <w:highlight w:val="none"/>
                      <w:lang w:val="en-US" w:eastAsia="zh-CN" w:bidi="ar"/>
                    </w:rPr>
                  </w:pPr>
                  <w:r>
                    <w:rPr>
                      <w:rFonts w:hint="eastAsia" w:cs="Times New Roman"/>
                      <w:color w:val="auto"/>
                      <w:sz w:val="24"/>
                      <w:highlight w:val="none"/>
                      <w:lang w:val="en-US" w:eastAsia="zh-CN" w:bidi="ar"/>
                    </w:rPr>
                    <w:t>鼓风机</w:t>
                  </w:r>
                </w:p>
              </w:tc>
              <w:tc>
                <w:tcPr>
                  <w:tcW w:w="872" w:type="dxa"/>
                  <w:noWrap w:val="0"/>
                  <w:vAlign w:val="center"/>
                </w:tcPr>
                <w:p w14:paraId="6400AD14">
                  <w:pPr>
                    <w:pStyle w:val="9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383" w:type="dxa"/>
                  <w:noWrap w:val="0"/>
                  <w:vAlign w:val="center"/>
                </w:tcPr>
                <w:p w14:paraId="2225AC6F">
                  <w:pPr>
                    <w:pStyle w:val="9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90</w:t>
                  </w:r>
                </w:p>
              </w:tc>
              <w:tc>
                <w:tcPr>
                  <w:tcW w:w="1247" w:type="dxa"/>
                  <w:noWrap w:val="0"/>
                  <w:vAlign w:val="center"/>
                </w:tcPr>
                <w:p w14:paraId="6D444532">
                  <w:pPr>
                    <w:pStyle w:val="9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盖板隔音</w:t>
                  </w:r>
                </w:p>
              </w:tc>
              <w:tc>
                <w:tcPr>
                  <w:tcW w:w="1744" w:type="dxa"/>
                  <w:noWrap w:val="0"/>
                  <w:vAlign w:val="center"/>
                </w:tcPr>
                <w:p w14:paraId="3608A5C8">
                  <w:pPr>
                    <w:keepNext w:val="0"/>
                    <w:keepLines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eastAsia"/>
                      <w:color w:val="auto"/>
                      <w:lang w:val="en-US" w:eastAsia="zh-CN"/>
                    </w:rPr>
                    <w:t>75</w:t>
                  </w:r>
                </w:p>
              </w:tc>
            </w:tr>
            <w:tr w14:paraId="5B95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95" w:type="dxa"/>
                  <w:noWrap w:val="0"/>
                  <w:vAlign w:val="center"/>
                </w:tcPr>
                <w:p w14:paraId="4DA5371C">
                  <w:pPr>
                    <w:pStyle w:val="9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9</w:t>
                  </w:r>
                </w:p>
              </w:tc>
              <w:tc>
                <w:tcPr>
                  <w:tcW w:w="2178" w:type="dxa"/>
                  <w:noWrap w:val="0"/>
                  <w:vAlign w:val="center"/>
                </w:tcPr>
                <w:p w14:paraId="5FD476F6">
                  <w:pPr>
                    <w:pStyle w:val="97"/>
                    <w:keepNext w:val="0"/>
                    <w:keepLines w:val="0"/>
                    <w:suppressLineNumbers w:val="0"/>
                    <w:spacing w:before="0" w:beforeAutospacing="0" w:after="0" w:afterAutospacing="0"/>
                    <w:ind w:left="0" w:right="0"/>
                    <w:rPr>
                      <w:rFonts w:hint="default" w:cs="Times New Roman"/>
                      <w:color w:val="auto"/>
                      <w:sz w:val="24"/>
                      <w:highlight w:val="none"/>
                      <w:lang w:val="en-US" w:eastAsia="zh-CN" w:bidi="ar"/>
                    </w:rPr>
                  </w:pPr>
                  <w:r>
                    <w:rPr>
                      <w:rFonts w:hint="eastAsia" w:cs="Times New Roman"/>
                      <w:color w:val="auto"/>
                      <w:sz w:val="24"/>
                      <w:highlight w:val="none"/>
                      <w:lang w:val="en-US" w:eastAsia="zh-CN" w:bidi="ar"/>
                    </w:rPr>
                    <w:t>UV光解+活性炭吸附装置</w:t>
                  </w:r>
                </w:p>
              </w:tc>
              <w:tc>
                <w:tcPr>
                  <w:tcW w:w="872" w:type="dxa"/>
                  <w:noWrap w:val="0"/>
                  <w:vAlign w:val="center"/>
                </w:tcPr>
                <w:p w14:paraId="0AE0ECB6">
                  <w:pPr>
                    <w:pStyle w:val="9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383" w:type="dxa"/>
                  <w:noWrap w:val="0"/>
                  <w:vAlign w:val="center"/>
                </w:tcPr>
                <w:p w14:paraId="4DC757A9">
                  <w:pPr>
                    <w:pStyle w:val="9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90</w:t>
                  </w:r>
                </w:p>
              </w:tc>
              <w:tc>
                <w:tcPr>
                  <w:tcW w:w="1247" w:type="dxa"/>
                  <w:noWrap w:val="0"/>
                  <w:vAlign w:val="center"/>
                </w:tcPr>
                <w:p w14:paraId="3D8BBDC4">
                  <w:pPr>
                    <w:pStyle w:val="9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隔声罩、</w:t>
                  </w:r>
                  <w:r>
                    <w:rPr>
                      <w:rFonts w:hint="eastAsia"/>
                      <w:color w:val="auto"/>
                    </w:rPr>
                    <w:t>减震</w:t>
                  </w:r>
                  <w:r>
                    <w:rPr>
                      <w:rFonts w:hint="eastAsia"/>
                      <w:color w:val="auto"/>
                      <w:lang w:val="en-US" w:eastAsia="zh-CN"/>
                    </w:rPr>
                    <w:t>基座</w:t>
                  </w:r>
                </w:p>
              </w:tc>
              <w:tc>
                <w:tcPr>
                  <w:tcW w:w="1744" w:type="dxa"/>
                  <w:noWrap w:val="0"/>
                  <w:vAlign w:val="center"/>
                </w:tcPr>
                <w:p w14:paraId="2E94E33A">
                  <w:pPr>
                    <w:keepNext w:val="0"/>
                    <w:keepLines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eastAsia"/>
                      <w:color w:val="auto"/>
                      <w:lang w:val="en-US" w:eastAsia="zh-CN"/>
                    </w:rPr>
                    <w:t>75</w:t>
                  </w:r>
                </w:p>
              </w:tc>
            </w:tr>
          </w:tbl>
          <w:p w14:paraId="3C6CFF09">
            <w:pPr>
              <w:keepNext w:val="0"/>
              <w:keepLines w:val="0"/>
              <w:suppressLineNumbers w:val="0"/>
              <w:spacing w:before="0" w:beforeAutospacing="0" w:after="0" w:afterAutospacing="0"/>
              <w:ind w:left="0" w:right="0" w:firstLine="482"/>
              <w:rPr>
                <w:rFonts w:hint="eastAsia"/>
                <w:b/>
                <w:color w:val="auto"/>
                <w:sz w:val="24"/>
                <w:szCs w:val="24"/>
              </w:rPr>
            </w:pPr>
            <w:r>
              <w:rPr>
                <w:rFonts w:hint="eastAsia"/>
                <w:b/>
                <w:color w:val="auto"/>
                <w:sz w:val="24"/>
                <w:szCs w:val="24"/>
              </w:rPr>
              <w:t>2、噪声预测</w:t>
            </w:r>
          </w:p>
          <w:p w14:paraId="0E21F6A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zh-CN" w:bidi="ar"/>
              </w:rPr>
            </w:pPr>
            <w:r>
              <w:rPr>
                <w:rFonts w:hint="eastAsia" w:ascii="Times New Roman" w:hAnsi="Times New Roman" w:eastAsia="宋体" w:cs="Times New Roman"/>
                <w:color w:val="auto"/>
                <w:sz w:val="24"/>
                <w:highlight w:val="none"/>
                <w:lang w:val="zh-CN" w:bidi="ar"/>
              </w:rPr>
              <w:t>A、预测模式</w:t>
            </w:r>
          </w:p>
          <w:p w14:paraId="2F71CDA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zh-CN" w:bidi="ar"/>
              </w:rPr>
            </w:pPr>
            <w:r>
              <w:rPr>
                <w:rFonts w:hint="eastAsia" w:ascii="Times New Roman" w:hAnsi="Times New Roman" w:eastAsia="宋体" w:cs="Times New Roman"/>
                <w:color w:val="auto"/>
                <w:sz w:val="24"/>
                <w:highlight w:val="none"/>
                <w:lang w:val="zh-CN" w:bidi="ar"/>
              </w:rPr>
              <w:t>根据《环境影响评价技术导则  声环境》（HJ2.4-2021）的要求，项目声环境预测采用的模型为《环境影响评价技术导则  声环境》（HJ2.4-2021）附录B（规范性附录）中“B.1 工业噪声预测计算模型”。</w:t>
            </w:r>
          </w:p>
          <w:p w14:paraId="1205B38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zh-CN" w:bidi="ar"/>
              </w:rPr>
            </w:pPr>
            <w:r>
              <w:rPr>
                <w:rFonts w:hint="eastAsia" w:ascii="Times New Roman" w:hAnsi="Times New Roman" w:eastAsia="宋体" w:cs="Times New Roman"/>
                <w:color w:val="auto"/>
                <w:sz w:val="24"/>
                <w:highlight w:val="none"/>
                <w:lang w:val="zh-CN" w:bidi="ar"/>
              </w:rPr>
              <w:t>B、声源数据</w:t>
            </w:r>
          </w:p>
          <w:p w14:paraId="57EAF81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zh-CN" w:bidi="ar"/>
              </w:rPr>
            </w:pPr>
            <w:r>
              <w:rPr>
                <w:rFonts w:hint="eastAsia" w:ascii="Times New Roman" w:hAnsi="Times New Roman" w:eastAsia="宋体" w:cs="Times New Roman"/>
                <w:color w:val="auto"/>
                <w:sz w:val="24"/>
                <w:highlight w:val="none"/>
                <w:lang w:val="zh-CN" w:bidi="ar"/>
              </w:rPr>
              <w:t>项目运营期噪声源主要为</w:t>
            </w:r>
            <w:r>
              <w:rPr>
                <w:rFonts w:hint="eastAsia" w:cs="Times New Roman"/>
                <w:color w:val="auto"/>
                <w:sz w:val="24"/>
                <w:highlight w:val="none"/>
                <w:lang w:val="en-US" w:eastAsia="zh-CN" w:bidi="ar"/>
              </w:rPr>
              <w:t>卧式浸渍烘干一体机</w:t>
            </w:r>
            <w:r>
              <w:rPr>
                <w:rFonts w:hint="default" w:ascii="Times New Roman" w:hAnsi="Times New Roman" w:cs="Times New Roman"/>
                <w:color w:val="auto"/>
                <w:sz w:val="24"/>
                <w:highlight w:val="none"/>
                <w:lang w:val="en-US" w:eastAsia="zh-CN" w:bidi="ar"/>
              </w:rPr>
              <w:t>、</w:t>
            </w:r>
            <w:r>
              <w:rPr>
                <w:rFonts w:hint="eastAsia" w:cs="Times New Roman"/>
                <w:color w:val="auto"/>
                <w:sz w:val="24"/>
                <w:highlight w:val="none"/>
                <w:lang w:val="en-US" w:eastAsia="zh-CN" w:bidi="ar"/>
              </w:rPr>
              <w:t>搅拌机</w:t>
            </w:r>
            <w:r>
              <w:rPr>
                <w:rFonts w:hint="default" w:ascii="Times New Roman" w:hAnsi="Times New Roman" w:cs="Times New Roman"/>
                <w:color w:val="auto"/>
                <w:sz w:val="24"/>
                <w:highlight w:val="none"/>
                <w:lang w:val="en-US" w:eastAsia="zh-CN" w:bidi="ar"/>
              </w:rPr>
              <w:t>、</w:t>
            </w:r>
            <w:r>
              <w:rPr>
                <w:rFonts w:hint="eastAsia" w:cs="Times New Roman"/>
                <w:color w:val="auto"/>
                <w:sz w:val="24"/>
                <w:highlight w:val="none"/>
                <w:lang w:val="en-US" w:eastAsia="zh-CN" w:bidi="ar"/>
              </w:rPr>
              <w:t>曝气机</w:t>
            </w:r>
            <w:r>
              <w:rPr>
                <w:rFonts w:hint="default" w:ascii="Times New Roman" w:hAnsi="Times New Roman" w:cs="Times New Roman"/>
                <w:color w:val="auto"/>
                <w:sz w:val="24"/>
                <w:highlight w:val="none"/>
                <w:lang w:val="en-US" w:eastAsia="zh-CN" w:bidi="ar"/>
              </w:rPr>
              <w:t>、</w:t>
            </w:r>
            <w:r>
              <w:rPr>
                <w:rFonts w:hint="eastAsia" w:cs="Times New Roman"/>
                <w:color w:val="auto"/>
                <w:sz w:val="24"/>
                <w:highlight w:val="none"/>
                <w:lang w:val="en-US" w:eastAsia="zh-CN" w:bidi="ar"/>
              </w:rPr>
              <w:t>叉车、螺杆式空压机、冷冻式压缩空气干燥器、离心风机</w:t>
            </w:r>
            <w:r>
              <w:rPr>
                <w:rFonts w:hint="eastAsia" w:ascii="Times New Roman" w:hAnsi="Times New Roman" w:eastAsia="宋体" w:cs="Times New Roman"/>
                <w:color w:val="auto"/>
                <w:sz w:val="24"/>
                <w:highlight w:val="none"/>
                <w:lang w:val="zh-CN" w:bidi="ar"/>
              </w:rPr>
              <w:t>等</w:t>
            </w:r>
            <w:r>
              <w:rPr>
                <w:rFonts w:hint="eastAsia" w:ascii="Times New Roman" w:hAnsi="Times New Roman" w:eastAsia="宋体" w:cs="Times New Roman"/>
                <w:color w:val="auto"/>
                <w:sz w:val="24"/>
                <w:szCs w:val="24"/>
                <w:highlight w:val="none"/>
                <w:lang w:val="zh-CN" w:bidi="ar"/>
              </w:rPr>
              <w:t>。</w:t>
            </w:r>
          </w:p>
          <w:p w14:paraId="2751C22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lang w:val="en-US" w:eastAsia="zh-CN"/>
              </w:rPr>
            </w:pPr>
            <w:r>
              <w:rPr>
                <w:rFonts w:hint="eastAsia" w:cs="Times New Roman"/>
                <w:color w:val="auto"/>
                <w:sz w:val="24"/>
                <w:szCs w:val="24"/>
                <w:highlight w:val="none"/>
                <w:lang w:val="en-US" w:eastAsia="zh-CN" w:bidi="ar"/>
              </w:rPr>
              <w:t>项目</w:t>
            </w:r>
            <w:r>
              <w:rPr>
                <w:rFonts w:hint="eastAsia" w:ascii="Times New Roman" w:hAnsi="Times New Roman" w:eastAsia="宋体" w:cs="Times New Roman"/>
                <w:color w:val="auto"/>
                <w:sz w:val="24"/>
                <w:szCs w:val="24"/>
                <w:highlight w:val="none"/>
                <w:lang w:val="zh-CN" w:bidi="ar"/>
              </w:rPr>
              <w:t>以厂界中心（</w:t>
            </w:r>
            <w:bookmarkStart w:id="33" w:name="PO_6"/>
            <w:r>
              <w:rPr>
                <w:rFonts w:hint="default" w:ascii="Times New Roman" w:hAnsi="Times New Roman" w:cs="Times New Roman" w:eastAsiaTheme="minorEastAsia"/>
                <w:b w:val="0"/>
                <w:bCs/>
                <w:color w:val="auto"/>
                <w:sz w:val="24"/>
                <w:szCs w:val="24"/>
                <w:lang w:val="en-US" w:eastAsia="zh-CN"/>
              </w:rPr>
              <w:t>103.15</w:t>
            </w:r>
            <w:r>
              <w:rPr>
                <w:rFonts w:hint="eastAsia" w:cs="Times New Roman" w:eastAsiaTheme="minorEastAsia"/>
                <w:b w:val="0"/>
                <w:bCs/>
                <w:color w:val="auto"/>
                <w:sz w:val="24"/>
                <w:szCs w:val="24"/>
                <w:lang w:val="en-US" w:eastAsia="zh-CN"/>
              </w:rPr>
              <w:t>4687</w:t>
            </w:r>
            <w:r>
              <w:rPr>
                <w:rFonts w:hint="default" w:ascii="Times New Roman" w:hAnsi="Times New Roman" w:cs="Times New Roman" w:eastAsiaTheme="minorEastAsia"/>
                <w:b w:val="0"/>
                <w:bCs/>
                <w:color w:val="auto"/>
                <w:sz w:val="24"/>
                <w:szCs w:val="24"/>
                <w:lang w:val="en-US" w:eastAsia="zh-CN"/>
              </w:rPr>
              <w:t>,25.4</w:t>
            </w:r>
            <w:bookmarkEnd w:id="33"/>
            <w:r>
              <w:rPr>
                <w:rFonts w:hint="eastAsia" w:cs="Times New Roman" w:eastAsiaTheme="minorEastAsia"/>
                <w:b w:val="0"/>
                <w:bCs/>
                <w:color w:val="auto"/>
                <w:sz w:val="24"/>
                <w:szCs w:val="24"/>
                <w:lang w:val="en-US" w:eastAsia="zh-CN"/>
              </w:rPr>
              <w:t>70234</w:t>
            </w:r>
            <w:r>
              <w:rPr>
                <w:rFonts w:hint="eastAsia" w:ascii="Times New Roman" w:hAnsi="Times New Roman" w:eastAsia="宋体" w:cs="Times New Roman"/>
                <w:color w:val="auto"/>
                <w:sz w:val="24"/>
                <w:szCs w:val="24"/>
                <w:highlight w:val="none"/>
                <w:lang w:val="zh-CN" w:bidi="ar"/>
              </w:rPr>
              <w:t>）</w:t>
            </w:r>
            <w:r>
              <w:rPr>
                <w:rFonts w:hint="eastAsia" w:ascii="Times New Roman" w:hAnsi="Times New Roman" w:eastAsia="宋体" w:cs="Times New Roman"/>
                <w:color w:val="auto"/>
                <w:sz w:val="24"/>
                <w:highlight w:val="none"/>
                <w:lang w:val="zh-CN" w:bidi="ar"/>
              </w:rPr>
              <w:t>为坐标原点</w:t>
            </w:r>
            <w:r>
              <w:rPr>
                <w:rFonts w:hint="eastAsia" w:cs="Times New Roman"/>
                <w:color w:val="auto"/>
                <w:sz w:val="24"/>
                <w:highlight w:val="none"/>
                <w:lang w:val="zh-CN" w:bidi="ar"/>
              </w:rPr>
              <w:t>，</w:t>
            </w:r>
            <w:r>
              <w:rPr>
                <w:rFonts w:hint="eastAsia" w:ascii="Times New Roman" w:hAnsi="Times New Roman" w:eastAsia="宋体" w:cs="Times New Roman"/>
                <w:color w:val="auto"/>
                <w:sz w:val="24"/>
                <w:highlight w:val="none"/>
                <w:lang w:val="zh-CN" w:bidi="ar"/>
              </w:rPr>
              <w:t>以原点以东方向为X轴正方向，原点以北方向为Y轴正方向。</w:t>
            </w:r>
          </w:p>
        </w:tc>
      </w:tr>
    </w:tbl>
    <w:p w14:paraId="3EDF0679">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5642A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w:t>
      </w:r>
      <w:r>
        <w:rPr>
          <w:rFonts w:hint="eastAsia" w:cs="Times New Roman"/>
          <w:b/>
          <w:bCs/>
          <w:color w:val="auto"/>
          <w:szCs w:val="21"/>
          <w:highlight w:val="none"/>
          <w:lang w:val="en-US" w:eastAsia="zh-CN"/>
        </w:rPr>
        <w:t>10</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工业企业噪声源强调查清单（室</w:t>
      </w:r>
      <w:r>
        <w:rPr>
          <w:rFonts w:hint="eastAsia" w:cs="Times New Roman"/>
          <w:b/>
          <w:bCs/>
          <w:color w:val="auto"/>
          <w:szCs w:val="21"/>
          <w:highlight w:val="none"/>
          <w:lang w:val="en-US" w:eastAsia="zh-CN"/>
        </w:rPr>
        <w:t>外</w:t>
      </w:r>
      <w:r>
        <w:rPr>
          <w:rFonts w:hint="default" w:ascii="Times New Roman" w:hAnsi="Times New Roman" w:eastAsia="宋体" w:cs="Times New Roman"/>
          <w:b/>
          <w:bCs/>
          <w:color w:val="auto"/>
          <w:szCs w:val="21"/>
          <w:highlight w:val="none"/>
        </w:rPr>
        <w:t>声源）</w:t>
      </w:r>
    </w:p>
    <w:tbl>
      <w:tblPr>
        <w:tblStyle w:val="30"/>
        <w:tblW w:w="11986" w:type="dxa"/>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2176"/>
        <w:gridCol w:w="571"/>
        <w:gridCol w:w="625"/>
        <w:gridCol w:w="695"/>
        <w:gridCol w:w="508"/>
        <w:gridCol w:w="2912"/>
        <w:gridCol w:w="1386"/>
        <w:gridCol w:w="1482"/>
        <w:gridCol w:w="1060"/>
      </w:tblGrid>
      <w:tr w14:paraId="4140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571" w:type="dxa"/>
            <w:vMerge w:val="restart"/>
            <w:vAlign w:val="center"/>
          </w:tcPr>
          <w:p w14:paraId="4580845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序号</w:t>
            </w:r>
          </w:p>
        </w:tc>
        <w:tc>
          <w:tcPr>
            <w:tcW w:w="2176" w:type="dxa"/>
            <w:vMerge w:val="restart"/>
            <w:vAlign w:val="center"/>
          </w:tcPr>
          <w:p w14:paraId="1E9AF6A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声源名称</w:t>
            </w:r>
          </w:p>
        </w:tc>
        <w:tc>
          <w:tcPr>
            <w:tcW w:w="571" w:type="dxa"/>
            <w:vMerge w:val="restart"/>
            <w:vAlign w:val="center"/>
          </w:tcPr>
          <w:p w14:paraId="12A99BE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型号</w:t>
            </w:r>
          </w:p>
        </w:tc>
        <w:tc>
          <w:tcPr>
            <w:tcW w:w="1828" w:type="dxa"/>
            <w:gridSpan w:val="3"/>
            <w:vAlign w:val="center"/>
          </w:tcPr>
          <w:p w14:paraId="439EB67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空间相对位置/m</w:t>
            </w:r>
          </w:p>
        </w:tc>
        <w:tc>
          <w:tcPr>
            <w:tcW w:w="4298" w:type="dxa"/>
            <w:gridSpan w:val="2"/>
            <w:vAlign w:val="center"/>
          </w:tcPr>
          <w:p w14:paraId="423B341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
                <w:color w:val="auto"/>
                <w:sz w:val="21"/>
                <w:szCs w:val="21"/>
                <w:lang w:eastAsia="zh-CN"/>
              </w:rPr>
              <w:t>声源源强（任选一种）</w:t>
            </w:r>
          </w:p>
        </w:tc>
        <w:tc>
          <w:tcPr>
            <w:tcW w:w="1482" w:type="dxa"/>
            <w:vMerge w:val="restart"/>
            <w:vAlign w:val="center"/>
          </w:tcPr>
          <w:p w14:paraId="7492967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声源控制措施</w:t>
            </w:r>
          </w:p>
        </w:tc>
        <w:tc>
          <w:tcPr>
            <w:tcW w:w="1060" w:type="dxa"/>
            <w:vMerge w:val="restart"/>
            <w:vAlign w:val="center"/>
          </w:tcPr>
          <w:p w14:paraId="670D786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运行时段</w:t>
            </w:r>
          </w:p>
        </w:tc>
      </w:tr>
      <w:tr w14:paraId="05A6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1" w:type="dxa"/>
            <w:vMerge w:val="continue"/>
            <w:shd w:val="clear" w:color="auto" w:fill="FFFFFF"/>
            <w:vAlign w:val="center"/>
          </w:tcPr>
          <w:p w14:paraId="5FAF11F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2176" w:type="dxa"/>
            <w:vMerge w:val="continue"/>
            <w:shd w:val="clear" w:color="auto" w:fill="FFFFFF"/>
            <w:vAlign w:val="center"/>
          </w:tcPr>
          <w:p w14:paraId="3E87447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571" w:type="dxa"/>
            <w:vMerge w:val="continue"/>
            <w:shd w:val="clear" w:color="auto" w:fill="FFFFFF"/>
            <w:vAlign w:val="center"/>
          </w:tcPr>
          <w:p w14:paraId="4769FB36">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color w:val="auto"/>
                <w:sz w:val="21"/>
                <w:szCs w:val="21"/>
              </w:rPr>
            </w:pPr>
          </w:p>
        </w:tc>
        <w:tc>
          <w:tcPr>
            <w:tcW w:w="625" w:type="dxa"/>
            <w:shd w:val="clear" w:color="auto" w:fill="FFFFFF"/>
            <w:vAlign w:val="center"/>
          </w:tcPr>
          <w:p w14:paraId="0E5A47D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X</w:t>
            </w:r>
          </w:p>
        </w:tc>
        <w:tc>
          <w:tcPr>
            <w:tcW w:w="695" w:type="dxa"/>
            <w:shd w:val="clear" w:color="auto" w:fill="FFFFFF"/>
            <w:vAlign w:val="center"/>
          </w:tcPr>
          <w:p w14:paraId="7CBBDE0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Y</w:t>
            </w:r>
          </w:p>
        </w:tc>
        <w:tc>
          <w:tcPr>
            <w:tcW w:w="508" w:type="dxa"/>
            <w:shd w:val="clear" w:color="auto" w:fill="FFFFFF"/>
            <w:vAlign w:val="center"/>
          </w:tcPr>
          <w:p w14:paraId="1C14A47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Z</w:t>
            </w:r>
          </w:p>
        </w:tc>
        <w:tc>
          <w:tcPr>
            <w:tcW w:w="2912" w:type="dxa"/>
            <w:shd w:val="clear" w:color="auto" w:fill="FFFFFF"/>
            <w:vAlign w:val="center"/>
          </w:tcPr>
          <w:p w14:paraId="77601FE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（声压级/距声源距离）/（dB(A)/m）</w:t>
            </w:r>
          </w:p>
        </w:tc>
        <w:tc>
          <w:tcPr>
            <w:tcW w:w="1386" w:type="dxa"/>
            <w:shd w:val="clear" w:color="auto" w:fill="FFFFFF"/>
            <w:vAlign w:val="center"/>
          </w:tcPr>
          <w:p w14:paraId="44D6BAE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声功率级/dB(A)</w:t>
            </w:r>
          </w:p>
        </w:tc>
        <w:tc>
          <w:tcPr>
            <w:tcW w:w="1482" w:type="dxa"/>
            <w:vMerge w:val="continue"/>
            <w:shd w:val="clear" w:color="auto" w:fill="FFFFFF"/>
            <w:vAlign w:val="center"/>
          </w:tcPr>
          <w:p w14:paraId="0C60E39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1060" w:type="dxa"/>
            <w:vMerge w:val="continue"/>
            <w:shd w:val="clear" w:color="auto" w:fill="FFFFFF"/>
            <w:vAlign w:val="center"/>
          </w:tcPr>
          <w:p w14:paraId="393F142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r>
      <w:tr w14:paraId="5622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7" w:hRule="exact"/>
        </w:trPr>
        <w:tc>
          <w:tcPr>
            <w:tcW w:w="571" w:type="dxa"/>
            <w:shd w:val="clear" w:color="auto" w:fill="FFFFFF"/>
            <w:vAlign w:val="center"/>
          </w:tcPr>
          <w:p w14:paraId="5E81523E">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1</w:t>
            </w:r>
          </w:p>
        </w:tc>
        <w:tc>
          <w:tcPr>
            <w:tcW w:w="2176" w:type="dxa"/>
            <w:shd w:val="clear" w:color="auto" w:fill="FFFFFF"/>
            <w:vAlign w:val="center"/>
          </w:tcPr>
          <w:p w14:paraId="26BA3326">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离心风机</w:t>
            </w:r>
          </w:p>
        </w:tc>
        <w:tc>
          <w:tcPr>
            <w:tcW w:w="571" w:type="dxa"/>
            <w:shd w:val="clear" w:color="auto" w:fill="FFFFFF"/>
            <w:vAlign w:val="center"/>
          </w:tcPr>
          <w:p w14:paraId="3E8F0616">
            <w:pPr>
              <w:keepNext w:val="0"/>
              <w:keepLines w:val="0"/>
              <w:suppressLineNumbers w:val="0"/>
              <w:spacing w:before="0" w:beforeAutospacing="0" w:after="0" w:afterAutospacing="0"/>
              <w:ind w:left="0" w:right="0"/>
              <w:jc w:val="center"/>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w:t>
            </w:r>
          </w:p>
        </w:tc>
        <w:tc>
          <w:tcPr>
            <w:tcW w:w="625" w:type="dxa"/>
            <w:shd w:val="clear" w:color="auto" w:fill="FFFFFF"/>
            <w:vAlign w:val="center"/>
          </w:tcPr>
          <w:p w14:paraId="32C5E01C">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25.2</w:t>
            </w:r>
          </w:p>
        </w:tc>
        <w:tc>
          <w:tcPr>
            <w:tcW w:w="695" w:type="dxa"/>
            <w:shd w:val="clear" w:color="auto" w:fill="FFFFFF"/>
            <w:vAlign w:val="center"/>
          </w:tcPr>
          <w:p w14:paraId="23431DFF">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-25.3</w:t>
            </w:r>
          </w:p>
        </w:tc>
        <w:tc>
          <w:tcPr>
            <w:tcW w:w="508" w:type="dxa"/>
            <w:shd w:val="clear" w:color="auto" w:fill="FFFFFF"/>
            <w:vAlign w:val="center"/>
          </w:tcPr>
          <w:p w14:paraId="6E98D327">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1.2</w:t>
            </w:r>
          </w:p>
        </w:tc>
        <w:tc>
          <w:tcPr>
            <w:tcW w:w="2912" w:type="dxa"/>
            <w:shd w:val="clear" w:color="auto" w:fill="FFFFFF"/>
            <w:vAlign w:val="center"/>
          </w:tcPr>
          <w:p w14:paraId="533EAE96">
            <w:pPr>
              <w:keepNext w:val="0"/>
              <w:keepLines w:val="0"/>
              <w:suppressLineNumbers w:val="0"/>
              <w:spacing w:before="0" w:beforeAutospacing="0" w:after="0" w:afterAutospacing="0"/>
              <w:ind w:left="0" w:right="0"/>
              <w:jc w:val="center"/>
              <w:rPr>
                <w:rFonts w:hint="eastAsia" w:ascii="Arial" w:hAnsi="Arial" w:eastAsia="Arial" w:cs="Arial"/>
                <w:color w:val="auto"/>
                <w:sz w:val="21"/>
                <w:szCs w:val="21"/>
                <w:highlight w:val="none"/>
                <w:lang w:val="en-US" w:eastAsia="zh-CN"/>
              </w:rPr>
            </w:pPr>
            <w:r>
              <w:rPr>
                <w:rFonts w:hint="eastAsia" w:ascii="Arial" w:hAnsi="Arial" w:eastAsia="Arial" w:cs="Arial"/>
                <w:color w:val="auto"/>
                <w:sz w:val="21"/>
                <w:szCs w:val="21"/>
                <w:highlight w:val="none"/>
                <w:lang w:val="en-US" w:eastAsia="zh-CN"/>
              </w:rPr>
              <w:t>/</w:t>
            </w:r>
          </w:p>
        </w:tc>
        <w:tc>
          <w:tcPr>
            <w:tcW w:w="1386" w:type="dxa"/>
            <w:shd w:val="clear" w:color="auto" w:fill="FFFFFF"/>
            <w:vAlign w:val="center"/>
          </w:tcPr>
          <w:p w14:paraId="2CB85A90">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100</w:t>
            </w:r>
          </w:p>
        </w:tc>
        <w:tc>
          <w:tcPr>
            <w:tcW w:w="1482" w:type="dxa"/>
            <w:shd w:val="clear" w:color="auto" w:fill="FFFFFF"/>
            <w:vAlign w:val="center"/>
          </w:tcPr>
          <w:p w14:paraId="679ED345">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隔声罩、减震基座</w:t>
            </w:r>
          </w:p>
        </w:tc>
        <w:tc>
          <w:tcPr>
            <w:tcW w:w="1060" w:type="dxa"/>
            <w:shd w:val="clear" w:color="auto" w:fill="FFFFFF"/>
            <w:vAlign w:val="center"/>
          </w:tcPr>
          <w:p w14:paraId="356292A9">
            <w:pPr>
              <w:keepNext w:val="0"/>
              <w:keepLines w:val="0"/>
              <w:suppressLineNumbers w:val="0"/>
              <w:spacing w:before="0" w:beforeAutospacing="0" w:after="0" w:afterAutospacing="0"/>
              <w:ind w:left="0" w:right="0"/>
              <w:jc w:val="center"/>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昼间</w:t>
            </w:r>
          </w:p>
        </w:tc>
      </w:tr>
      <w:tr w14:paraId="26D5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571" w:type="dxa"/>
            <w:shd w:val="clear" w:color="auto" w:fill="FFFFFF"/>
            <w:vAlign w:val="center"/>
          </w:tcPr>
          <w:p w14:paraId="19270138">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2</w:t>
            </w:r>
          </w:p>
        </w:tc>
        <w:tc>
          <w:tcPr>
            <w:tcW w:w="2176" w:type="dxa"/>
            <w:shd w:val="clear" w:color="auto" w:fill="FFFFFF"/>
            <w:vAlign w:val="center"/>
          </w:tcPr>
          <w:p w14:paraId="2E5E0142">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曝气机</w:t>
            </w:r>
          </w:p>
        </w:tc>
        <w:tc>
          <w:tcPr>
            <w:tcW w:w="571" w:type="dxa"/>
            <w:shd w:val="clear" w:color="auto" w:fill="FFFFFF"/>
            <w:vAlign w:val="center"/>
          </w:tcPr>
          <w:p w14:paraId="7EBCC9C2">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eastAsia" w:ascii="Arial" w:hAnsi="Arial" w:eastAsia="宋体" w:cs="Arial"/>
                <w:color w:val="auto"/>
                <w:sz w:val="21"/>
                <w:szCs w:val="21"/>
                <w:highlight w:val="none"/>
                <w:lang w:val="en-US" w:eastAsia="zh-CN"/>
              </w:rPr>
              <w:t>/</w:t>
            </w:r>
          </w:p>
        </w:tc>
        <w:tc>
          <w:tcPr>
            <w:tcW w:w="625" w:type="dxa"/>
            <w:shd w:val="clear" w:color="auto" w:fill="FFFFFF"/>
            <w:vAlign w:val="center"/>
          </w:tcPr>
          <w:p w14:paraId="0057A799">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1</w:t>
            </w:r>
          </w:p>
        </w:tc>
        <w:tc>
          <w:tcPr>
            <w:tcW w:w="695" w:type="dxa"/>
            <w:shd w:val="clear" w:color="auto" w:fill="FFFFFF"/>
            <w:vAlign w:val="center"/>
          </w:tcPr>
          <w:p w14:paraId="6C12D792">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54</w:t>
            </w:r>
          </w:p>
        </w:tc>
        <w:tc>
          <w:tcPr>
            <w:tcW w:w="508" w:type="dxa"/>
            <w:shd w:val="clear" w:color="auto" w:fill="FFFFFF"/>
            <w:vAlign w:val="center"/>
          </w:tcPr>
          <w:p w14:paraId="2EE6546D">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1"/>
                <w:szCs w:val="21"/>
                <w:highlight w:val="none"/>
              </w:rPr>
              <w:t>1.2</w:t>
            </w:r>
          </w:p>
        </w:tc>
        <w:tc>
          <w:tcPr>
            <w:tcW w:w="2912" w:type="dxa"/>
            <w:shd w:val="clear" w:color="auto" w:fill="FFFFFF"/>
            <w:vAlign w:val="center"/>
          </w:tcPr>
          <w:p w14:paraId="2C50B807">
            <w:pPr>
              <w:keepNext w:val="0"/>
              <w:keepLines w:val="0"/>
              <w:suppressLineNumbers w:val="0"/>
              <w:spacing w:before="0" w:beforeAutospacing="0" w:after="0" w:afterAutospacing="0"/>
              <w:ind w:left="0" w:right="0"/>
              <w:jc w:val="center"/>
              <w:rPr>
                <w:rFonts w:hint="eastAsia" w:ascii="Arial" w:hAnsi="Arial" w:eastAsia="Arial" w:cs="Arial"/>
                <w:color w:val="auto"/>
                <w:sz w:val="21"/>
                <w:szCs w:val="21"/>
                <w:highlight w:val="none"/>
                <w:lang w:val="en-US" w:eastAsia="zh-CN"/>
              </w:rPr>
            </w:pPr>
            <w:r>
              <w:rPr>
                <w:rFonts w:hint="eastAsia" w:ascii="Arial" w:hAnsi="Arial" w:eastAsia="Arial" w:cs="Arial"/>
                <w:color w:val="auto"/>
                <w:sz w:val="21"/>
                <w:szCs w:val="21"/>
                <w:highlight w:val="none"/>
                <w:lang w:val="en-US" w:eastAsia="zh-CN"/>
              </w:rPr>
              <w:t>/</w:t>
            </w:r>
          </w:p>
        </w:tc>
        <w:tc>
          <w:tcPr>
            <w:tcW w:w="1386" w:type="dxa"/>
            <w:shd w:val="clear" w:color="auto" w:fill="FFFFFF"/>
            <w:vAlign w:val="center"/>
          </w:tcPr>
          <w:p w14:paraId="0BD7A8F7">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default" w:ascii="Arial" w:hAnsi="Arial" w:eastAsia="宋体" w:cs="Arial"/>
                <w:color w:val="auto"/>
                <w:sz w:val="21"/>
                <w:szCs w:val="21"/>
                <w:highlight w:val="none"/>
                <w:lang w:val="en-US" w:eastAsia="zh-CN"/>
              </w:rPr>
              <w:t>75</w:t>
            </w:r>
          </w:p>
        </w:tc>
        <w:tc>
          <w:tcPr>
            <w:tcW w:w="1482" w:type="dxa"/>
            <w:shd w:val="clear" w:color="auto" w:fill="FFFFFF"/>
            <w:vAlign w:val="center"/>
          </w:tcPr>
          <w:p w14:paraId="3B9E63F2">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eastAsia"/>
                <w:color w:val="auto"/>
                <w:lang w:val="en-US" w:eastAsia="zh-CN"/>
              </w:rPr>
              <w:t>盖板隔音</w:t>
            </w:r>
          </w:p>
        </w:tc>
        <w:tc>
          <w:tcPr>
            <w:tcW w:w="1060" w:type="dxa"/>
            <w:shd w:val="clear" w:color="auto" w:fill="FFFFFF"/>
            <w:vAlign w:val="center"/>
          </w:tcPr>
          <w:p w14:paraId="1BB87C58">
            <w:pPr>
              <w:keepNext w:val="0"/>
              <w:keepLines w:val="0"/>
              <w:suppressLineNumbers w:val="0"/>
              <w:spacing w:before="0" w:beforeAutospacing="0" w:after="0" w:afterAutospacing="0"/>
              <w:ind w:left="0" w:right="0"/>
              <w:jc w:val="center"/>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昼间</w:t>
            </w:r>
          </w:p>
        </w:tc>
      </w:tr>
      <w:tr w14:paraId="1A6E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571" w:type="dxa"/>
            <w:shd w:val="clear" w:color="auto" w:fill="FFFFFF"/>
            <w:vAlign w:val="center"/>
          </w:tcPr>
          <w:p w14:paraId="02B4DE5B">
            <w:pPr>
              <w:keepNext w:val="0"/>
              <w:keepLines w:val="0"/>
              <w:suppressLineNumbers w:val="0"/>
              <w:spacing w:before="0" w:beforeAutospacing="0" w:after="0" w:afterAutospacing="0"/>
              <w:ind w:left="0" w:right="0"/>
              <w:jc w:val="center"/>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3</w:t>
            </w:r>
          </w:p>
        </w:tc>
        <w:tc>
          <w:tcPr>
            <w:tcW w:w="2176" w:type="dxa"/>
            <w:shd w:val="clear" w:color="auto" w:fill="FFFFFF"/>
            <w:vAlign w:val="center"/>
          </w:tcPr>
          <w:p w14:paraId="66ACEEBC">
            <w:pPr>
              <w:keepNext w:val="0"/>
              <w:keepLines w:val="0"/>
              <w:suppressLineNumbers w:val="0"/>
              <w:spacing w:before="0" w:beforeAutospacing="0" w:after="0" w:afterAutospacing="0"/>
              <w:ind w:left="0" w:right="0"/>
              <w:jc w:val="center"/>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鼓风机</w:t>
            </w:r>
          </w:p>
        </w:tc>
        <w:tc>
          <w:tcPr>
            <w:tcW w:w="571" w:type="dxa"/>
            <w:shd w:val="clear" w:color="auto" w:fill="FFFFFF"/>
            <w:vAlign w:val="center"/>
          </w:tcPr>
          <w:p w14:paraId="1BBFDE1A">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eastAsia" w:ascii="Arial" w:hAnsi="Arial" w:eastAsia="宋体" w:cs="Arial"/>
                <w:color w:val="auto"/>
                <w:sz w:val="21"/>
                <w:szCs w:val="21"/>
                <w:highlight w:val="none"/>
                <w:lang w:val="en-US" w:eastAsia="zh-CN"/>
              </w:rPr>
              <w:t>/</w:t>
            </w:r>
          </w:p>
        </w:tc>
        <w:tc>
          <w:tcPr>
            <w:tcW w:w="625" w:type="dxa"/>
            <w:shd w:val="clear" w:color="auto" w:fill="FFFFFF"/>
            <w:vAlign w:val="center"/>
          </w:tcPr>
          <w:p w14:paraId="47E79F6A">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1.7</w:t>
            </w:r>
          </w:p>
        </w:tc>
        <w:tc>
          <w:tcPr>
            <w:tcW w:w="695" w:type="dxa"/>
            <w:shd w:val="clear" w:color="auto" w:fill="FFFFFF"/>
            <w:vAlign w:val="center"/>
          </w:tcPr>
          <w:p w14:paraId="3182B264">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46</w:t>
            </w:r>
          </w:p>
        </w:tc>
        <w:tc>
          <w:tcPr>
            <w:tcW w:w="508" w:type="dxa"/>
            <w:shd w:val="clear" w:color="auto" w:fill="FFFFFF"/>
            <w:vAlign w:val="center"/>
          </w:tcPr>
          <w:p w14:paraId="07E7A5E8">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1.2</w:t>
            </w:r>
          </w:p>
        </w:tc>
        <w:tc>
          <w:tcPr>
            <w:tcW w:w="2912" w:type="dxa"/>
            <w:shd w:val="clear" w:color="auto" w:fill="FFFFFF"/>
            <w:vAlign w:val="center"/>
          </w:tcPr>
          <w:p w14:paraId="5F0D7553">
            <w:pPr>
              <w:keepNext w:val="0"/>
              <w:keepLines w:val="0"/>
              <w:suppressLineNumbers w:val="0"/>
              <w:spacing w:before="0" w:beforeAutospacing="0" w:after="0" w:afterAutospacing="0"/>
              <w:ind w:left="0" w:right="0"/>
              <w:jc w:val="center"/>
              <w:rPr>
                <w:rFonts w:hint="eastAsia" w:ascii="Arial" w:hAnsi="Arial" w:eastAsia="Arial" w:cs="Arial"/>
                <w:color w:val="auto"/>
                <w:sz w:val="21"/>
                <w:szCs w:val="21"/>
                <w:highlight w:val="none"/>
                <w:lang w:val="en-US" w:eastAsia="zh-CN"/>
              </w:rPr>
            </w:pPr>
            <w:r>
              <w:rPr>
                <w:rFonts w:hint="eastAsia" w:ascii="Arial" w:hAnsi="Arial" w:eastAsia="Arial" w:cs="Arial"/>
                <w:color w:val="auto"/>
                <w:sz w:val="21"/>
                <w:szCs w:val="21"/>
                <w:highlight w:val="none"/>
                <w:lang w:val="en-US" w:eastAsia="zh-CN"/>
              </w:rPr>
              <w:t>/</w:t>
            </w:r>
          </w:p>
        </w:tc>
        <w:tc>
          <w:tcPr>
            <w:tcW w:w="1386" w:type="dxa"/>
            <w:shd w:val="clear" w:color="auto" w:fill="FFFFFF"/>
            <w:vAlign w:val="center"/>
          </w:tcPr>
          <w:p w14:paraId="3C338BAA">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90</w:t>
            </w:r>
          </w:p>
        </w:tc>
        <w:tc>
          <w:tcPr>
            <w:tcW w:w="1482" w:type="dxa"/>
            <w:shd w:val="clear" w:color="auto" w:fill="FFFFFF"/>
            <w:vAlign w:val="center"/>
          </w:tcPr>
          <w:p w14:paraId="47DADAC1">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盖板隔音</w:t>
            </w:r>
          </w:p>
        </w:tc>
        <w:tc>
          <w:tcPr>
            <w:tcW w:w="1060" w:type="dxa"/>
            <w:shd w:val="clear" w:color="auto" w:fill="FFFFFF"/>
            <w:vAlign w:val="center"/>
          </w:tcPr>
          <w:p w14:paraId="483D1DAA">
            <w:pPr>
              <w:keepNext w:val="0"/>
              <w:keepLines w:val="0"/>
              <w:suppressLineNumbers w:val="0"/>
              <w:spacing w:before="0" w:beforeAutospacing="0" w:after="0" w:afterAutospacing="0"/>
              <w:ind w:left="0" w:right="0"/>
              <w:jc w:val="center"/>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昼间</w:t>
            </w:r>
          </w:p>
        </w:tc>
      </w:tr>
      <w:tr w14:paraId="20F9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2" w:hRule="exact"/>
        </w:trPr>
        <w:tc>
          <w:tcPr>
            <w:tcW w:w="571" w:type="dxa"/>
            <w:shd w:val="clear" w:color="auto" w:fill="FFFFFF"/>
            <w:vAlign w:val="center"/>
          </w:tcPr>
          <w:p w14:paraId="7361AF71">
            <w:pPr>
              <w:keepNext w:val="0"/>
              <w:keepLines w:val="0"/>
              <w:suppressLineNumbers w:val="0"/>
              <w:spacing w:before="0" w:beforeAutospacing="0" w:after="0" w:afterAutospacing="0"/>
              <w:ind w:left="0" w:right="0"/>
              <w:jc w:val="center"/>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4</w:t>
            </w:r>
          </w:p>
        </w:tc>
        <w:tc>
          <w:tcPr>
            <w:tcW w:w="2176" w:type="dxa"/>
            <w:shd w:val="clear" w:color="auto" w:fill="FFFFFF"/>
            <w:vAlign w:val="center"/>
          </w:tcPr>
          <w:p w14:paraId="340BD971">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eastAsia" w:cs="Times New Roman"/>
                <w:color w:val="auto"/>
                <w:sz w:val="24"/>
                <w:highlight w:val="none"/>
                <w:lang w:val="en-US" w:eastAsia="zh-CN" w:bidi="ar"/>
              </w:rPr>
              <w:t>UV光解+活性炭吸附装置</w:t>
            </w:r>
          </w:p>
        </w:tc>
        <w:tc>
          <w:tcPr>
            <w:tcW w:w="571" w:type="dxa"/>
            <w:shd w:val="clear" w:color="auto" w:fill="FFFFFF"/>
            <w:vAlign w:val="center"/>
          </w:tcPr>
          <w:p w14:paraId="2FBBD51D">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eastAsia" w:ascii="Arial" w:hAnsi="Arial" w:eastAsia="宋体" w:cs="Arial"/>
                <w:color w:val="auto"/>
                <w:sz w:val="21"/>
                <w:szCs w:val="21"/>
                <w:highlight w:val="none"/>
                <w:lang w:val="en-US" w:eastAsia="zh-CN"/>
              </w:rPr>
              <w:t>/</w:t>
            </w:r>
          </w:p>
        </w:tc>
        <w:tc>
          <w:tcPr>
            <w:tcW w:w="625" w:type="dxa"/>
            <w:shd w:val="clear" w:color="auto" w:fill="FFFFFF"/>
            <w:vAlign w:val="center"/>
          </w:tcPr>
          <w:p w14:paraId="0F90486E">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37.6</w:t>
            </w:r>
          </w:p>
        </w:tc>
        <w:tc>
          <w:tcPr>
            <w:tcW w:w="695" w:type="dxa"/>
            <w:shd w:val="clear" w:color="auto" w:fill="FFFFFF"/>
            <w:vAlign w:val="center"/>
          </w:tcPr>
          <w:p w14:paraId="649BC5A7">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-33.4</w:t>
            </w:r>
          </w:p>
        </w:tc>
        <w:tc>
          <w:tcPr>
            <w:tcW w:w="508" w:type="dxa"/>
            <w:shd w:val="clear" w:color="auto" w:fill="FFFFFF"/>
            <w:vAlign w:val="center"/>
          </w:tcPr>
          <w:p w14:paraId="227A692A">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1.2</w:t>
            </w:r>
          </w:p>
        </w:tc>
        <w:tc>
          <w:tcPr>
            <w:tcW w:w="2912" w:type="dxa"/>
            <w:shd w:val="clear" w:color="auto" w:fill="FFFFFF"/>
            <w:vAlign w:val="center"/>
          </w:tcPr>
          <w:p w14:paraId="3531C6CB">
            <w:pPr>
              <w:keepNext w:val="0"/>
              <w:keepLines w:val="0"/>
              <w:suppressLineNumbers w:val="0"/>
              <w:spacing w:before="0" w:beforeAutospacing="0" w:after="0" w:afterAutospacing="0"/>
              <w:ind w:left="0" w:right="0"/>
              <w:jc w:val="center"/>
              <w:rPr>
                <w:rFonts w:hint="eastAsia" w:ascii="Arial" w:hAnsi="Arial" w:eastAsia="Arial" w:cs="Arial"/>
                <w:color w:val="auto"/>
                <w:sz w:val="21"/>
                <w:szCs w:val="21"/>
                <w:highlight w:val="none"/>
                <w:lang w:val="en-US" w:eastAsia="zh-CN"/>
              </w:rPr>
            </w:pPr>
            <w:r>
              <w:rPr>
                <w:rFonts w:hint="eastAsia" w:ascii="Arial" w:hAnsi="Arial" w:eastAsia="Arial" w:cs="Arial"/>
                <w:color w:val="auto"/>
                <w:sz w:val="21"/>
                <w:szCs w:val="21"/>
                <w:highlight w:val="none"/>
                <w:lang w:val="en-US" w:eastAsia="zh-CN"/>
              </w:rPr>
              <w:t>/</w:t>
            </w:r>
          </w:p>
        </w:tc>
        <w:tc>
          <w:tcPr>
            <w:tcW w:w="1386" w:type="dxa"/>
            <w:shd w:val="clear" w:color="auto" w:fill="FFFFFF"/>
            <w:vAlign w:val="center"/>
          </w:tcPr>
          <w:p w14:paraId="6009AE67">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90</w:t>
            </w:r>
          </w:p>
        </w:tc>
        <w:tc>
          <w:tcPr>
            <w:tcW w:w="1482" w:type="dxa"/>
            <w:shd w:val="clear" w:color="auto" w:fill="FFFFFF"/>
            <w:vAlign w:val="center"/>
          </w:tcPr>
          <w:p w14:paraId="6836D430">
            <w:pPr>
              <w:keepNext w:val="0"/>
              <w:keepLines w:val="0"/>
              <w:suppressLineNumbers w:val="0"/>
              <w:spacing w:before="0" w:beforeAutospacing="0" w:after="0" w:afterAutospacing="0"/>
              <w:ind w:left="0" w:right="0"/>
              <w:jc w:val="center"/>
              <w:rPr>
                <w:rFonts w:hint="eastAsia"/>
                <w:color w:val="auto"/>
                <w:lang w:val="en-US" w:eastAsia="zh-CN"/>
              </w:rPr>
            </w:pPr>
            <w:r>
              <w:rPr>
                <w:rFonts w:hint="eastAsia" w:ascii="Arial" w:hAnsi="Arial" w:eastAsia="宋体" w:cs="Arial"/>
                <w:color w:val="auto"/>
                <w:sz w:val="21"/>
                <w:szCs w:val="21"/>
                <w:highlight w:val="none"/>
                <w:lang w:val="en-US" w:eastAsia="zh-CN"/>
              </w:rPr>
              <w:t>隔声罩、减震基座</w:t>
            </w:r>
          </w:p>
        </w:tc>
        <w:tc>
          <w:tcPr>
            <w:tcW w:w="1060" w:type="dxa"/>
            <w:shd w:val="clear" w:color="auto" w:fill="FFFFFF"/>
            <w:vAlign w:val="center"/>
          </w:tcPr>
          <w:p w14:paraId="43233873">
            <w:pPr>
              <w:keepNext w:val="0"/>
              <w:keepLines w:val="0"/>
              <w:suppressLineNumbers w:val="0"/>
              <w:spacing w:before="0" w:beforeAutospacing="0" w:after="0" w:afterAutospacing="0"/>
              <w:ind w:left="0" w:right="0"/>
              <w:jc w:val="center"/>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昼间</w:t>
            </w:r>
          </w:p>
        </w:tc>
      </w:tr>
    </w:tbl>
    <w:p w14:paraId="763F5C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p w14:paraId="083573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w:t>
      </w:r>
      <w:r>
        <w:rPr>
          <w:rFonts w:hint="eastAsia" w:cs="Times New Roman"/>
          <w:b/>
          <w:bCs/>
          <w:color w:val="auto"/>
          <w:szCs w:val="21"/>
          <w:highlight w:val="none"/>
          <w:lang w:val="en-US" w:eastAsia="zh-CN"/>
        </w:rPr>
        <w:t>11</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工业企业噪声源强调查清单（室内声源）</w:t>
      </w:r>
    </w:p>
    <w:tbl>
      <w:tblPr>
        <w:tblStyle w:val="30"/>
        <w:tblW w:w="14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910"/>
        <w:gridCol w:w="1375"/>
        <w:gridCol w:w="563"/>
        <w:gridCol w:w="657"/>
        <w:gridCol w:w="507"/>
        <w:gridCol w:w="523"/>
        <w:gridCol w:w="523"/>
        <w:gridCol w:w="472"/>
        <w:gridCol w:w="523"/>
        <w:gridCol w:w="540"/>
        <w:gridCol w:w="438"/>
        <w:gridCol w:w="472"/>
        <w:gridCol w:w="472"/>
        <w:gridCol w:w="505"/>
        <w:gridCol w:w="507"/>
        <w:gridCol w:w="539"/>
        <w:gridCol w:w="472"/>
        <w:gridCol w:w="489"/>
        <w:gridCol w:w="472"/>
        <w:gridCol w:w="420"/>
        <w:gridCol w:w="556"/>
        <w:gridCol w:w="489"/>
        <w:gridCol w:w="556"/>
        <w:gridCol w:w="523"/>
        <w:gridCol w:w="688"/>
      </w:tblGrid>
      <w:tr w14:paraId="5E2A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6" w:type="dxa"/>
            <w:vMerge w:val="restart"/>
            <w:vAlign w:val="center"/>
          </w:tcPr>
          <w:p w14:paraId="14A694D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bookmarkStart w:id="34" w:name="PT_6"/>
            <w:r>
              <w:rPr>
                <w:rFonts w:hint="default" w:ascii="Times New Roman" w:hAnsi="Times New Roman" w:cs="Times New Roman" w:eastAsiaTheme="minorEastAsia"/>
                <w:b/>
                <w:color w:val="auto"/>
                <w:sz w:val="21"/>
                <w:szCs w:val="21"/>
              </w:rPr>
              <w:t>序号</w:t>
            </w:r>
          </w:p>
        </w:tc>
        <w:tc>
          <w:tcPr>
            <w:tcW w:w="910" w:type="dxa"/>
            <w:vMerge w:val="restart"/>
            <w:vAlign w:val="center"/>
          </w:tcPr>
          <w:p w14:paraId="0A17D44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建筑物名称</w:t>
            </w:r>
          </w:p>
        </w:tc>
        <w:tc>
          <w:tcPr>
            <w:tcW w:w="1375" w:type="dxa"/>
            <w:vMerge w:val="restart"/>
            <w:vAlign w:val="center"/>
          </w:tcPr>
          <w:p w14:paraId="70C3C34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声源名称</w:t>
            </w:r>
          </w:p>
        </w:tc>
        <w:tc>
          <w:tcPr>
            <w:tcW w:w="563" w:type="dxa"/>
            <w:vAlign w:val="center"/>
          </w:tcPr>
          <w:p w14:paraId="56404DB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
                <w:color w:val="auto"/>
                <w:sz w:val="21"/>
                <w:szCs w:val="21"/>
                <w:lang w:eastAsia="zh-CN"/>
              </w:rPr>
              <w:t>声</w:t>
            </w:r>
            <w:r>
              <w:rPr>
                <w:rFonts w:hint="eastAsia" w:cs="Times New Roman" w:eastAsiaTheme="minorEastAsia"/>
                <w:b/>
                <w:color w:val="auto"/>
                <w:sz w:val="21"/>
                <w:szCs w:val="21"/>
                <w:lang w:eastAsia="zh-CN"/>
              </w:rPr>
              <w:t>源</w:t>
            </w:r>
            <w:r>
              <w:rPr>
                <w:rFonts w:hint="default" w:ascii="Times New Roman" w:hAnsi="Times New Roman" w:cs="Times New Roman" w:eastAsiaTheme="minorEastAsia"/>
                <w:b/>
                <w:color w:val="auto"/>
                <w:sz w:val="21"/>
                <w:szCs w:val="21"/>
                <w:lang w:eastAsia="zh-CN"/>
              </w:rPr>
              <w:t>强</w:t>
            </w:r>
          </w:p>
        </w:tc>
        <w:tc>
          <w:tcPr>
            <w:tcW w:w="657" w:type="dxa"/>
            <w:vMerge w:val="restart"/>
            <w:vAlign w:val="center"/>
          </w:tcPr>
          <w:p w14:paraId="284AB22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声源控制措施</w:t>
            </w:r>
          </w:p>
        </w:tc>
        <w:tc>
          <w:tcPr>
            <w:tcW w:w="1553" w:type="dxa"/>
            <w:gridSpan w:val="3"/>
            <w:vAlign w:val="center"/>
          </w:tcPr>
          <w:p w14:paraId="54F1A1E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空间相对位置/m</w:t>
            </w:r>
          </w:p>
        </w:tc>
        <w:tc>
          <w:tcPr>
            <w:tcW w:w="1973" w:type="dxa"/>
            <w:gridSpan w:val="4"/>
            <w:vAlign w:val="center"/>
          </w:tcPr>
          <w:p w14:paraId="6CD0DC6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距室内边界距离/m</w:t>
            </w:r>
          </w:p>
        </w:tc>
        <w:tc>
          <w:tcPr>
            <w:tcW w:w="1956" w:type="dxa"/>
            <w:gridSpan w:val="4"/>
            <w:vAlign w:val="center"/>
          </w:tcPr>
          <w:p w14:paraId="77398F9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室内边界声级/dB(A)</w:t>
            </w:r>
          </w:p>
        </w:tc>
        <w:tc>
          <w:tcPr>
            <w:tcW w:w="539" w:type="dxa"/>
            <w:vMerge w:val="restart"/>
            <w:vAlign w:val="center"/>
          </w:tcPr>
          <w:p w14:paraId="368A1B0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运行时段</w:t>
            </w:r>
          </w:p>
        </w:tc>
        <w:tc>
          <w:tcPr>
            <w:tcW w:w="1853" w:type="dxa"/>
            <w:gridSpan w:val="4"/>
            <w:vAlign w:val="center"/>
          </w:tcPr>
          <w:p w14:paraId="794390D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建筑物插入损失 / dB(A)</w:t>
            </w:r>
            <w:bookmarkStart w:id="35" w:name="PT_10"/>
            <w:bookmarkEnd w:id="35"/>
          </w:p>
        </w:tc>
        <w:tc>
          <w:tcPr>
            <w:tcW w:w="2812" w:type="dxa"/>
            <w:gridSpan w:val="5"/>
            <w:vAlign w:val="center"/>
          </w:tcPr>
          <w:p w14:paraId="586988F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建筑物外噪声声压级/dB(A)</w:t>
            </w:r>
          </w:p>
        </w:tc>
      </w:tr>
      <w:tr w14:paraId="09A3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vMerge w:val="continue"/>
            <w:shd w:val="clear" w:color="auto" w:fill="FFFFFF"/>
            <w:tcMar>
              <w:top w:w="0" w:type="dxa"/>
              <w:left w:w="0" w:type="dxa"/>
              <w:bottom w:w="0" w:type="dxa"/>
              <w:right w:w="0" w:type="dxa"/>
            </w:tcMar>
            <w:vAlign w:val="center"/>
          </w:tcPr>
          <w:p w14:paraId="06EB94E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p>
        </w:tc>
        <w:tc>
          <w:tcPr>
            <w:tcW w:w="910" w:type="dxa"/>
            <w:vMerge w:val="continue"/>
            <w:shd w:val="clear" w:color="auto" w:fill="FFFFFF"/>
            <w:tcMar>
              <w:top w:w="0" w:type="dxa"/>
              <w:left w:w="0" w:type="dxa"/>
              <w:bottom w:w="0" w:type="dxa"/>
              <w:right w:w="0" w:type="dxa"/>
            </w:tcMar>
            <w:vAlign w:val="center"/>
          </w:tcPr>
          <w:p w14:paraId="6F6F291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1375" w:type="dxa"/>
            <w:vMerge w:val="continue"/>
            <w:shd w:val="clear" w:color="auto" w:fill="FFFFFF"/>
            <w:tcMar>
              <w:top w:w="0" w:type="dxa"/>
              <w:left w:w="0" w:type="dxa"/>
              <w:bottom w:w="0" w:type="dxa"/>
              <w:right w:w="0" w:type="dxa"/>
            </w:tcMar>
            <w:vAlign w:val="center"/>
          </w:tcPr>
          <w:p w14:paraId="7F6EDDF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563" w:type="dxa"/>
            <w:shd w:val="clear" w:color="auto" w:fill="FFFFFF"/>
            <w:tcMar>
              <w:top w:w="0" w:type="dxa"/>
              <w:left w:w="0" w:type="dxa"/>
              <w:bottom w:w="0" w:type="dxa"/>
              <w:right w:w="0" w:type="dxa"/>
            </w:tcMar>
            <w:vAlign w:val="center"/>
          </w:tcPr>
          <w:p w14:paraId="7B93AF4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声功率级/dB(A)</w:t>
            </w:r>
          </w:p>
        </w:tc>
        <w:tc>
          <w:tcPr>
            <w:tcW w:w="657" w:type="dxa"/>
            <w:vMerge w:val="continue"/>
            <w:shd w:val="clear" w:color="auto" w:fill="FFFFFF"/>
            <w:tcMar>
              <w:top w:w="0" w:type="dxa"/>
              <w:left w:w="0" w:type="dxa"/>
              <w:bottom w:w="0" w:type="dxa"/>
              <w:right w:w="0" w:type="dxa"/>
            </w:tcMar>
            <w:vAlign w:val="center"/>
          </w:tcPr>
          <w:p w14:paraId="7B0D9D2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507" w:type="dxa"/>
            <w:shd w:val="clear" w:color="auto" w:fill="FFFFFF"/>
            <w:tcMar>
              <w:top w:w="0" w:type="dxa"/>
              <w:left w:w="0" w:type="dxa"/>
              <w:bottom w:w="0" w:type="dxa"/>
              <w:right w:w="0" w:type="dxa"/>
            </w:tcMar>
            <w:vAlign w:val="center"/>
          </w:tcPr>
          <w:p w14:paraId="330BE61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X</w:t>
            </w:r>
          </w:p>
        </w:tc>
        <w:tc>
          <w:tcPr>
            <w:tcW w:w="523" w:type="dxa"/>
            <w:shd w:val="clear" w:color="auto" w:fill="FFFFFF"/>
            <w:tcMar>
              <w:top w:w="0" w:type="dxa"/>
              <w:left w:w="0" w:type="dxa"/>
              <w:bottom w:w="0" w:type="dxa"/>
              <w:right w:w="0" w:type="dxa"/>
            </w:tcMar>
            <w:vAlign w:val="center"/>
          </w:tcPr>
          <w:p w14:paraId="32641E7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Y</w:t>
            </w:r>
          </w:p>
        </w:tc>
        <w:tc>
          <w:tcPr>
            <w:tcW w:w="523" w:type="dxa"/>
            <w:shd w:val="clear" w:color="auto" w:fill="FFFFFF"/>
            <w:tcMar>
              <w:top w:w="0" w:type="dxa"/>
              <w:left w:w="0" w:type="dxa"/>
              <w:bottom w:w="0" w:type="dxa"/>
              <w:right w:w="0" w:type="dxa"/>
            </w:tcMar>
            <w:vAlign w:val="center"/>
          </w:tcPr>
          <w:p w14:paraId="25D2648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Z</w:t>
            </w:r>
          </w:p>
        </w:tc>
        <w:tc>
          <w:tcPr>
            <w:tcW w:w="472" w:type="dxa"/>
            <w:shd w:val="clear" w:color="auto" w:fill="FFFFFF"/>
            <w:tcMar>
              <w:top w:w="0" w:type="dxa"/>
              <w:left w:w="0" w:type="dxa"/>
              <w:bottom w:w="0" w:type="dxa"/>
              <w:right w:w="0" w:type="dxa"/>
            </w:tcMar>
            <w:vAlign w:val="center"/>
          </w:tcPr>
          <w:p w14:paraId="651C89E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东</w:t>
            </w:r>
          </w:p>
        </w:tc>
        <w:tc>
          <w:tcPr>
            <w:tcW w:w="523" w:type="dxa"/>
            <w:shd w:val="clear" w:color="auto" w:fill="FFFFFF"/>
            <w:tcMar>
              <w:top w:w="0" w:type="dxa"/>
              <w:left w:w="0" w:type="dxa"/>
              <w:bottom w:w="0" w:type="dxa"/>
              <w:right w:w="0" w:type="dxa"/>
            </w:tcMar>
            <w:vAlign w:val="center"/>
          </w:tcPr>
          <w:p w14:paraId="019C980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南</w:t>
            </w:r>
          </w:p>
        </w:tc>
        <w:tc>
          <w:tcPr>
            <w:tcW w:w="540" w:type="dxa"/>
            <w:shd w:val="clear" w:color="auto" w:fill="FFFFFF"/>
            <w:tcMar>
              <w:top w:w="0" w:type="dxa"/>
              <w:left w:w="0" w:type="dxa"/>
              <w:bottom w:w="0" w:type="dxa"/>
              <w:right w:w="0" w:type="dxa"/>
            </w:tcMar>
            <w:vAlign w:val="center"/>
          </w:tcPr>
          <w:p w14:paraId="5F5FDC5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西</w:t>
            </w:r>
          </w:p>
        </w:tc>
        <w:tc>
          <w:tcPr>
            <w:tcW w:w="438" w:type="dxa"/>
            <w:shd w:val="clear" w:color="auto" w:fill="FFFFFF"/>
            <w:tcMar>
              <w:top w:w="0" w:type="dxa"/>
              <w:left w:w="0" w:type="dxa"/>
              <w:bottom w:w="0" w:type="dxa"/>
              <w:right w:w="0" w:type="dxa"/>
            </w:tcMar>
            <w:vAlign w:val="center"/>
          </w:tcPr>
          <w:p w14:paraId="6F46C306">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北</w:t>
            </w:r>
          </w:p>
        </w:tc>
        <w:tc>
          <w:tcPr>
            <w:tcW w:w="472" w:type="dxa"/>
            <w:shd w:val="clear" w:color="auto" w:fill="FFFFFF"/>
            <w:tcMar>
              <w:top w:w="0" w:type="dxa"/>
              <w:left w:w="0" w:type="dxa"/>
              <w:bottom w:w="0" w:type="dxa"/>
              <w:right w:w="0" w:type="dxa"/>
            </w:tcMar>
            <w:vAlign w:val="center"/>
          </w:tcPr>
          <w:p w14:paraId="12AC589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东</w:t>
            </w:r>
          </w:p>
        </w:tc>
        <w:tc>
          <w:tcPr>
            <w:tcW w:w="472" w:type="dxa"/>
            <w:shd w:val="clear" w:color="auto" w:fill="FFFFFF"/>
            <w:tcMar>
              <w:top w:w="0" w:type="dxa"/>
              <w:left w:w="0" w:type="dxa"/>
              <w:bottom w:w="0" w:type="dxa"/>
              <w:right w:w="0" w:type="dxa"/>
            </w:tcMar>
            <w:vAlign w:val="center"/>
          </w:tcPr>
          <w:p w14:paraId="6E46DEA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南</w:t>
            </w:r>
          </w:p>
        </w:tc>
        <w:tc>
          <w:tcPr>
            <w:tcW w:w="505" w:type="dxa"/>
            <w:shd w:val="clear" w:color="auto" w:fill="FFFFFF"/>
            <w:tcMar>
              <w:top w:w="0" w:type="dxa"/>
              <w:left w:w="0" w:type="dxa"/>
              <w:bottom w:w="0" w:type="dxa"/>
              <w:right w:w="0" w:type="dxa"/>
            </w:tcMar>
            <w:vAlign w:val="center"/>
          </w:tcPr>
          <w:p w14:paraId="349EFCE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西</w:t>
            </w:r>
          </w:p>
        </w:tc>
        <w:tc>
          <w:tcPr>
            <w:tcW w:w="507" w:type="dxa"/>
            <w:shd w:val="clear" w:color="auto" w:fill="FFFFFF"/>
            <w:tcMar>
              <w:top w:w="0" w:type="dxa"/>
              <w:left w:w="0" w:type="dxa"/>
              <w:bottom w:w="0" w:type="dxa"/>
              <w:right w:w="0" w:type="dxa"/>
            </w:tcMar>
            <w:vAlign w:val="center"/>
          </w:tcPr>
          <w:p w14:paraId="799CDE4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北</w:t>
            </w:r>
          </w:p>
        </w:tc>
        <w:tc>
          <w:tcPr>
            <w:tcW w:w="539" w:type="dxa"/>
            <w:vMerge w:val="continue"/>
            <w:shd w:val="clear" w:color="auto" w:fill="FFFFFF"/>
            <w:tcMar>
              <w:top w:w="0" w:type="dxa"/>
              <w:left w:w="0" w:type="dxa"/>
              <w:bottom w:w="0" w:type="dxa"/>
              <w:right w:w="0" w:type="dxa"/>
            </w:tcMar>
            <w:vAlign w:val="center"/>
          </w:tcPr>
          <w:p w14:paraId="7E77B75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p>
        </w:tc>
        <w:tc>
          <w:tcPr>
            <w:tcW w:w="472" w:type="dxa"/>
            <w:shd w:val="clear" w:color="auto" w:fill="FFFFFF"/>
            <w:tcMar>
              <w:top w:w="0" w:type="dxa"/>
              <w:left w:w="0" w:type="dxa"/>
              <w:bottom w:w="0" w:type="dxa"/>
              <w:right w:w="0" w:type="dxa"/>
            </w:tcMar>
            <w:vAlign w:val="center"/>
          </w:tcPr>
          <w:p w14:paraId="17E5BFF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东</w:t>
            </w:r>
          </w:p>
        </w:tc>
        <w:tc>
          <w:tcPr>
            <w:tcW w:w="489" w:type="dxa"/>
            <w:shd w:val="clear" w:color="auto" w:fill="FFFFFF"/>
            <w:tcMar>
              <w:top w:w="0" w:type="dxa"/>
              <w:left w:w="0" w:type="dxa"/>
              <w:bottom w:w="0" w:type="dxa"/>
              <w:right w:w="0" w:type="dxa"/>
            </w:tcMar>
            <w:vAlign w:val="center"/>
          </w:tcPr>
          <w:p w14:paraId="54BB7189">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南</w:t>
            </w:r>
          </w:p>
        </w:tc>
        <w:tc>
          <w:tcPr>
            <w:tcW w:w="472" w:type="dxa"/>
            <w:shd w:val="clear" w:color="auto" w:fill="FFFFFF"/>
            <w:tcMar>
              <w:top w:w="0" w:type="dxa"/>
              <w:left w:w="0" w:type="dxa"/>
              <w:bottom w:w="0" w:type="dxa"/>
              <w:right w:w="0" w:type="dxa"/>
            </w:tcMar>
            <w:vAlign w:val="center"/>
          </w:tcPr>
          <w:p w14:paraId="340EF61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西</w:t>
            </w:r>
          </w:p>
        </w:tc>
        <w:tc>
          <w:tcPr>
            <w:tcW w:w="420" w:type="dxa"/>
            <w:shd w:val="clear" w:color="auto" w:fill="FFFFFF"/>
            <w:tcMar>
              <w:top w:w="0" w:type="dxa"/>
              <w:left w:w="0" w:type="dxa"/>
              <w:bottom w:w="0" w:type="dxa"/>
              <w:right w:w="0" w:type="dxa"/>
            </w:tcMar>
            <w:vAlign w:val="center"/>
          </w:tcPr>
          <w:p w14:paraId="6F0A49E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北</w:t>
            </w:r>
          </w:p>
        </w:tc>
        <w:tc>
          <w:tcPr>
            <w:tcW w:w="556" w:type="dxa"/>
            <w:shd w:val="clear" w:color="auto" w:fill="FFFFFF"/>
            <w:tcMar>
              <w:top w:w="0" w:type="dxa"/>
              <w:left w:w="0" w:type="dxa"/>
              <w:bottom w:w="0" w:type="dxa"/>
              <w:right w:w="0" w:type="dxa"/>
            </w:tcMar>
            <w:vAlign w:val="center"/>
          </w:tcPr>
          <w:p w14:paraId="0B270B6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东</w:t>
            </w:r>
          </w:p>
        </w:tc>
        <w:tc>
          <w:tcPr>
            <w:tcW w:w="489" w:type="dxa"/>
            <w:shd w:val="clear" w:color="auto" w:fill="FFFFFF"/>
            <w:tcMar>
              <w:top w:w="0" w:type="dxa"/>
              <w:left w:w="0" w:type="dxa"/>
              <w:bottom w:w="0" w:type="dxa"/>
              <w:right w:w="0" w:type="dxa"/>
            </w:tcMar>
            <w:vAlign w:val="center"/>
          </w:tcPr>
          <w:p w14:paraId="11D61985">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南</w:t>
            </w:r>
          </w:p>
        </w:tc>
        <w:tc>
          <w:tcPr>
            <w:tcW w:w="556" w:type="dxa"/>
            <w:shd w:val="clear" w:color="auto" w:fill="FFFFFF"/>
            <w:tcMar>
              <w:top w:w="0" w:type="dxa"/>
              <w:left w:w="0" w:type="dxa"/>
              <w:bottom w:w="0" w:type="dxa"/>
              <w:right w:w="0" w:type="dxa"/>
            </w:tcMar>
            <w:vAlign w:val="center"/>
          </w:tcPr>
          <w:p w14:paraId="7161AEA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西</w:t>
            </w:r>
          </w:p>
        </w:tc>
        <w:tc>
          <w:tcPr>
            <w:tcW w:w="523" w:type="dxa"/>
            <w:shd w:val="clear" w:color="auto" w:fill="FFFFFF"/>
            <w:tcMar>
              <w:top w:w="0" w:type="dxa"/>
              <w:left w:w="0" w:type="dxa"/>
              <w:bottom w:w="0" w:type="dxa"/>
              <w:right w:w="0" w:type="dxa"/>
            </w:tcMar>
            <w:vAlign w:val="center"/>
          </w:tcPr>
          <w:p w14:paraId="099CB86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北</w:t>
            </w:r>
          </w:p>
        </w:tc>
        <w:tc>
          <w:tcPr>
            <w:tcW w:w="688" w:type="dxa"/>
            <w:shd w:val="clear" w:color="auto" w:fill="FFFFFF"/>
            <w:tcMar>
              <w:top w:w="0" w:type="dxa"/>
              <w:left w:w="0" w:type="dxa"/>
              <w:bottom w:w="0" w:type="dxa"/>
              <w:right w:w="0" w:type="dxa"/>
            </w:tcMar>
            <w:vAlign w:val="center"/>
          </w:tcPr>
          <w:p w14:paraId="10FE6F3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建筑物外距离</w:t>
            </w:r>
          </w:p>
        </w:tc>
      </w:tr>
      <w:tr w14:paraId="6C13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shd w:val="clear" w:color="auto" w:fill="FFFFFF"/>
            <w:tcMar>
              <w:top w:w="0" w:type="dxa"/>
              <w:left w:w="0" w:type="dxa"/>
              <w:bottom w:w="0" w:type="dxa"/>
              <w:right w:w="0" w:type="dxa"/>
            </w:tcMar>
            <w:vAlign w:val="center"/>
          </w:tcPr>
          <w:p w14:paraId="496B7CC3">
            <w:pPr>
              <w:keepNext w:val="0"/>
              <w:keepLines w:val="0"/>
              <w:suppressLineNumbers w:val="0"/>
              <w:spacing w:before="0" w:beforeAutospacing="0" w:after="0" w:afterAutospacing="0"/>
              <w:ind w:left="0" w:right="0"/>
              <w:jc w:val="center"/>
              <w:rPr>
                <w:rFonts w:hint="default"/>
                <w:color w:val="auto"/>
                <w:sz w:val="21"/>
                <w:szCs w:val="21"/>
              </w:rPr>
            </w:pPr>
            <w:r>
              <w:rPr>
                <w:rFonts w:hint="default" w:ascii="Arial" w:hAnsi="Arial" w:eastAsia="Arial" w:cs="Arial"/>
                <w:color w:val="auto"/>
                <w:sz w:val="21"/>
                <w:szCs w:val="21"/>
              </w:rPr>
              <w:t>1</w:t>
            </w:r>
          </w:p>
        </w:tc>
        <w:tc>
          <w:tcPr>
            <w:tcW w:w="910" w:type="dxa"/>
            <w:shd w:val="clear" w:color="auto" w:fill="FFFFFF"/>
            <w:tcMar>
              <w:top w:w="0" w:type="dxa"/>
              <w:left w:w="0" w:type="dxa"/>
              <w:bottom w:w="0" w:type="dxa"/>
              <w:right w:w="0" w:type="dxa"/>
            </w:tcMar>
            <w:vAlign w:val="center"/>
          </w:tcPr>
          <w:p w14:paraId="209B68B5">
            <w:pPr>
              <w:keepNext w:val="0"/>
              <w:keepLines w:val="0"/>
              <w:suppressLineNumbers w:val="0"/>
              <w:spacing w:before="0" w:beforeAutospacing="0" w:after="0" w:afterAutospacing="0"/>
              <w:ind w:left="0" w:right="0"/>
              <w:jc w:val="center"/>
              <w:rPr>
                <w:rFonts w:hint="default"/>
                <w:color w:val="auto"/>
                <w:sz w:val="21"/>
                <w:szCs w:val="21"/>
              </w:rPr>
            </w:pPr>
            <w:r>
              <w:rPr>
                <w:rFonts w:hint="default" w:ascii="Arial" w:hAnsi="Arial" w:eastAsia="Arial" w:cs="Arial"/>
                <w:color w:val="auto"/>
                <w:sz w:val="21"/>
                <w:szCs w:val="21"/>
              </w:rPr>
              <w:t>生产厂房</w:t>
            </w:r>
          </w:p>
        </w:tc>
        <w:tc>
          <w:tcPr>
            <w:tcW w:w="1375" w:type="dxa"/>
            <w:shd w:val="clear" w:color="auto" w:fill="FFFFFF"/>
            <w:tcMar>
              <w:top w:w="0" w:type="dxa"/>
              <w:left w:w="0" w:type="dxa"/>
              <w:bottom w:w="0" w:type="dxa"/>
              <w:right w:w="0" w:type="dxa"/>
            </w:tcMar>
            <w:vAlign w:val="center"/>
          </w:tcPr>
          <w:p w14:paraId="41906DAA">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lang w:val="en-US"/>
              </w:rPr>
            </w:pPr>
            <w:r>
              <w:rPr>
                <w:rFonts w:hint="eastAsia" w:ascii="Arial" w:hAnsi="Arial" w:cs="Arial"/>
                <w:color w:val="auto"/>
                <w:sz w:val="21"/>
                <w:szCs w:val="21"/>
                <w:lang w:val="en-US" w:eastAsia="zh-CN"/>
              </w:rPr>
              <w:t>卧式浸渍烘干一体机1</w:t>
            </w:r>
          </w:p>
        </w:tc>
        <w:tc>
          <w:tcPr>
            <w:tcW w:w="563" w:type="dxa"/>
            <w:shd w:val="clear" w:color="auto" w:fill="FFFFFF"/>
            <w:tcMar>
              <w:top w:w="0" w:type="dxa"/>
              <w:left w:w="0" w:type="dxa"/>
              <w:bottom w:w="0" w:type="dxa"/>
              <w:right w:w="0" w:type="dxa"/>
            </w:tcMar>
            <w:vAlign w:val="center"/>
          </w:tcPr>
          <w:p w14:paraId="379B1A0C">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rPr>
            </w:pPr>
            <w:r>
              <w:rPr>
                <w:rFonts w:hint="default" w:ascii="Arial" w:hAnsi="Arial" w:eastAsia="Arial" w:cs="Arial"/>
                <w:color w:val="auto"/>
                <w:sz w:val="21"/>
                <w:szCs w:val="21"/>
              </w:rPr>
              <w:t>85</w:t>
            </w:r>
          </w:p>
        </w:tc>
        <w:tc>
          <w:tcPr>
            <w:tcW w:w="657" w:type="dxa"/>
            <w:vMerge w:val="restart"/>
            <w:shd w:val="clear" w:color="auto" w:fill="FFFFFF"/>
            <w:tcMar>
              <w:top w:w="0" w:type="dxa"/>
              <w:left w:w="0" w:type="dxa"/>
              <w:bottom w:w="0" w:type="dxa"/>
              <w:right w:w="0" w:type="dxa"/>
            </w:tcMar>
            <w:vAlign w:val="center"/>
          </w:tcPr>
          <w:p w14:paraId="2B69C45C">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rPr>
            </w:pPr>
            <w:r>
              <w:rPr>
                <w:rFonts w:hint="default" w:ascii="Arial" w:hAnsi="Arial" w:eastAsia="Arial" w:cs="Arial"/>
                <w:color w:val="auto"/>
                <w:sz w:val="21"/>
                <w:szCs w:val="21"/>
              </w:rPr>
              <w:t>减振基座、厂房隔声、距离衰减</w:t>
            </w:r>
          </w:p>
        </w:tc>
        <w:tc>
          <w:tcPr>
            <w:tcW w:w="507" w:type="dxa"/>
            <w:shd w:val="clear" w:color="auto" w:fill="FFFFFF"/>
            <w:tcMar>
              <w:top w:w="0" w:type="dxa"/>
              <w:left w:w="0" w:type="dxa"/>
              <w:bottom w:w="0" w:type="dxa"/>
              <w:right w:w="0" w:type="dxa"/>
            </w:tcMar>
            <w:vAlign w:val="center"/>
          </w:tcPr>
          <w:p w14:paraId="23BEE359">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14.4</w:t>
            </w:r>
          </w:p>
        </w:tc>
        <w:tc>
          <w:tcPr>
            <w:tcW w:w="523" w:type="dxa"/>
            <w:shd w:val="clear" w:color="auto" w:fill="FFFFFF"/>
            <w:tcMar>
              <w:top w:w="0" w:type="dxa"/>
              <w:left w:w="0" w:type="dxa"/>
              <w:bottom w:w="0" w:type="dxa"/>
              <w:right w:w="0" w:type="dxa"/>
            </w:tcMar>
            <w:vAlign w:val="center"/>
          </w:tcPr>
          <w:p w14:paraId="5502E2ED">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-19.9</w:t>
            </w:r>
          </w:p>
        </w:tc>
        <w:tc>
          <w:tcPr>
            <w:tcW w:w="523" w:type="dxa"/>
            <w:shd w:val="clear" w:color="auto" w:fill="FFFFFF"/>
            <w:tcMar>
              <w:top w:w="0" w:type="dxa"/>
              <w:left w:w="0" w:type="dxa"/>
              <w:bottom w:w="0" w:type="dxa"/>
              <w:right w:w="0" w:type="dxa"/>
            </w:tcMar>
            <w:vAlign w:val="center"/>
          </w:tcPr>
          <w:p w14:paraId="04E4BF34">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1.2</w:t>
            </w:r>
          </w:p>
        </w:tc>
        <w:tc>
          <w:tcPr>
            <w:tcW w:w="472" w:type="dxa"/>
            <w:shd w:val="clear" w:color="auto" w:fill="FFFFFF"/>
            <w:tcMar>
              <w:top w:w="0" w:type="dxa"/>
              <w:left w:w="0" w:type="dxa"/>
              <w:bottom w:w="0" w:type="dxa"/>
              <w:right w:w="0" w:type="dxa"/>
            </w:tcMar>
            <w:vAlign w:val="center"/>
          </w:tcPr>
          <w:p w14:paraId="7B5969D9">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10.7</w:t>
            </w:r>
          </w:p>
        </w:tc>
        <w:tc>
          <w:tcPr>
            <w:tcW w:w="523" w:type="dxa"/>
            <w:shd w:val="clear" w:color="auto" w:fill="FFFFFF"/>
            <w:tcMar>
              <w:top w:w="0" w:type="dxa"/>
              <w:left w:w="0" w:type="dxa"/>
              <w:bottom w:w="0" w:type="dxa"/>
              <w:right w:w="0" w:type="dxa"/>
            </w:tcMar>
            <w:vAlign w:val="center"/>
          </w:tcPr>
          <w:p w14:paraId="761C6543">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31.3</w:t>
            </w:r>
          </w:p>
        </w:tc>
        <w:tc>
          <w:tcPr>
            <w:tcW w:w="540" w:type="dxa"/>
            <w:shd w:val="clear" w:color="auto" w:fill="FFFFFF"/>
            <w:tcMar>
              <w:top w:w="0" w:type="dxa"/>
              <w:left w:w="0" w:type="dxa"/>
              <w:bottom w:w="0" w:type="dxa"/>
              <w:right w:w="0" w:type="dxa"/>
            </w:tcMar>
            <w:vAlign w:val="center"/>
          </w:tcPr>
          <w:p w14:paraId="6CBFA3FB">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38.0</w:t>
            </w:r>
          </w:p>
        </w:tc>
        <w:tc>
          <w:tcPr>
            <w:tcW w:w="438" w:type="dxa"/>
            <w:shd w:val="clear" w:color="auto" w:fill="FFFFFF"/>
            <w:tcMar>
              <w:top w:w="0" w:type="dxa"/>
              <w:left w:w="0" w:type="dxa"/>
              <w:bottom w:w="0" w:type="dxa"/>
              <w:right w:w="0" w:type="dxa"/>
            </w:tcMar>
            <w:vAlign w:val="center"/>
          </w:tcPr>
          <w:p w14:paraId="0BA5E9C0">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50.4</w:t>
            </w:r>
          </w:p>
        </w:tc>
        <w:tc>
          <w:tcPr>
            <w:tcW w:w="472" w:type="dxa"/>
            <w:shd w:val="clear" w:color="auto" w:fill="FFFFFF"/>
            <w:tcMar>
              <w:top w:w="0" w:type="dxa"/>
              <w:left w:w="0" w:type="dxa"/>
              <w:bottom w:w="0" w:type="dxa"/>
              <w:right w:w="0" w:type="dxa"/>
            </w:tcMar>
            <w:vAlign w:val="center"/>
          </w:tcPr>
          <w:p w14:paraId="52F850C2">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67.6</w:t>
            </w:r>
          </w:p>
        </w:tc>
        <w:tc>
          <w:tcPr>
            <w:tcW w:w="472" w:type="dxa"/>
            <w:shd w:val="clear" w:color="auto" w:fill="FFFFFF"/>
            <w:tcMar>
              <w:top w:w="0" w:type="dxa"/>
              <w:left w:w="0" w:type="dxa"/>
              <w:bottom w:w="0" w:type="dxa"/>
              <w:right w:w="0" w:type="dxa"/>
            </w:tcMar>
            <w:vAlign w:val="center"/>
          </w:tcPr>
          <w:p w14:paraId="78D66F4D">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67.4</w:t>
            </w:r>
          </w:p>
        </w:tc>
        <w:tc>
          <w:tcPr>
            <w:tcW w:w="505" w:type="dxa"/>
            <w:shd w:val="clear" w:color="auto" w:fill="FFFFFF"/>
            <w:tcMar>
              <w:top w:w="0" w:type="dxa"/>
              <w:left w:w="0" w:type="dxa"/>
              <w:bottom w:w="0" w:type="dxa"/>
              <w:right w:w="0" w:type="dxa"/>
            </w:tcMar>
            <w:vAlign w:val="center"/>
          </w:tcPr>
          <w:p w14:paraId="000F235D">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67.4</w:t>
            </w:r>
          </w:p>
        </w:tc>
        <w:tc>
          <w:tcPr>
            <w:tcW w:w="507" w:type="dxa"/>
            <w:shd w:val="clear" w:color="auto" w:fill="FFFFFF"/>
            <w:tcMar>
              <w:top w:w="0" w:type="dxa"/>
              <w:left w:w="0" w:type="dxa"/>
              <w:bottom w:w="0" w:type="dxa"/>
              <w:right w:w="0" w:type="dxa"/>
            </w:tcMar>
            <w:vAlign w:val="center"/>
          </w:tcPr>
          <w:p w14:paraId="49C209BB">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67.4</w:t>
            </w:r>
          </w:p>
        </w:tc>
        <w:tc>
          <w:tcPr>
            <w:tcW w:w="539" w:type="dxa"/>
            <w:vMerge w:val="restart"/>
            <w:shd w:val="clear" w:color="auto" w:fill="FFFFFF"/>
            <w:tcMar>
              <w:top w:w="0" w:type="dxa"/>
              <w:left w:w="0" w:type="dxa"/>
              <w:bottom w:w="0" w:type="dxa"/>
              <w:right w:w="0" w:type="dxa"/>
            </w:tcMar>
            <w:vAlign w:val="center"/>
          </w:tcPr>
          <w:p w14:paraId="4081EF7A">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ascii="Arial" w:hAnsi="Arial" w:eastAsia="宋体" w:cs="Arial"/>
                <w:color w:val="auto"/>
                <w:sz w:val="21"/>
                <w:szCs w:val="21"/>
                <w:highlight w:val="none"/>
                <w:lang w:val="en-US" w:eastAsia="zh-CN"/>
              </w:rPr>
              <w:t>昼间</w:t>
            </w:r>
          </w:p>
        </w:tc>
        <w:tc>
          <w:tcPr>
            <w:tcW w:w="472" w:type="dxa"/>
            <w:shd w:val="clear" w:color="auto" w:fill="FFFFFF"/>
            <w:tcMar>
              <w:top w:w="0" w:type="dxa"/>
              <w:left w:w="0" w:type="dxa"/>
              <w:bottom w:w="0" w:type="dxa"/>
              <w:right w:w="0" w:type="dxa"/>
            </w:tcMar>
            <w:vAlign w:val="center"/>
          </w:tcPr>
          <w:p w14:paraId="2DCB112B">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default" w:ascii="Arial" w:hAnsi="Arial" w:eastAsia="Arial" w:cs="Arial"/>
                <w:color w:val="auto"/>
                <w:sz w:val="20"/>
                <w:highlight w:val="none"/>
              </w:rPr>
              <w:t>2</w:t>
            </w:r>
            <w:r>
              <w:rPr>
                <w:rFonts w:hint="eastAsia" w:ascii="Arial" w:hAnsi="Arial" w:eastAsia="宋体" w:cs="Arial"/>
                <w:color w:val="auto"/>
                <w:sz w:val="20"/>
                <w:highlight w:val="none"/>
                <w:lang w:val="en-US" w:eastAsia="zh-CN"/>
              </w:rPr>
              <w:t>0.0</w:t>
            </w:r>
          </w:p>
        </w:tc>
        <w:tc>
          <w:tcPr>
            <w:tcW w:w="489" w:type="dxa"/>
            <w:shd w:val="clear" w:color="auto" w:fill="FFFFFF"/>
            <w:tcMar>
              <w:top w:w="0" w:type="dxa"/>
              <w:left w:w="0" w:type="dxa"/>
              <w:bottom w:w="0" w:type="dxa"/>
              <w:right w:w="0" w:type="dxa"/>
            </w:tcMar>
            <w:vAlign w:val="center"/>
          </w:tcPr>
          <w:p w14:paraId="05973A57">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highlight w:val="none"/>
              </w:rPr>
              <w:t>2</w:t>
            </w:r>
            <w:r>
              <w:rPr>
                <w:rFonts w:hint="eastAsia" w:ascii="Arial" w:hAnsi="Arial" w:eastAsia="宋体" w:cs="Arial"/>
                <w:color w:val="auto"/>
                <w:sz w:val="20"/>
                <w:highlight w:val="none"/>
                <w:lang w:val="en-US" w:eastAsia="zh-CN"/>
              </w:rPr>
              <w:t>0.0</w:t>
            </w:r>
          </w:p>
        </w:tc>
        <w:tc>
          <w:tcPr>
            <w:tcW w:w="472" w:type="dxa"/>
            <w:shd w:val="clear" w:color="auto" w:fill="FFFFFF"/>
            <w:tcMar>
              <w:top w:w="0" w:type="dxa"/>
              <w:left w:w="0" w:type="dxa"/>
              <w:bottom w:w="0" w:type="dxa"/>
              <w:right w:w="0" w:type="dxa"/>
            </w:tcMar>
            <w:vAlign w:val="center"/>
          </w:tcPr>
          <w:p w14:paraId="5DD90E27">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highlight w:val="none"/>
              </w:rPr>
              <w:t>2</w:t>
            </w:r>
            <w:r>
              <w:rPr>
                <w:rFonts w:hint="eastAsia" w:ascii="Arial" w:hAnsi="Arial" w:eastAsia="宋体" w:cs="Arial"/>
                <w:color w:val="auto"/>
                <w:sz w:val="20"/>
                <w:highlight w:val="none"/>
                <w:lang w:val="en-US" w:eastAsia="zh-CN"/>
              </w:rPr>
              <w:t>0.0</w:t>
            </w:r>
          </w:p>
        </w:tc>
        <w:tc>
          <w:tcPr>
            <w:tcW w:w="420" w:type="dxa"/>
            <w:shd w:val="clear" w:color="auto" w:fill="FFFFFF"/>
            <w:tcMar>
              <w:top w:w="0" w:type="dxa"/>
              <w:left w:w="0" w:type="dxa"/>
              <w:bottom w:w="0" w:type="dxa"/>
              <w:right w:w="0" w:type="dxa"/>
            </w:tcMar>
            <w:vAlign w:val="center"/>
          </w:tcPr>
          <w:p w14:paraId="2D4C0121">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highlight w:val="none"/>
              </w:rPr>
              <w:t>2</w:t>
            </w:r>
            <w:r>
              <w:rPr>
                <w:rFonts w:hint="eastAsia" w:ascii="Arial" w:hAnsi="Arial" w:eastAsia="宋体" w:cs="Arial"/>
                <w:color w:val="auto"/>
                <w:sz w:val="20"/>
                <w:highlight w:val="none"/>
                <w:lang w:val="en-US" w:eastAsia="zh-CN"/>
              </w:rPr>
              <w:t>0.0</w:t>
            </w:r>
          </w:p>
        </w:tc>
        <w:tc>
          <w:tcPr>
            <w:tcW w:w="556" w:type="dxa"/>
            <w:shd w:val="clear" w:color="auto" w:fill="FFFFFF"/>
            <w:tcMar>
              <w:top w:w="0" w:type="dxa"/>
              <w:left w:w="0" w:type="dxa"/>
              <w:bottom w:w="0" w:type="dxa"/>
              <w:right w:w="0" w:type="dxa"/>
            </w:tcMar>
            <w:vAlign w:val="center"/>
          </w:tcPr>
          <w:p w14:paraId="233994EF">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0"/>
                <w:highlight w:val="none"/>
                <w:lang w:val="en-US" w:eastAsia="zh-CN"/>
              </w:rPr>
              <w:t>47.6</w:t>
            </w:r>
          </w:p>
        </w:tc>
        <w:tc>
          <w:tcPr>
            <w:tcW w:w="489" w:type="dxa"/>
            <w:shd w:val="clear" w:color="auto" w:fill="FFFFFF"/>
            <w:tcMar>
              <w:top w:w="0" w:type="dxa"/>
              <w:left w:w="0" w:type="dxa"/>
              <w:bottom w:w="0" w:type="dxa"/>
              <w:right w:w="0" w:type="dxa"/>
            </w:tcMar>
            <w:vAlign w:val="center"/>
          </w:tcPr>
          <w:p w14:paraId="1D1CE179">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0"/>
                <w:highlight w:val="none"/>
                <w:lang w:val="en-US" w:eastAsia="zh-CN"/>
              </w:rPr>
              <w:t>47.4</w:t>
            </w:r>
          </w:p>
        </w:tc>
        <w:tc>
          <w:tcPr>
            <w:tcW w:w="556" w:type="dxa"/>
            <w:shd w:val="clear" w:color="auto" w:fill="FFFFFF"/>
            <w:tcMar>
              <w:top w:w="0" w:type="dxa"/>
              <w:left w:w="0" w:type="dxa"/>
              <w:bottom w:w="0" w:type="dxa"/>
              <w:right w:w="0" w:type="dxa"/>
            </w:tcMar>
            <w:vAlign w:val="center"/>
          </w:tcPr>
          <w:p w14:paraId="22EB222F">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0"/>
                <w:highlight w:val="none"/>
                <w:lang w:val="en-US" w:eastAsia="zh-CN"/>
              </w:rPr>
              <w:t>47.4</w:t>
            </w:r>
          </w:p>
        </w:tc>
        <w:tc>
          <w:tcPr>
            <w:tcW w:w="523" w:type="dxa"/>
            <w:shd w:val="clear" w:color="auto" w:fill="FFFFFF"/>
            <w:tcMar>
              <w:top w:w="0" w:type="dxa"/>
              <w:left w:w="0" w:type="dxa"/>
              <w:bottom w:w="0" w:type="dxa"/>
              <w:right w:w="0" w:type="dxa"/>
            </w:tcMar>
            <w:vAlign w:val="center"/>
          </w:tcPr>
          <w:p w14:paraId="3C9C70BD">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0"/>
                <w:highlight w:val="none"/>
                <w:lang w:val="en-US" w:eastAsia="zh-CN"/>
              </w:rPr>
              <w:t>47.4</w:t>
            </w:r>
          </w:p>
        </w:tc>
        <w:tc>
          <w:tcPr>
            <w:tcW w:w="688" w:type="dxa"/>
            <w:shd w:val="clear" w:color="auto" w:fill="FFFFFF"/>
            <w:tcMar>
              <w:top w:w="0" w:type="dxa"/>
              <w:left w:w="0" w:type="dxa"/>
              <w:bottom w:w="0" w:type="dxa"/>
              <w:right w:w="0" w:type="dxa"/>
            </w:tcMar>
            <w:vAlign w:val="center"/>
          </w:tcPr>
          <w:p w14:paraId="4061954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ascii="Arial" w:hAnsi="Arial" w:eastAsia="Arial" w:cs="Arial"/>
                <w:color w:val="auto"/>
                <w:sz w:val="21"/>
                <w:szCs w:val="21"/>
                <w:highlight w:val="none"/>
              </w:rPr>
              <w:t>1</w:t>
            </w:r>
          </w:p>
        </w:tc>
      </w:tr>
      <w:tr w14:paraId="450A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shd w:val="clear" w:color="auto" w:fill="FFFFFF"/>
            <w:tcMar>
              <w:top w:w="0" w:type="dxa"/>
              <w:left w:w="0" w:type="dxa"/>
              <w:bottom w:w="0" w:type="dxa"/>
              <w:right w:w="0" w:type="dxa"/>
            </w:tcMar>
            <w:vAlign w:val="center"/>
          </w:tcPr>
          <w:p w14:paraId="70FD8B6F">
            <w:pPr>
              <w:keepNext w:val="0"/>
              <w:keepLines w:val="0"/>
              <w:suppressLineNumbers w:val="0"/>
              <w:spacing w:before="0" w:beforeAutospacing="0" w:after="0" w:afterAutospacing="0"/>
              <w:ind w:left="0" w:right="0"/>
              <w:jc w:val="center"/>
              <w:rPr>
                <w:rFonts w:hint="default"/>
                <w:color w:val="auto"/>
                <w:sz w:val="21"/>
                <w:szCs w:val="21"/>
              </w:rPr>
            </w:pPr>
            <w:r>
              <w:rPr>
                <w:rFonts w:hint="default" w:ascii="Arial" w:hAnsi="Arial" w:eastAsia="Arial" w:cs="Arial"/>
                <w:color w:val="auto"/>
                <w:sz w:val="21"/>
                <w:szCs w:val="21"/>
              </w:rPr>
              <w:t>2</w:t>
            </w:r>
          </w:p>
        </w:tc>
        <w:tc>
          <w:tcPr>
            <w:tcW w:w="910" w:type="dxa"/>
            <w:shd w:val="clear" w:color="auto" w:fill="FFFFFF"/>
            <w:tcMar>
              <w:top w:w="0" w:type="dxa"/>
              <w:left w:w="0" w:type="dxa"/>
              <w:bottom w:w="0" w:type="dxa"/>
              <w:right w:w="0" w:type="dxa"/>
            </w:tcMar>
            <w:vAlign w:val="center"/>
          </w:tcPr>
          <w:p w14:paraId="4A95ED7E">
            <w:pPr>
              <w:keepNext w:val="0"/>
              <w:keepLines w:val="0"/>
              <w:suppressLineNumbers w:val="0"/>
              <w:spacing w:before="0" w:beforeAutospacing="0" w:after="0" w:afterAutospacing="0"/>
              <w:ind w:left="0" w:right="0"/>
              <w:jc w:val="center"/>
              <w:rPr>
                <w:rFonts w:hint="default"/>
                <w:color w:val="auto"/>
                <w:sz w:val="21"/>
                <w:szCs w:val="21"/>
              </w:rPr>
            </w:pPr>
            <w:r>
              <w:rPr>
                <w:rFonts w:hint="default" w:ascii="Arial" w:hAnsi="Arial" w:eastAsia="Arial" w:cs="Arial"/>
                <w:color w:val="auto"/>
                <w:sz w:val="21"/>
                <w:szCs w:val="21"/>
              </w:rPr>
              <w:t>生产厂房</w:t>
            </w:r>
          </w:p>
        </w:tc>
        <w:tc>
          <w:tcPr>
            <w:tcW w:w="1375" w:type="dxa"/>
            <w:shd w:val="clear" w:color="auto" w:fill="FFFFFF"/>
            <w:tcMar>
              <w:top w:w="0" w:type="dxa"/>
              <w:left w:w="0" w:type="dxa"/>
              <w:bottom w:w="0" w:type="dxa"/>
              <w:right w:w="0" w:type="dxa"/>
            </w:tcMar>
            <w:vAlign w:val="center"/>
          </w:tcPr>
          <w:p w14:paraId="5237C0C2">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rPr>
            </w:pPr>
            <w:r>
              <w:rPr>
                <w:rFonts w:hint="eastAsia" w:ascii="Arial" w:hAnsi="Arial" w:cs="Arial"/>
                <w:color w:val="auto"/>
                <w:sz w:val="21"/>
                <w:szCs w:val="21"/>
                <w:lang w:val="en-US" w:eastAsia="zh-CN"/>
              </w:rPr>
              <w:t>卧式浸渍烘干一体机2</w:t>
            </w:r>
          </w:p>
        </w:tc>
        <w:tc>
          <w:tcPr>
            <w:tcW w:w="563" w:type="dxa"/>
            <w:shd w:val="clear" w:color="auto" w:fill="FFFFFF"/>
            <w:tcMar>
              <w:top w:w="0" w:type="dxa"/>
              <w:left w:w="0" w:type="dxa"/>
              <w:bottom w:w="0" w:type="dxa"/>
              <w:right w:w="0" w:type="dxa"/>
            </w:tcMar>
            <w:vAlign w:val="center"/>
          </w:tcPr>
          <w:p w14:paraId="23947072">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rPr>
            </w:pPr>
            <w:r>
              <w:rPr>
                <w:rFonts w:hint="default" w:ascii="Arial" w:hAnsi="Arial" w:eastAsia="Arial" w:cs="Arial"/>
                <w:color w:val="auto"/>
                <w:sz w:val="21"/>
                <w:szCs w:val="21"/>
              </w:rPr>
              <w:t>85</w:t>
            </w:r>
          </w:p>
        </w:tc>
        <w:tc>
          <w:tcPr>
            <w:tcW w:w="657" w:type="dxa"/>
            <w:vMerge w:val="continue"/>
            <w:shd w:val="clear" w:color="auto" w:fill="FFFFFF"/>
            <w:tcMar>
              <w:top w:w="0" w:type="dxa"/>
              <w:left w:w="0" w:type="dxa"/>
              <w:bottom w:w="0" w:type="dxa"/>
              <w:right w:w="0" w:type="dxa"/>
            </w:tcMar>
            <w:vAlign w:val="center"/>
          </w:tcPr>
          <w:p w14:paraId="358133D9">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rPr>
            </w:pPr>
          </w:p>
        </w:tc>
        <w:tc>
          <w:tcPr>
            <w:tcW w:w="507" w:type="dxa"/>
            <w:shd w:val="clear" w:color="auto" w:fill="FFFFFF"/>
            <w:tcMar>
              <w:top w:w="0" w:type="dxa"/>
              <w:left w:w="0" w:type="dxa"/>
              <w:bottom w:w="0" w:type="dxa"/>
              <w:right w:w="0" w:type="dxa"/>
            </w:tcMar>
            <w:vAlign w:val="center"/>
          </w:tcPr>
          <w:p w14:paraId="42DC8F58">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7.1</w:t>
            </w:r>
          </w:p>
        </w:tc>
        <w:tc>
          <w:tcPr>
            <w:tcW w:w="523" w:type="dxa"/>
            <w:shd w:val="clear" w:color="auto" w:fill="FFFFFF"/>
            <w:tcMar>
              <w:top w:w="0" w:type="dxa"/>
              <w:left w:w="0" w:type="dxa"/>
              <w:bottom w:w="0" w:type="dxa"/>
              <w:right w:w="0" w:type="dxa"/>
            </w:tcMar>
            <w:vAlign w:val="center"/>
          </w:tcPr>
          <w:p w14:paraId="07D88B03">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-17.8</w:t>
            </w:r>
          </w:p>
        </w:tc>
        <w:tc>
          <w:tcPr>
            <w:tcW w:w="523" w:type="dxa"/>
            <w:shd w:val="clear" w:color="auto" w:fill="FFFFFF"/>
            <w:tcMar>
              <w:top w:w="0" w:type="dxa"/>
              <w:left w:w="0" w:type="dxa"/>
              <w:bottom w:w="0" w:type="dxa"/>
              <w:right w:w="0" w:type="dxa"/>
            </w:tcMar>
            <w:vAlign w:val="center"/>
          </w:tcPr>
          <w:p w14:paraId="738D8ECA">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1.2</w:t>
            </w:r>
          </w:p>
        </w:tc>
        <w:tc>
          <w:tcPr>
            <w:tcW w:w="472" w:type="dxa"/>
            <w:shd w:val="clear" w:color="auto" w:fill="FFFFFF"/>
            <w:tcMar>
              <w:top w:w="0" w:type="dxa"/>
              <w:left w:w="0" w:type="dxa"/>
              <w:bottom w:w="0" w:type="dxa"/>
              <w:right w:w="0" w:type="dxa"/>
            </w:tcMar>
            <w:vAlign w:val="center"/>
          </w:tcPr>
          <w:p w14:paraId="1890CA52">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18.3</w:t>
            </w:r>
          </w:p>
        </w:tc>
        <w:tc>
          <w:tcPr>
            <w:tcW w:w="523" w:type="dxa"/>
            <w:shd w:val="clear" w:color="auto" w:fill="FFFFFF"/>
            <w:tcMar>
              <w:top w:w="0" w:type="dxa"/>
              <w:left w:w="0" w:type="dxa"/>
              <w:bottom w:w="0" w:type="dxa"/>
              <w:right w:w="0" w:type="dxa"/>
            </w:tcMar>
            <w:vAlign w:val="center"/>
          </w:tcPr>
          <w:p w14:paraId="7D72A564">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29.1</w:t>
            </w:r>
          </w:p>
        </w:tc>
        <w:tc>
          <w:tcPr>
            <w:tcW w:w="540" w:type="dxa"/>
            <w:shd w:val="clear" w:color="auto" w:fill="FFFFFF"/>
            <w:tcMar>
              <w:top w:w="0" w:type="dxa"/>
              <w:left w:w="0" w:type="dxa"/>
              <w:bottom w:w="0" w:type="dxa"/>
              <w:right w:w="0" w:type="dxa"/>
            </w:tcMar>
            <w:vAlign w:val="center"/>
          </w:tcPr>
          <w:p w14:paraId="672F2BBE">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30.4</w:t>
            </w:r>
          </w:p>
        </w:tc>
        <w:tc>
          <w:tcPr>
            <w:tcW w:w="438" w:type="dxa"/>
            <w:shd w:val="clear" w:color="auto" w:fill="FFFFFF"/>
            <w:tcMar>
              <w:top w:w="0" w:type="dxa"/>
              <w:left w:w="0" w:type="dxa"/>
              <w:bottom w:w="0" w:type="dxa"/>
              <w:right w:w="0" w:type="dxa"/>
            </w:tcMar>
            <w:vAlign w:val="center"/>
          </w:tcPr>
          <w:p w14:paraId="71DED289">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49.6</w:t>
            </w:r>
          </w:p>
        </w:tc>
        <w:tc>
          <w:tcPr>
            <w:tcW w:w="472" w:type="dxa"/>
            <w:shd w:val="clear" w:color="auto" w:fill="FFFFFF"/>
            <w:tcMar>
              <w:top w:w="0" w:type="dxa"/>
              <w:left w:w="0" w:type="dxa"/>
              <w:bottom w:w="0" w:type="dxa"/>
              <w:right w:w="0" w:type="dxa"/>
            </w:tcMar>
            <w:vAlign w:val="center"/>
          </w:tcPr>
          <w:p w14:paraId="44D21788">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67.5</w:t>
            </w:r>
          </w:p>
        </w:tc>
        <w:tc>
          <w:tcPr>
            <w:tcW w:w="472" w:type="dxa"/>
            <w:shd w:val="clear" w:color="auto" w:fill="FFFFFF"/>
            <w:tcMar>
              <w:top w:w="0" w:type="dxa"/>
              <w:left w:w="0" w:type="dxa"/>
              <w:bottom w:w="0" w:type="dxa"/>
              <w:right w:w="0" w:type="dxa"/>
            </w:tcMar>
            <w:vAlign w:val="center"/>
          </w:tcPr>
          <w:p w14:paraId="4AEBA233">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67.4</w:t>
            </w:r>
          </w:p>
        </w:tc>
        <w:tc>
          <w:tcPr>
            <w:tcW w:w="505" w:type="dxa"/>
            <w:shd w:val="clear" w:color="auto" w:fill="FFFFFF"/>
            <w:tcMar>
              <w:top w:w="0" w:type="dxa"/>
              <w:left w:w="0" w:type="dxa"/>
              <w:bottom w:w="0" w:type="dxa"/>
              <w:right w:w="0" w:type="dxa"/>
            </w:tcMar>
            <w:vAlign w:val="center"/>
          </w:tcPr>
          <w:p w14:paraId="6FBE2BEE">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67.4</w:t>
            </w:r>
          </w:p>
        </w:tc>
        <w:tc>
          <w:tcPr>
            <w:tcW w:w="507" w:type="dxa"/>
            <w:shd w:val="clear" w:color="auto" w:fill="FFFFFF"/>
            <w:tcMar>
              <w:top w:w="0" w:type="dxa"/>
              <w:left w:w="0" w:type="dxa"/>
              <w:bottom w:w="0" w:type="dxa"/>
              <w:right w:w="0" w:type="dxa"/>
            </w:tcMar>
            <w:vAlign w:val="center"/>
          </w:tcPr>
          <w:p w14:paraId="5968FC42">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rPr>
              <w:t>67.4</w:t>
            </w:r>
          </w:p>
        </w:tc>
        <w:tc>
          <w:tcPr>
            <w:tcW w:w="539" w:type="dxa"/>
            <w:vMerge w:val="continue"/>
            <w:shd w:val="clear" w:color="auto" w:fill="FFFFFF"/>
            <w:tcMar>
              <w:top w:w="0" w:type="dxa"/>
              <w:left w:w="0" w:type="dxa"/>
              <w:bottom w:w="0" w:type="dxa"/>
              <w:right w:w="0" w:type="dxa"/>
            </w:tcMar>
            <w:vAlign w:val="center"/>
          </w:tcPr>
          <w:p w14:paraId="74E9ADE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472" w:type="dxa"/>
            <w:shd w:val="clear" w:color="auto" w:fill="FFFFFF"/>
            <w:tcMar>
              <w:top w:w="0" w:type="dxa"/>
              <w:left w:w="0" w:type="dxa"/>
              <w:bottom w:w="0" w:type="dxa"/>
              <w:right w:w="0" w:type="dxa"/>
            </w:tcMar>
            <w:vAlign w:val="center"/>
          </w:tcPr>
          <w:p w14:paraId="6BECD8CD">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highlight w:val="none"/>
              </w:rPr>
              <w:t>2</w:t>
            </w:r>
            <w:r>
              <w:rPr>
                <w:rFonts w:hint="eastAsia" w:ascii="Arial" w:hAnsi="Arial" w:eastAsia="宋体" w:cs="Arial"/>
                <w:color w:val="auto"/>
                <w:sz w:val="20"/>
                <w:highlight w:val="none"/>
                <w:lang w:val="en-US" w:eastAsia="zh-CN"/>
              </w:rPr>
              <w:t>0.0</w:t>
            </w:r>
          </w:p>
        </w:tc>
        <w:tc>
          <w:tcPr>
            <w:tcW w:w="489" w:type="dxa"/>
            <w:shd w:val="clear" w:color="auto" w:fill="FFFFFF"/>
            <w:tcMar>
              <w:top w:w="0" w:type="dxa"/>
              <w:left w:w="0" w:type="dxa"/>
              <w:bottom w:w="0" w:type="dxa"/>
              <w:right w:w="0" w:type="dxa"/>
            </w:tcMar>
            <w:vAlign w:val="center"/>
          </w:tcPr>
          <w:p w14:paraId="45B65A53">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highlight w:val="none"/>
              </w:rPr>
              <w:t>2</w:t>
            </w:r>
            <w:r>
              <w:rPr>
                <w:rFonts w:hint="eastAsia" w:ascii="Arial" w:hAnsi="Arial" w:eastAsia="宋体" w:cs="Arial"/>
                <w:color w:val="auto"/>
                <w:sz w:val="20"/>
                <w:highlight w:val="none"/>
                <w:lang w:val="en-US" w:eastAsia="zh-CN"/>
              </w:rPr>
              <w:t>0.0</w:t>
            </w:r>
          </w:p>
        </w:tc>
        <w:tc>
          <w:tcPr>
            <w:tcW w:w="472" w:type="dxa"/>
            <w:shd w:val="clear" w:color="auto" w:fill="FFFFFF"/>
            <w:tcMar>
              <w:top w:w="0" w:type="dxa"/>
              <w:left w:w="0" w:type="dxa"/>
              <w:bottom w:w="0" w:type="dxa"/>
              <w:right w:w="0" w:type="dxa"/>
            </w:tcMar>
            <w:vAlign w:val="center"/>
          </w:tcPr>
          <w:p w14:paraId="18C91BEA">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highlight w:val="none"/>
              </w:rPr>
              <w:t>2</w:t>
            </w:r>
            <w:r>
              <w:rPr>
                <w:rFonts w:hint="eastAsia" w:ascii="Arial" w:hAnsi="Arial" w:eastAsia="宋体" w:cs="Arial"/>
                <w:color w:val="auto"/>
                <w:sz w:val="20"/>
                <w:highlight w:val="none"/>
                <w:lang w:val="en-US" w:eastAsia="zh-CN"/>
              </w:rPr>
              <w:t>0.0</w:t>
            </w:r>
          </w:p>
        </w:tc>
        <w:tc>
          <w:tcPr>
            <w:tcW w:w="420" w:type="dxa"/>
            <w:shd w:val="clear" w:color="auto" w:fill="FFFFFF"/>
            <w:tcMar>
              <w:top w:w="0" w:type="dxa"/>
              <w:left w:w="0" w:type="dxa"/>
              <w:bottom w:w="0" w:type="dxa"/>
              <w:right w:w="0" w:type="dxa"/>
            </w:tcMar>
            <w:vAlign w:val="center"/>
          </w:tcPr>
          <w:p w14:paraId="26ADC01D">
            <w:pPr>
              <w:keepNext w:val="0"/>
              <w:keepLines w:val="0"/>
              <w:suppressLineNumbers w:val="0"/>
              <w:spacing w:before="0" w:beforeAutospacing="0" w:after="0" w:afterAutospacing="0"/>
              <w:ind w:left="0" w:right="0"/>
              <w:jc w:val="center"/>
              <w:rPr>
                <w:rFonts w:hint="default" w:ascii="Arial" w:hAnsi="Arial" w:eastAsia="Arial" w:cs="Arial"/>
                <w:color w:val="auto"/>
                <w:sz w:val="21"/>
                <w:szCs w:val="21"/>
                <w:highlight w:val="none"/>
              </w:rPr>
            </w:pPr>
            <w:r>
              <w:rPr>
                <w:rFonts w:hint="default" w:ascii="Arial" w:hAnsi="Arial" w:eastAsia="Arial" w:cs="Arial"/>
                <w:color w:val="auto"/>
                <w:sz w:val="20"/>
                <w:highlight w:val="none"/>
              </w:rPr>
              <w:t>2</w:t>
            </w:r>
            <w:r>
              <w:rPr>
                <w:rFonts w:hint="eastAsia" w:ascii="Arial" w:hAnsi="Arial" w:eastAsia="宋体" w:cs="Arial"/>
                <w:color w:val="auto"/>
                <w:sz w:val="20"/>
                <w:highlight w:val="none"/>
                <w:lang w:val="en-US" w:eastAsia="zh-CN"/>
              </w:rPr>
              <w:t>0.0</w:t>
            </w:r>
          </w:p>
        </w:tc>
        <w:tc>
          <w:tcPr>
            <w:tcW w:w="556" w:type="dxa"/>
            <w:shd w:val="clear" w:color="auto" w:fill="FFFFFF"/>
            <w:tcMar>
              <w:top w:w="0" w:type="dxa"/>
              <w:left w:w="0" w:type="dxa"/>
              <w:bottom w:w="0" w:type="dxa"/>
              <w:right w:w="0" w:type="dxa"/>
            </w:tcMar>
            <w:vAlign w:val="center"/>
          </w:tcPr>
          <w:p w14:paraId="45FC04AD">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0"/>
                <w:highlight w:val="none"/>
                <w:lang w:val="en-US" w:eastAsia="zh-CN"/>
              </w:rPr>
              <w:t>47.5</w:t>
            </w:r>
          </w:p>
        </w:tc>
        <w:tc>
          <w:tcPr>
            <w:tcW w:w="489" w:type="dxa"/>
            <w:shd w:val="clear" w:color="auto" w:fill="FFFFFF"/>
            <w:tcMar>
              <w:top w:w="0" w:type="dxa"/>
              <w:left w:w="0" w:type="dxa"/>
              <w:bottom w:w="0" w:type="dxa"/>
              <w:right w:w="0" w:type="dxa"/>
            </w:tcMar>
            <w:vAlign w:val="center"/>
          </w:tcPr>
          <w:p w14:paraId="6AAD8FDB">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0"/>
                <w:highlight w:val="none"/>
                <w:lang w:val="en-US" w:eastAsia="zh-CN"/>
              </w:rPr>
              <w:t>47.4</w:t>
            </w:r>
          </w:p>
        </w:tc>
        <w:tc>
          <w:tcPr>
            <w:tcW w:w="556" w:type="dxa"/>
            <w:shd w:val="clear" w:color="auto" w:fill="FFFFFF"/>
            <w:tcMar>
              <w:top w:w="0" w:type="dxa"/>
              <w:left w:w="0" w:type="dxa"/>
              <w:bottom w:w="0" w:type="dxa"/>
              <w:right w:w="0" w:type="dxa"/>
            </w:tcMar>
            <w:vAlign w:val="center"/>
          </w:tcPr>
          <w:p w14:paraId="1E69D9E7">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0"/>
                <w:highlight w:val="none"/>
                <w:lang w:val="en-US" w:eastAsia="zh-CN"/>
              </w:rPr>
              <w:t>47.4</w:t>
            </w:r>
          </w:p>
        </w:tc>
        <w:tc>
          <w:tcPr>
            <w:tcW w:w="523" w:type="dxa"/>
            <w:shd w:val="clear" w:color="auto" w:fill="FFFFFF"/>
            <w:tcMar>
              <w:top w:w="0" w:type="dxa"/>
              <w:left w:w="0" w:type="dxa"/>
              <w:bottom w:w="0" w:type="dxa"/>
              <w:right w:w="0" w:type="dxa"/>
            </w:tcMar>
            <w:vAlign w:val="center"/>
          </w:tcPr>
          <w:p w14:paraId="0D9F70B1">
            <w:pPr>
              <w:keepNext w:val="0"/>
              <w:keepLines w:val="0"/>
              <w:suppressLineNumbers w:val="0"/>
              <w:spacing w:before="0" w:beforeAutospacing="0" w:after="0" w:afterAutospacing="0"/>
              <w:ind w:left="0" w:right="0"/>
              <w:jc w:val="center"/>
              <w:rPr>
                <w:rFonts w:hint="default" w:ascii="Arial" w:hAnsi="Arial" w:eastAsia="宋体" w:cs="Arial"/>
                <w:color w:val="auto"/>
                <w:sz w:val="21"/>
                <w:szCs w:val="21"/>
                <w:highlight w:val="none"/>
                <w:lang w:val="en-US" w:eastAsia="zh-CN"/>
              </w:rPr>
            </w:pPr>
            <w:r>
              <w:rPr>
                <w:rFonts w:hint="eastAsia" w:ascii="Arial" w:hAnsi="Arial" w:eastAsia="宋体" w:cs="Arial"/>
                <w:color w:val="auto"/>
                <w:sz w:val="20"/>
                <w:highlight w:val="none"/>
                <w:lang w:val="en-US" w:eastAsia="zh-CN"/>
              </w:rPr>
              <w:t>47.4</w:t>
            </w:r>
          </w:p>
        </w:tc>
        <w:tc>
          <w:tcPr>
            <w:tcW w:w="688" w:type="dxa"/>
            <w:shd w:val="clear" w:color="auto" w:fill="FFFFFF"/>
            <w:tcMar>
              <w:top w:w="0" w:type="dxa"/>
              <w:left w:w="0" w:type="dxa"/>
              <w:bottom w:w="0" w:type="dxa"/>
              <w:right w:w="0" w:type="dxa"/>
            </w:tcMar>
            <w:vAlign w:val="center"/>
          </w:tcPr>
          <w:p w14:paraId="32E345B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ascii="Arial" w:hAnsi="Arial" w:eastAsia="Arial" w:cs="Arial"/>
                <w:color w:val="auto"/>
                <w:sz w:val="21"/>
                <w:szCs w:val="21"/>
                <w:highlight w:val="none"/>
              </w:rPr>
              <w:t>1</w:t>
            </w:r>
          </w:p>
        </w:tc>
      </w:tr>
      <w:tr w14:paraId="55FC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shd w:val="clear" w:color="auto" w:fill="FFFFFF"/>
            <w:tcMar>
              <w:top w:w="0" w:type="dxa"/>
              <w:left w:w="0" w:type="dxa"/>
              <w:bottom w:w="0" w:type="dxa"/>
              <w:right w:w="0" w:type="dxa"/>
            </w:tcMar>
            <w:vAlign w:val="center"/>
          </w:tcPr>
          <w:p w14:paraId="01A9218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3</w:t>
            </w:r>
          </w:p>
        </w:tc>
        <w:tc>
          <w:tcPr>
            <w:tcW w:w="910" w:type="dxa"/>
            <w:shd w:val="clear" w:color="auto" w:fill="FFFFFF"/>
            <w:tcMar>
              <w:top w:w="0" w:type="dxa"/>
              <w:left w:w="0" w:type="dxa"/>
              <w:bottom w:w="0" w:type="dxa"/>
              <w:right w:w="0" w:type="dxa"/>
            </w:tcMar>
            <w:vAlign w:val="center"/>
          </w:tcPr>
          <w:p w14:paraId="1A04F50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生产厂房</w:t>
            </w:r>
          </w:p>
        </w:tc>
        <w:tc>
          <w:tcPr>
            <w:tcW w:w="1375" w:type="dxa"/>
            <w:shd w:val="clear" w:color="auto" w:fill="FFFFFF"/>
            <w:tcMar>
              <w:top w:w="0" w:type="dxa"/>
              <w:left w:w="0" w:type="dxa"/>
              <w:bottom w:w="0" w:type="dxa"/>
              <w:right w:w="0" w:type="dxa"/>
            </w:tcMar>
            <w:vAlign w:val="center"/>
          </w:tcPr>
          <w:p w14:paraId="2D086363">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eastAsia" w:ascii="Arial" w:hAnsi="Arial" w:eastAsia="Arial" w:cs="Arial"/>
                <w:color w:val="auto"/>
                <w:sz w:val="20"/>
                <w:lang w:val="en-US" w:eastAsia="zh-CN"/>
              </w:rPr>
              <w:t>卧式浸渍烘干一体机3</w:t>
            </w:r>
          </w:p>
        </w:tc>
        <w:tc>
          <w:tcPr>
            <w:tcW w:w="563" w:type="dxa"/>
            <w:shd w:val="clear" w:color="auto" w:fill="FFFFFF"/>
            <w:tcMar>
              <w:top w:w="0" w:type="dxa"/>
              <w:left w:w="0" w:type="dxa"/>
              <w:bottom w:w="0" w:type="dxa"/>
              <w:right w:w="0" w:type="dxa"/>
            </w:tcMar>
            <w:vAlign w:val="center"/>
          </w:tcPr>
          <w:p w14:paraId="28A17D5C">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85</w:t>
            </w:r>
          </w:p>
        </w:tc>
        <w:tc>
          <w:tcPr>
            <w:tcW w:w="657" w:type="dxa"/>
            <w:vMerge w:val="continue"/>
            <w:shd w:val="clear" w:color="auto" w:fill="FFFFFF"/>
            <w:tcMar>
              <w:top w:w="0" w:type="dxa"/>
              <w:left w:w="0" w:type="dxa"/>
              <w:bottom w:w="0" w:type="dxa"/>
              <w:right w:w="0" w:type="dxa"/>
            </w:tcMar>
            <w:vAlign w:val="center"/>
          </w:tcPr>
          <w:p w14:paraId="30185203">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507" w:type="dxa"/>
            <w:shd w:val="clear" w:color="auto" w:fill="FFFFFF"/>
            <w:tcMar>
              <w:top w:w="0" w:type="dxa"/>
              <w:left w:w="0" w:type="dxa"/>
              <w:bottom w:w="0" w:type="dxa"/>
              <w:right w:w="0" w:type="dxa"/>
            </w:tcMar>
            <w:vAlign w:val="center"/>
          </w:tcPr>
          <w:p w14:paraId="305CCAD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0.4</w:t>
            </w:r>
          </w:p>
        </w:tc>
        <w:tc>
          <w:tcPr>
            <w:tcW w:w="523" w:type="dxa"/>
            <w:shd w:val="clear" w:color="auto" w:fill="FFFFFF"/>
            <w:tcMar>
              <w:top w:w="0" w:type="dxa"/>
              <w:left w:w="0" w:type="dxa"/>
              <w:bottom w:w="0" w:type="dxa"/>
              <w:right w:w="0" w:type="dxa"/>
            </w:tcMar>
            <w:vAlign w:val="center"/>
          </w:tcPr>
          <w:p w14:paraId="0B6A041C">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-15.6</w:t>
            </w:r>
          </w:p>
        </w:tc>
        <w:tc>
          <w:tcPr>
            <w:tcW w:w="523" w:type="dxa"/>
            <w:shd w:val="clear" w:color="auto" w:fill="FFFFFF"/>
            <w:tcMar>
              <w:top w:w="0" w:type="dxa"/>
              <w:left w:w="0" w:type="dxa"/>
              <w:bottom w:w="0" w:type="dxa"/>
              <w:right w:w="0" w:type="dxa"/>
            </w:tcMar>
            <w:vAlign w:val="center"/>
          </w:tcPr>
          <w:p w14:paraId="0700695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1.2</w:t>
            </w:r>
          </w:p>
        </w:tc>
        <w:tc>
          <w:tcPr>
            <w:tcW w:w="472" w:type="dxa"/>
            <w:shd w:val="clear" w:color="auto" w:fill="FFFFFF"/>
            <w:tcMar>
              <w:top w:w="0" w:type="dxa"/>
              <w:left w:w="0" w:type="dxa"/>
              <w:bottom w:w="0" w:type="dxa"/>
              <w:right w:w="0" w:type="dxa"/>
            </w:tcMar>
            <w:vAlign w:val="center"/>
          </w:tcPr>
          <w:p w14:paraId="0CA8A4CB">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25.3</w:t>
            </w:r>
          </w:p>
        </w:tc>
        <w:tc>
          <w:tcPr>
            <w:tcW w:w="523" w:type="dxa"/>
            <w:shd w:val="clear" w:color="auto" w:fill="FFFFFF"/>
            <w:tcMar>
              <w:top w:w="0" w:type="dxa"/>
              <w:left w:w="0" w:type="dxa"/>
              <w:bottom w:w="0" w:type="dxa"/>
              <w:right w:w="0" w:type="dxa"/>
            </w:tcMar>
            <w:vAlign w:val="center"/>
          </w:tcPr>
          <w:p w14:paraId="43C37AD9">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27.4</w:t>
            </w:r>
          </w:p>
        </w:tc>
        <w:tc>
          <w:tcPr>
            <w:tcW w:w="540" w:type="dxa"/>
            <w:shd w:val="clear" w:color="auto" w:fill="FFFFFF"/>
            <w:tcMar>
              <w:top w:w="0" w:type="dxa"/>
              <w:left w:w="0" w:type="dxa"/>
              <w:bottom w:w="0" w:type="dxa"/>
              <w:right w:w="0" w:type="dxa"/>
            </w:tcMar>
            <w:vAlign w:val="center"/>
          </w:tcPr>
          <w:p w14:paraId="58E48070">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23.4</w:t>
            </w:r>
          </w:p>
        </w:tc>
        <w:tc>
          <w:tcPr>
            <w:tcW w:w="438" w:type="dxa"/>
            <w:shd w:val="clear" w:color="auto" w:fill="FFFFFF"/>
            <w:tcMar>
              <w:top w:w="0" w:type="dxa"/>
              <w:left w:w="0" w:type="dxa"/>
              <w:bottom w:w="0" w:type="dxa"/>
              <w:right w:w="0" w:type="dxa"/>
            </w:tcMar>
            <w:vAlign w:val="center"/>
          </w:tcPr>
          <w:p w14:paraId="37930A90">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48.7</w:t>
            </w:r>
          </w:p>
        </w:tc>
        <w:tc>
          <w:tcPr>
            <w:tcW w:w="472" w:type="dxa"/>
            <w:shd w:val="clear" w:color="auto" w:fill="FFFFFF"/>
            <w:tcMar>
              <w:top w:w="0" w:type="dxa"/>
              <w:left w:w="0" w:type="dxa"/>
              <w:bottom w:w="0" w:type="dxa"/>
              <w:right w:w="0" w:type="dxa"/>
            </w:tcMar>
            <w:vAlign w:val="center"/>
          </w:tcPr>
          <w:p w14:paraId="5C4396DE">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67.4</w:t>
            </w:r>
          </w:p>
        </w:tc>
        <w:tc>
          <w:tcPr>
            <w:tcW w:w="472" w:type="dxa"/>
            <w:shd w:val="clear" w:color="auto" w:fill="FFFFFF"/>
            <w:tcMar>
              <w:top w:w="0" w:type="dxa"/>
              <w:left w:w="0" w:type="dxa"/>
              <w:bottom w:w="0" w:type="dxa"/>
              <w:right w:w="0" w:type="dxa"/>
            </w:tcMar>
            <w:vAlign w:val="center"/>
          </w:tcPr>
          <w:p w14:paraId="1FF07A49">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67.4</w:t>
            </w:r>
          </w:p>
        </w:tc>
        <w:tc>
          <w:tcPr>
            <w:tcW w:w="505" w:type="dxa"/>
            <w:shd w:val="clear" w:color="auto" w:fill="FFFFFF"/>
            <w:tcMar>
              <w:top w:w="0" w:type="dxa"/>
              <w:left w:w="0" w:type="dxa"/>
              <w:bottom w:w="0" w:type="dxa"/>
              <w:right w:w="0" w:type="dxa"/>
            </w:tcMar>
            <w:vAlign w:val="center"/>
          </w:tcPr>
          <w:p w14:paraId="5D114E9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67.4</w:t>
            </w:r>
          </w:p>
        </w:tc>
        <w:tc>
          <w:tcPr>
            <w:tcW w:w="507" w:type="dxa"/>
            <w:shd w:val="clear" w:color="auto" w:fill="FFFFFF"/>
            <w:tcMar>
              <w:top w:w="0" w:type="dxa"/>
              <w:left w:w="0" w:type="dxa"/>
              <w:bottom w:w="0" w:type="dxa"/>
              <w:right w:w="0" w:type="dxa"/>
            </w:tcMar>
            <w:vAlign w:val="center"/>
          </w:tcPr>
          <w:p w14:paraId="3BD17CAE">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67.4</w:t>
            </w:r>
          </w:p>
        </w:tc>
        <w:tc>
          <w:tcPr>
            <w:tcW w:w="539" w:type="dxa"/>
            <w:vMerge w:val="continue"/>
            <w:shd w:val="clear" w:color="auto" w:fill="FFFFFF"/>
            <w:tcMar>
              <w:top w:w="0" w:type="dxa"/>
              <w:left w:w="0" w:type="dxa"/>
              <w:bottom w:w="0" w:type="dxa"/>
              <w:right w:w="0" w:type="dxa"/>
            </w:tcMar>
            <w:vAlign w:val="center"/>
          </w:tcPr>
          <w:p w14:paraId="1A40AB00">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26391645">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89" w:type="dxa"/>
            <w:shd w:val="clear" w:color="auto" w:fill="FFFFFF"/>
            <w:tcMar>
              <w:top w:w="0" w:type="dxa"/>
              <w:left w:w="0" w:type="dxa"/>
              <w:bottom w:w="0" w:type="dxa"/>
              <w:right w:w="0" w:type="dxa"/>
            </w:tcMar>
            <w:vAlign w:val="center"/>
          </w:tcPr>
          <w:p w14:paraId="45FF4325">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72" w:type="dxa"/>
            <w:shd w:val="clear" w:color="auto" w:fill="FFFFFF"/>
            <w:tcMar>
              <w:top w:w="0" w:type="dxa"/>
              <w:left w:w="0" w:type="dxa"/>
              <w:bottom w:w="0" w:type="dxa"/>
              <w:right w:w="0" w:type="dxa"/>
            </w:tcMar>
            <w:vAlign w:val="center"/>
          </w:tcPr>
          <w:p w14:paraId="63F7239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20" w:type="dxa"/>
            <w:shd w:val="clear" w:color="auto" w:fill="FFFFFF"/>
            <w:tcMar>
              <w:top w:w="0" w:type="dxa"/>
              <w:left w:w="0" w:type="dxa"/>
              <w:bottom w:w="0" w:type="dxa"/>
              <w:right w:w="0" w:type="dxa"/>
            </w:tcMar>
            <w:vAlign w:val="center"/>
          </w:tcPr>
          <w:p w14:paraId="3369B91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556" w:type="dxa"/>
            <w:shd w:val="clear" w:color="auto" w:fill="FFFFFF"/>
            <w:tcMar>
              <w:top w:w="0" w:type="dxa"/>
              <w:left w:w="0" w:type="dxa"/>
              <w:bottom w:w="0" w:type="dxa"/>
              <w:right w:w="0" w:type="dxa"/>
            </w:tcMar>
            <w:vAlign w:val="center"/>
          </w:tcPr>
          <w:p w14:paraId="7301F557">
            <w:pPr>
              <w:keepNext w:val="0"/>
              <w:keepLines w:val="0"/>
              <w:suppressLineNumbers w:val="0"/>
              <w:spacing w:before="0" w:beforeAutospacing="0" w:after="0" w:afterAutospacing="0"/>
              <w:ind w:left="0" w:right="0"/>
              <w:jc w:val="center"/>
              <w:rPr>
                <w:rFonts w:hint="default" w:ascii="Arial" w:hAnsi="Arial" w:eastAsia="Arial" w:cs="Arial"/>
                <w:color w:val="auto"/>
                <w:sz w:val="20"/>
                <w:lang w:val="en-US" w:eastAsia="zh-CN"/>
              </w:rPr>
            </w:pPr>
            <w:r>
              <w:rPr>
                <w:rFonts w:hint="default" w:ascii="Arial" w:hAnsi="Arial" w:eastAsia="Arial" w:cs="Arial"/>
                <w:color w:val="auto"/>
                <w:sz w:val="20"/>
              </w:rPr>
              <w:t>4</w:t>
            </w:r>
            <w:r>
              <w:rPr>
                <w:rFonts w:hint="eastAsia" w:ascii="Arial" w:hAnsi="Arial" w:eastAsia="Arial" w:cs="Arial"/>
                <w:color w:val="auto"/>
                <w:sz w:val="20"/>
                <w:lang w:val="en-US" w:eastAsia="zh-CN"/>
              </w:rPr>
              <w:t>7.4</w:t>
            </w:r>
          </w:p>
        </w:tc>
        <w:tc>
          <w:tcPr>
            <w:tcW w:w="489" w:type="dxa"/>
            <w:shd w:val="clear" w:color="auto" w:fill="FFFFFF"/>
            <w:tcMar>
              <w:top w:w="0" w:type="dxa"/>
              <w:left w:w="0" w:type="dxa"/>
              <w:bottom w:w="0" w:type="dxa"/>
              <w:right w:w="0" w:type="dxa"/>
            </w:tcMar>
            <w:vAlign w:val="center"/>
          </w:tcPr>
          <w:p w14:paraId="01CB7EAB">
            <w:pPr>
              <w:keepNext w:val="0"/>
              <w:keepLines w:val="0"/>
              <w:suppressLineNumbers w:val="0"/>
              <w:spacing w:before="0" w:beforeAutospacing="0" w:after="0" w:afterAutospacing="0"/>
              <w:ind w:left="0" w:right="0"/>
              <w:jc w:val="center"/>
              <w:rPr>
                <w:rFonts w:hint="default" w:ascii="Arial" w:hAnsi="Arial" w:eastAsia="Arial" w:cs="Arial"/>
                <w:color w:val="auto"/>
                <w:sz w:val="20"/>
                <w:lang w:val="en-US" w:eastAsia="zh-CN"/>
              </w:rPr>
            </w:pPr>
            <w:r>
              <w:rPr>
                <w:rFonts w:hint="eastAsia" w:ascii="Arial" w:hAnsi="Arial" w:eastAsia="Arial" w:cs="Arial"/>
                <w:color w:val="auto"/>
                <w:sz w:val="20"/>
                <w:lang w:val="en-US" w:eastAsia="zh-CN"/>
              </w:rPr>
              <w:t>47.4</w:t>
            </w:r>
          </w:p>
        </w:tc>
        <w:tc>
          <w:tcPr>
            <w:tcW w:w="556" w:type="dxa"/>
            <w:shd w:val="clear" w:color="auto" w:fill="FFFFFF"/>
            <w:tcMar>
              <w:top w:w="0" w:type="dxa"/>
              <w:left w:w="0" w:type="dxa"/>
              <w:bottom w:w="0" w:type="dxa"/>
              <w:right w:w="0" w:type="dxa"/>
            </w:tcMar>
            <w:vAlign w:val="center"/>
          </w:tcPr>
          <w:p w14:paraId="247098CF">
            <w:pPr>
              <w:keepNext w:val="0"/>
              <w:keepLines w:val="0"/>
              <w:suppressLineNumbers w:val="0"/>
              <w:spacing w:before="0" w:beforeAutospacing="0" w:after="0" w:afterAutospacing="0"/>
              <w:ind w:left="0" w:right="0"/>
              <w:jc w:val="center"/>
              <w:rPr>
                <w:rFonts w:hint="default" w:ascii="Arial" w:hAnsi="Arial" w:eastAsia="Arial" w:cs="Arial"/>
                <w:color w:val="auto"/>
                <w:sz w:val="20"/>
                <w:lang w:val="en-US" w:eastAsia="zh-CN"/>
              </w:rPr>
            </w:pPr>
            <w:r>
              <w:rPr>
                <w:rFonts w:hint="eastAsia" w:ascii="Arial" w:hAnsi="Arial" w:eastAsia="Arial" w:cs="Arial"/>
                <w:color w:val="auto"/>
                <w:sz w:val="20"/>
                <w:lang w:val="en-US" w:eastAsia="zh-CN"/>
              </w:rPr>
              <w:t>47.4</w:t>
            </w:r>
          </w:p>
        </w:tc>
        <w:tc>
          <w:tcPr>
            <w:tcW w:w="523" w:type="dxa"/>
            <w:shd w:val="clear" w:color="auto" w:fill="FFFFFF"/>
            <w:tcMar>
              <w:top w:w="0" w:type="dxa"/>
              <w:left w:w="0" w:type="dxa"/>
              <w:bottom w:w="0" w:type="dxa"/>
              <w:right w:w="0" w:type="dxa"/>
            </w:tcMar>
            <w:vAlign w:val="center"/>
          </w:tcPr>
          <w:p w14:paraId="2592350E">
            <w:pPr>
              <w:keepNext w:val="0"/>
              <w:keepLines w:val="0"/>
              <w:suppressLineNumbers w:val="0"/>
              <w:spacing w:before="0" w:beforeAutospacing="0" w:after="0" w:afterAutospacing="0"/>
              <w:ind w:left="0" w:right="0"/>
              <w:jc w:val="center"/>
              <w:rPr>
                <w:rFonts w:hint="default" w:ascii="Arial" w:hAnsi="Arial" w:eastAsia="Arial" w:cs="Arial"/>
                <w:color w:val="auto"/>
                <w:sz w:val="20"/>
                <w:lang w:val="en-US" w:eastAsia="zh-CN"/>
              </w:rPr>
            </w:pPr>
            <w:r>
              <w:rPr>
                <w:rFonts w:hint="eastAsia" w:ascii="Arial" w:hAnsi="Arial" w:eastAsia="Arial" w:cs="Arial"/>
                <w:color w:val="auto"/>
                <w:sz w:val="20"/>
                <w:lang w:val="en-US" w:eastAsia="zh-CN"/>
              </w:rPr>
              <w:t>47.4</w:t>
            </w:r>
          </w:p>
        </w:tc>
        <w:tc>
          <w:tcPr>
            <w:tcW w:w="688" w:type="dxa"/>
            <w:shd w:val="clear" w:color="auto" w:fill="FFFFFF"/>
            <w:tcMar>
              <w:top w:w="0" w:type="dxa"/>
              <w:left w:w="0" w:type="dxa"/>
              <w:bottom w:w="0" w:type="dxa"/>
              <w:right w:w="0" w:type="dxa"/>
            </w:tcMar>
            <w:vAlign w:val="center"/>
          </w:tcPr>
          <w:p w14:paraId="5A6471D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w:t>
            </w:r>
          </w:p>
        </w:tc>
      </w:tr>
      <w:tr w14:paraId="657C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shd w:val="clear" w:color="auto" w:fill="FFFFFF"/>
            <w:tcMar>
              <w:top w:w="0" w:type="dxa"/>
              <w:left w:w="0" w:type="dxa"/>
              <w:bottom w:w="0" w:type="dxa"/>
              <w:right w:w="0" w:type="dxa"/>
            </w:tcMar>
            <w:vAlign w:val="center"/>
          </w:tcPr>
          <w:p w14:paraId="3A0AA36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4</w:t>
            </w:r>
          </w:p>
        </w:tc>
        <w:tc>
          <w:tcPr>
            <w:tcW w:w="910" w:type="dxa"/>
            <w:shd w:val="clear" w:color="auto" w:fill="FFFFFF"/>
            <w:tcMar>
              <w:top w:w="0" w:type="dxa"/>
              <w:left w:w="0" w:type="dxa"/>
              <w:bottom w:w="0" w:type="dxa"/>
              <w:right w:w="0" w:type="dxa"/>
            </w:tcMar>
            <w:vAlign w:val="center"/>
          </w:tcPr>
          <w:p w14:paraId="29C8087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生产厂房</w:t>
            </w:r>
          </w:p>
        </w:tc>
        <w:tc>
          <w:tcPr>
            <w:tcW w:w="1375" w:type="dxa"/>
            <w:shd w:val="clear" w:color="auto" w:fill="FFFFFF"/>
            <w:tcMar>
              <w:top w:w="0" w:type="dxa"/>
              <w:left w:w="0" w:type="dxa"/>
              <w:bottom w:w="0" w:type="dxa"/>
              <w:right w:w="0" w:type="dxa"/>
            </w:tcMar>
            <w:vAlign w:val="center"/>
          </w:tcPr>
          <w:p w14:paraId="1B90CB17">
            <w:pPr>
              <w:keepNext w:val="0"/>
              <w:keepLines w:val="0"/>
              <w:suppressLineNumbers w:val="0"/>
              <w:spacing w:before="0" w:beforeAutospacing="0" w:after="0" w:afterAutospacing="0"/>
              <w:ind w:left="0" w:right="0"/>
              <w:jc w:val="center"/>
              <w:rPr>
                <w:rFonts w:hint="eastAsia" w:ascii="Arial" w:hAnsi="Arial" w:eastAsia="宋体" w:cs="Arial"/>
                <w:color w:val="auto"/>
                <w:sz w:val="20"/>
                <w:lang w:val="en-US" w:eastAsia="zh-CN"/>
              </w:rPr>
            </w:pPr>
            <w:r>
              <w:rPr>
                <w:rFonts w:hint="default" w:ascii="Arial" w:hAnsi="Arial" w:eastAsia="Arial" w:cs="Arial"/>
                <w:color w:val="auto"/>
                <w:sz w:val="20"/>
              </w:rPr>
              <w:t>搅拌机</w:t>
            </w:r>
            <w:r>
              <w:rPr>
                <w:rFonts w:hint="eastAsia" w:ascii="Arial" w:hAnsi="Arial" w:eastAsia="宋体" w:cs="Arial"/>
                <w:color w:val="auto"/>
                <w:sz w:val="20"/>
                <w:lang w:val="en-US" w:eastAsia="zh-CN"/>
              </w:rPr>
              <w:t>1</w:t>
            </w:r>
          </w:p>
        </w:tc>
        <w:tc>
          <w:tcPr>
            <w:tcW w:w="563" w:type="dxa"/>
            <w:shd w:val="clear" w:color="auto" w:fill="FFFFFF"/>
            <w:tcMar>
              <w:top w:w="0" w:type="dxa"/>
              <w:left w:w="0" w:type="dxa"/>
              <w:bottom w:w="0" w:type="dxa"/>
              <w:right w:w="0" w:type="dxa"/>
            </w:tcMar>
            <w:vAlign w:val="center"/>
          </w:tcPr>
          <w:p w14:paraId="0B4F227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80</w:t>
            </w:r>
          </w:p>
        </w:tc>
        <w:tc>
          <w:tcPr>
            <w:tcW w:w="657" w:type="dxa"/>
            <w:vMerge w:val="continue"/>
            <w:shd w:val="clear" w:color="auto" w:fill="FFFFFF"/>
            <w:tcMar>
              <w:top w:w="0" w:type="dxa"/>
              <w:left w:w="0" w:type="dxa"/>
              <w:bottom w:w="0" w:type="dxa"/>
              <w:right w:w="0" w:type="dxa"/>
            </w:tcMar>
            <w:vAlign w:val="center"/>
          </w:tcPr>
          <w:p w14:paraId="55F727A1">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507" w:type="dxa"/>
            <w:shd w:val="clear" w:color="auto" w:fill="FFFFFF"/>
            <w:tcMar>
              <w:top w:w="0" w:type="dxa"/>
              <w:left w:w="0" w:type="dxa"/>
              <w:bottom w:w="0" w:type="dxa"/>
              <w:right w:w="0" w:type="dxa"/>
            </w:tcMar>
            <w:vAlign w:val="center"/>
          </w:tcPr>
          <w:p w14:paraId="4372449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-18.9</w:t>
            </w:r>
          </w:p>
        </w:tc>
        <w:tc>
          <w:tcPr>
            <w:tcW w:w="523" w:type="dxa"/>
            <w:shd w:val="clear" w:color="auto" w:fill="FFFFFF"/>
            <w:tcMar>
              <w:top w:w="0" w:type="dxa"/>
              <w:left w:w="0" w:type="dxa"/>
              <w:bottom w:w="0" w:type="dxa"/>
              <w:right w:w="0" w:type="dxa"/>
            </w:tcMar>
            <w:vAlign w:val="center"/>
          </w:tcPr>
          <w:p w14:paraId="07530B59">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-24</w:t>
            </w:r>
          </w:p>
        </w:tc>
        <w:tc>
          <w:tcPr>
            <w:tcW w:w="523" w:type="dxa"/>
            <w:shd w:val="clear" w:color="auto" w:fill="FFFFFF"/>
            <w:tcMar>
              <w:top w:w="0" w:type="dxa"/>
              <w:left w:w="0" w:type="dxa"/>
              <w:bottom w:w="0" w:type="dxa"/>
              <w:right w:w="0" w:type="dxa"/>
            </w:tcMar>
            <w:vAlign w:val="center"/>
          </w:tcPr>
          <w:p w14:paraId="42B39246">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1.2</w:t>
            </w:r>
          </w:p>
        </w:tc>
        <w:tc>
          <w:tcPr>
            <w:tcW w:w="472" w:type="dxa"/>
            <w:shd w:val="clear" w:color="auto" w:fill="FFFFFF"/>
            <w:tcMar>
              <w:top w:w="0" w:type="dxa"/>
              <w:left w:w="0" w:type="dxa"/>
              <w:bottom w:w="0" w:type="dxa"/>
              <w:right w:w="0" w:type="dxa"/>
            </w:tcMar>
            <w:vAlign w:val="center"/>
          </w:tcPr>
          <w:p w14:paraId="2B71ACD3">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42.8</w:t>
            </w:r>
          </w:p>
        </w:tc>
        <w:tc>
          <w:tcPr>
            <w:tcW w:w="523" w:type="dxa"/>
            <w:shd w:val="clear" w:color="auto" w:fill="FFFFFF"/>
            <w:tcMar>
              <w:top w:w="0" w:type="dxa"/>
              <w:left w:w="0" w:type="dxa"/>
              <w:bottom w:w="0" w:type="dxa"/>
              <w:right w:w="0" w:type="dxa"/>
            </w:tcMar>
            <w:vAlign w:val="center"/>
          </w:tcPr>
          <w:p w14:paraId="53B2354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9.9</w:t>
            </w:r>
          </w:p>
        </w:tc>
        <w:tc>
          <w:tcPr>
            <w:tcW w:w="540" w:type="dxa"/>
            <w:shd w:val="clear" w:color="auto" w:fill="FFFFFF"/>
            <w:tcMar>
              <w:top w:w="0" w:type="dxa"/>
              <w:left w:w="0" w:type="dxa"/>
              <w:bottom w:w="0" w:type="dxa"/>
              <w:right w:w="0" w:type="dxa"/>
            </w:tcMar>
            <w:vAlign w:val="center"/>
          </w:tcPr>
          <w:p w14:paraId="7F3F31C3">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6.1</w:t>
            </w:r>
          </w:p>
        </w:tc>
        <w:tc>
          <w:tcPr>
            <w:tcW w:w="438" w:type="dxa"/>
            <w:shd w:val="clear" w:color="auto" w:fill="FFFFFF"/>
            <w:tcMar>
              <w:top w:w="0" w:type="dxa"/>
              <w:left w:w="0" w:type="dxa"/>
              <w:bottom w:w="0" w:type="dxa"/>
              <w:right w:w="0" w:type="dxa"/>
            </w:tcMar>
            <w:vAlign w:val="center"/>
          </w:tcPr>
          <w:p w14:paraId="0CF67F8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60.4</w:t>
            </w:r>
          </w:p>
        </w:tc>
        <w:tc>
          <w:tcPr>
            <w:tcW w:w="472" w:type="dxa"/>
            <w:shd w:val="clear" w:color="auto" w:fill="FFFFFF"/>
            <w:tcMar>
              <w:top w:w="0" w:type="dxa"/>
              <w:left w:w="0" w:type="dxa"/>
              <w:bottom w:w="0" w:type="dxa"/>
              <w:right w:w="0" w:type="dxa"/>
            </w:tcMar>
            <w:vAlign w:val="center"/>
          </w:tcPr>
          <w:p w14:paraId="0AD4D559">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472" w:type="dxa"/>
            <w:shd w:val="clear" w:color="auto" w:fill="FFFFFF"/>
            <w:tcMar>
              <w:top w:w="0" w:type="dxa"/>
              <w:left w:w="0" w:type="dxa"/>
              <w:bottom w:w="0" w:type="dxa"/>
              <w:right w:w="0" w:type="dxa"/>
            </w:tcMar>
            <w:vAlign w:val="center"/>
          </w:tcPr>
          <w:p w14:paraId="32481C5B">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62.6</w:t>
            </w:r>
          </w:p>
        </w:tc>
        <w:tc>
          <w:tcPr>
            <w:tcW w:w="505" w:type="dxa"/>
            <w:shd w:val="clear" w:color="auto" w:fill="FFFFFF"/>
            <w:tcMar>
              <w:top w:w="0" w:type="dxa"/>
              <w:left w:w="0" w:type="dxa"/>
              <w:bottom w:w="0" w:type="dxa"/>
              <w:right w:w="0" w:type="dxa"/>
            </w:tcMar>
            <w:vAlign w:val="center"/>
          </w:tcPr>
          <w:p w14:paraId="2B932FE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62.9</w:t>
            </w:r>
          </w:p>
        </w:tc>
        <w:tc>
          <w:tcPr>
            <w:tcW w:w="507" w:type="dxa"/>
            <w:shd w:val="clear" w:color="auto" w:fill="FFFFFF"/>
            <w:tcMar>
              <w:top w:w="0" w:type="dxa"/>
              <w:left w:w="0" w:type="dxa"/>
              <w:bottom w:w="0" w:type="dxa"/>
              <w:right w:w="0" w:type="dxa"/>
            </w:tcMar>
            <w:vAlign w:val="center"/>
          </w:tcPr>
          <w:p w14:paraId="2916AFBC">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539" w:type="dxa"/>
            <w:vMerge w:val="continue"/>
            <w:shd w:val="clear" w:color="auto" w:fill="FFFFFF"/>
            <w:tcMar>
              <w:top w:w="0" w:type="dxa"/>
              <w:left w:w="0" w:type="dxa"/>
              <w:bottom w:w="0" w:type="dxa"/>
              <w:right w:w="0" w:type="dxa"/>
            </w:tcMar>
            <w:vAlign w:val="center"/>
          </w:tcPr>
          <w:p w14:paraId="563FA9A7">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7659AD3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89" w:type="dxa"/>
            <w:shd w:val="clear" w:color="auto" w:fill="FFFFFF"/>
            <w:tcMar>
              <w:top w:w="0" w:type="dxa"/>
              <w:left w:w="0" w:type="dxa"/>
              <w:bottom w:w="0" w:type="dxa"/>
              <w:right w:w="0" w:type="dxa"/>
            </w:tcMar>
            <w:vAlign w:val="center"/>
          </w:tcPr>
          <w:p w14:paraId="154E869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72" w:type="dxa"/>
            <w:shd w:val="clear" w:color="auto" w:fill="FFFFFF"/>
            <w:tcMar>
              <w:top w:w="0" w:type="dxa"/>
              <w:left w:w="0" w:type="dxa"/>
              <w:bottom w:w="0" w:type="dxa"/>
              <w:right w:w="0" w:type="dxa"/>
            </w:tcMar>
            <w:vAlign w:val="center"/>
          </w:tcPr>
          <w:p w14:paraId="073180F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20" w:type="dxa"/>
            <w:shd w:val="clear" w:color="auto" w:fill="FFFFFF"/>
            <w:tcMar>
              <w:top w:w="0" w:type="dxa"/>
              <w:left w:w="0" w:type="dxa"/>
              <w:bottom w:w="0" w:type="dxa"/>
              <w:right w:w="0" w:type="dxa"/>
            </w:tcMar>
            <w:vAlign w:val="center"/>
          </w:tcPr>
          <w:p w14:paraId="05FA6E19">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556" w:type="dxa"/>
            <w:shd w:val="clear" w:color="auto" w:fill="FFFFFF"/>
            <w:tcMar>
              <w:top w:w="0" w:type="dxa"/>
              <w:left w:w="0" w:type="dxa"/>
              <w:bottom w:w="0" w:type="dxa"/>
              <w:right w:w="0" w:type="dxa"/>
            </w:tcMar>
            <w:vAlign w:val="center"/>
          </w:tcPr>
          <w:p w14:paraId="004F34FE">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42.4</w:t>
            </w:r>
          </w:p>
        </w:tc>
        <w:tc>
          <w:tcPr>
            <w:tcW w:w="489" w:type="dxa"/>
            <w:shd w:val="clear" w:color="auto" w:fill="FFFFFF"/>
            <w:tcMar>
              <w:top w:w="0" w:type="dxa"/>
              <w:left w:w="0" w:type="dxa"/>
              <w:bottom w:w="0" w:type="dxa"/>
              <w:right w:w="0" w:type="dxa"/>
            </w:tcMar>
            <w:vAlign w:val="center"/>
          </w:tcPr>
          <w:p w14:paraId="5C215A35">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default" w:ascii="Arial" w:hAnsi="Arial" w:eastAsia="Arial" w:cs="Arial"/>
                <w:color w:val="auto"/>
                <w:sz w:val="20"/>
              </w:rPr>
              <w:t>4</w:t>
            </w:r>
            <w:r>
              <w:rPr>
                <w:rFonts w:hint="eastAsia" w:ascii="Arial" w:hAnsi="Arial" w:eastAsia="宋体" w:cs="Arial"/>
                <w:color w:val="auto"/>
                <w:sz w:val="20"/>
                <w:lang w:val="en-US" w:eastAsia="zh-CN"/>
              </w:rPr>
              <w:t>2.6</w:t>
            </w:r>
          </w:p>
        </w:tc>
        <w:tc>
          <w:tcPr>
            <w:tcW w:w="556" w:type="dxa"/>
            <w:shd w:val="clear" w:color="auto" w:fill="FFFFFF"/>
            <w:tcMar>
              <w:top w:w="0" w:type="dxa"/>
              <w:left w:w="0" w:type="dxa"/>
              <w:bottom w:w="0" w:type="dxa"/>
              <w:right w:w="0" w:type="dxa"/>
            </w:tcMar>
            <w:vAlign w:val="center"/>
          </w:tcPr>
          <w:p w14:paraId="732DD68F">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default" w:ascii="Arial" w:hAnsi="Arial" w:eastAsia="Arial" w:cs="Arial"/>
                <w:color w:val="auto"/>
                <w:sz w:val="20"/>
              </w:rPr>
              <w:t>4</w:t>
            </w:r>
            <w:r>
              <w:rPr>
                <w:rFonts w:hint="eastAsia" w:ascii="Arial" w:hAnsi="Arial" w:eastAsia="宋体" w:cs="Arial"/>
                <w:color w:val="auto"/>
                <w:sz w:val="20"/>
                <w:lang w:val="en-US" w:eastAsia="zh-CN"/>
              </w:rPr>
              <w:t>2.9</w:t>
            </w:r>
          </w:p>
        </w:tc>
        <w:tc>
          <w:tcPr>
            <w:tcW w:w="523" w:type="dxa"/>
            <w:shd w:val="clear" w:color="auto" w:fill="FFFFFF"/>
            <w:tcMar>
              <w:top w:w="0" w:type="dxa"/>
              <w:left w:w="0" w:type="dxa"/>
              <w:bottom w:w="0" w:type="dxa"/>
              <w:right w:w="0" w:type="dxa"/>
            </w:tcMar>
            <w:vAlign w:val="center"/>
          </w:tcPr>
          <w:p w14:paraId="238A94C2">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default" w:ascii="Arial" w:hAnsi="Arial" w:eastAsia="Arial" w:cs="Arial"/>
                <w:color w:val="auto"/>
                <w:sz w:val="20"/>
              </w:rPr>
              <w:t>4</w:t>
            </w:r>
            <w:r>
              <w:rPr>
                <w:rFonts w:hint="eastAsia" w:ascii="Arial" w:hAnsi="Arial" w:eastAsia="宋体" w:cs="Arial"/>
                <w:color w:val="auto"/>
                <w:sz w:val="20"/>
                <w:lang w:val="en-US" w:eastAsia="zh-CN"/>
              </w:rPr>
              <w:t>2.4</w:t>
            </w:r>
          </w:p>
        </w:tc>
        <w:tc>
          <w:tcPr>
            <w:tcW w:w="688" w:type="dxa"/>
            <w:shd w:val="clear" w:color="auto" w:fill="FFFFFF"/>
            <w:tcMar>
              <w:top w:w="0" w:type="dxa"/>
              <w:left w:w="0" w:type="dxa"/>
              <w:bottom w:w="0" w:type="dxa"/>
              <w:right w:w="0" w:type="dxa"/>
            </w:tcMar>
            <w:vAlign w:val="center"/>
          </w:tcPr>
          <w:p w14:paraId="765CBFC7">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w:t>
            </w:r>
          </w:p>
        </w:tc>
      </w:tr>
      <w:tr w14:paraId="0A15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shd w:val="clear" w:color="auto" w:fill="FFFFFF"/>
            <w:tcMar>
              <w:top w:w="0" w:type="dxa"/>
              <w:left w:w="0" w:type="dxa"/>
              <w:bottom w:w="0" w:type="dxa"/>
              <w:right w:w="0" w:type="dxa"/>
            </w:tcMar>
            <w:vAlign w:val="center"/>
          </w:tcPr>
          <w:p w14:paraId="50F36761">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5</w:t>
            </w:r>
          </w:p>
        </w:tc>
        <w:tc>
          <w:tcPr>
            <w:tcW w:w="910" w:type="dxa"/>
            <w:shd w:val="clear" w:color="auto" w:fill="FFFFFF"/>
            <w:tcMar>
              <w:top w:w="0" w:type="dxa"/>
              <w:left w:w="0" w:type="dxa"/>
              <w:bottom w:w="0" w:type="dxa"/>
              <w:right w:w="0" w:type="dxa"/>
            </w:tcMar>
            <w:vAlign w:val="center"/>
          </w:tcPr>
          <w:p w14:paraId="45ABE997">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生产厂房</w:t>
            </w:r>
          </w:p>
        </w:tc>
        <w:tc>
          <w:tcPr>
            <w:tcW w:w="1375" w:type="dxa"/>
            <w:shd w:val="clear" w:color="auto" w:fill="FFFFFF"/>
            <w:tcMar>
              <w:top w:w="0" w:type="dxa"/>
              <w:left w:w="0" w:type="dxa"/>
              <w:bottom w:w="0" w:type="dxa"/>
              <w:right w:w="0" w:type="dxa"/>
            </w:tcMar>
            <w:vAlign w:val="center"/>
          </w:tcPr>
          <w:p w14:paraId="7B486F38">
            <w:pPr>
              <w:keepNext w:val="0"/>
              <w:keepLines w:val="0"/>
              <w:suppressLineNumbers w:val="0"/>
              <w:spacing w:before="0" w:beforeAutospacing="0" w:after="0" w:afterAutospacing="0"/>
              <w:ind w:left="0" w:right="0"/>
              <w:jc w:val="center"/>
              <w:rPr>
                <w:rFonts w:hint="eastAsia" w:ascii="Arial" w:hAnsi="Arial" w:eastAsia="宋体" w:cs="Arial"/>
                <w:color w:val="auto"/>
                <w:sz w:val="20"/>
                <w:lang w:val="en-US" w:eastAsia="zh-CN"/>
              </w:rPr>
            </w:pPr>
            <w:r>
              <w:rPr>
                <w:rFonts w:hint="default" w:ascii="Arial" w:hAnsi="Arial" w:eastAsia="Arial" w:cs="Arial"/>
                <w:color w:val="auto"/>
                <w:sz w:val="20"/>
              </w:rPr>
              <w:t>搅拌机</w:t>
            </w:r>
            <w:r>
              <w:rPr>
                <w:rFonts w:hint="eastAsia" w:ascii="Arial" w:hAnsi="Arial" w:eastAsia="宋体" w:cs="Arial"/>
                <w:color w:val="auto"/>
                <w:sz w:val="20"/>
                <w:lang w:val="en-US" w:eastAsia="zh-CN"/>
              </w:rPr>
              <w:t>2</w:t>
            </w:r>
          </w:p>
        </w:tc>
        <w:tc>
          <w:tcPr>
            <w:tcW w:w="563" w:type="dxa"/>
            <w:shd w:val="clear" w:color="auto" w:fill="FFFFFF"/>
            <w:tcMar>
              <w:top w:w="0" w:type="dxa"/>
              <w:left w:w="0" w:type="dxa"/>
              <w:bottom w:w="0" w:type="dxa"/>
              <w:right w:w="0" w:type="dxa"/>
            </w:tcMar>
            <w:vAlign w:val="center"/>
          </w:tcPr>
          <w:p w14:paraId="49783AFC">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80</w:t>
            </w:r>
          </w:p>
        </w:tc>
        <w:tc>
          <w:tcPr>
            <w:tcW w:w="657" w:type="dxa"/>
            <w:vMerge w:val="continue"/>
            <w:shd w:val="clear" w:color="auto" w:fill="FFFFFF"/>
            <w:tcMar>
              <w:top w:w="0" w:type="dxa"/>
              <w:left w:w="0" w:type="dxa"/>
              <w:bottom w:w="0" w:type="dxa"/>
              <w:right w:w="0" w:type="dxa"/>
            </w:tcMar>
            <w:vAlign w:val="center"/>
          </w:tcPr>
          <w:p w14:paraId="2E38DBD0">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507" w:type="dxa"/>
            <w:shd w:val="clear" w:color="auto" w:fill="FFFFFF"/>
            <w:tcMar>
              <w:top w:w="0" w:type="dxa"/>
              <w:left w:w="0" w:type="dxa"/>
              <w:bottom w:w="0" w:type="dxa"/>
              <w:right w:w="0" w:type="dxa"/>
            </w:tcMar>
            <w:vAlign w:val="center"/>
          </w:tcPr>
          <w:p w14:paraId="010CFF07">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-15.4</w:t>
            </w:r>
          </w:p>
        </w:tc>
        <w:tc>
          <w:tcPr>
            <w:tcW w:w="523" w:type="dxa"/>
            <w:shd w:val="clear" w:color="auto" w:fill="FFFFFF"/>
            <w:tcMar>
              <w:top w:w="0" w:type="dxa"/>
              <w:left w:w="0" w:type="dxa"/>
              <w:bottom w:w="0" w:type="dxa"/>
              <w:right w:w="0" w:type="dxa"/>
            </w:tcMar>
            <w:vAlign w:val="center"/>
          </w:tcPr>
          <w:p w14:paraId="2DB942F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-26.1</w:t>
            </w:r>
          </w:p>
        </w:tc>
        <w:tc>
          <w:tcPr>
            <w:tcW w:w="523" w:type="dxa"/>
            <w:shd w:val="clear" w:color="auto" w:fill="FFFFFF"/>
            <w:tcMar>
              <w:top w:w="0" w:type="dxa"/>
              <w:left w:w="0" w:type="dxa"/>
              <w:bottom w:w="0" w:type="dxa"/>
              <w:right w:w="0" w:type="dxa"/>
            </w:tcMar>
            <w:vAlign w:val="center"/>
          </w:tcPr>
          <w:p w14:paraId="07BF73B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1.2</w:t>
            </w:r>
          </w:p>
        </w:tc>
        <w:tc>
          <w:tcPr>
            <w:tcW w:w="472" w:type="dxa"/>
            <w:shd w:val="clear" w:color="auto" w:fill="FFFFFF"/>
            <w:tcMar>
              <w:top w:w="0" w:type="dxa"/>
              <w:left w:w="0" w:type="dxa"/>
              <w:bottom w:w="0" w:type="dxa"/>
              <w:right w:w="0" w:type="dxa"/>
            </w:tcMar>
            <w:vAlign w:val="center"/>
          </w:tcPr>
          <w:p w14:paraId="169DB8B6">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38.9</w:t>
            </w:r>
          </w:p>
        </w:tc>
        <w:tc>
          <w:tcPr>
            <w:tcW w:w="523" w:type="dxa"/>
            <w:shd w:val="clear" w:color="auto" w:fill="FFFFFF"/>
            <w:tcMar>
              <w:top w:w="0" w:type="dxa"/>
              <w:left w:w="0" w:type="dxa"/>
              <w:bottom w:w="0" w:type="dxa"/>
              <w:right w:w="0" w:type="dxa"/>
            </w:tcMar>
            <w:vAlign w:val="center"/>
          </w:tcPr>
          <w:p w14:paraId="764DF5F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10.0</w:t>
            </w:r>
          </w:p>
        </w:tc>
        <w:tc>
          <w:tcPr>
            <w:tcW w:w="540" w:type="dxa"/>
            <w:shd w:val="clear" w:color="auto" w:fill="FFFFFF"/>
            <w:tcMar>
              <w:top w:w="0" w:type="dxa"/>
              <w:left w:w="0" w:type="dxa"/>
              <w:bottom w:w="0" w:type="dxa"/>
              <w:right w:w="0" w:type="dxa"/>
            </w:tcMar>
            <w:vAlign w:val="center"/>
          </w:tcPr>
          <w:p w14:paraId="0A81CDC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9.9</w:t>
            </w:r>
          </w:p>
        </w:tc>
        <w:tc>
          <w:tcPr>
            <w:tcW w:w="438" w:type="dxa"/>
            <w:shd w:val="clear" w:color="auto" w:fill="FFFFFF"/>
            <w:tcMar>
              <w:top w:w="0" w:type="dxa"/>
              <w:left w:w="0" w:type="dxa"/>
              <w:bottom w:w="0" w:type="dxa"/>
              <w:right w:w="0" w:type="dxa"/>
            </w:tcMar>
            <w:vAlign w:val="center"/>
          </w:tcPr>
          <w:p w14:paraId="19BFEA79">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61.8</w:t>
            </w:r>
          </w:p>
        </w:tc>
        <w:tc>
          <w:tcPr>
            <w:tcW w:w="472" w:type="dxa"/>
            <w:shd w:val="clear" w:color="auto" w:fill="FFFFFF"/>
            <w:tcMar>
              <w:top w:w="0" w:type="dxa"/>
              <w:left w:w="0" w:type="dxa"/>
              <w:bottom w:w="0" w:type="dxa"/>
              <w:right w:w="0" w:type="dxa"/>
            </w:tcMar>
            <w:vAlign w:val="center"/>
          </w:tcPr>
          <w:p w14:paraId="6714A9B5">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472" w:type="dxa"/>
            <w:shd w:val="clear" w:color="auto" w:fill="FFFFFF"/>
            <w:tcMar>
              <w:top w:w="0" w:type="dxa"/>
              <w:left w:w="0" w:type="dxa"/>
              <w:bottom w:w="0" w:type="dxa"/>
              <w:right w:w="0" w:type="dxa"/>
            </w:tcMar>
            <w:vAlign w:val="center"/>
          </w:tcPr>
          <w:p w14:paraId="7A982D72">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62.6</w:t>
            </w:r>
          </w:p>
        </w:tc>
        <w:tc>
          <w:tcPr>
            <w:tcW w:w="505" w:type="dxa"/>
            <w:shd w:val="clear" w:color="auto" w:fill="FFFFFF"/>
            <w:tcMar>
              <w:top w:w="0" w:type="dxa"/>
              <w:left w:w="0" w:type="dxa"/>
              <w:bottom w:w="0" w:type="dxa"/>
              <w:right w:w="0" w:type="dxa"/>
            </w:tcMar>
            <w:vAlign w:val="center"/>
          </w:tcPr>
          <w:p w14:paraId="52CC89E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62.6</w:t>
            </w:r>
          </w:p>
        </w:tc>
        <w:tc>
          <w:tcPr>
            <w:tcW w:w="507" w:type="dxa"/>
            <w:shd w:val="clear" w:color="auto" w:fill="FFFFFF"/>
            <w:tcMar>
              <w:top w:w="0" w:type="dxa"/>
              <w:left w:w="0" w:type="dxa"/>
              <w:bottom w:w="0" w:type="dxa"/>
              <w:right w:w="0" w:type="dxa"/>
            </w:tcMar>
            <w:vAlign w:val="center"/>
          </w:tcPr>
          <w:p w14:paraId="6644BC1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539" w:type="dxa"/>
            <w:vMerge w:val="continue"/>
            <w:shd w:val="clear" w:color="auto" w:fill="FFFFFF"/>
            <w:tcMar>
              <w:top w:w="0" w:type="dxa"/>
              <w:left w:w="0" w:type="dxa"/>
              <w:bottom w:w="0" w:type="dxa"/>
              <w:right w:w="0" w:type="dxa"/>
            </w:tcMar>
            <w:vAlign w:val="center"/>
          </w:tcPr>
          <w:p w14:paraId="2F4BD3F1">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1E40E60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89" w:type="dxa"/>
            <w:shd w:val="clear" w:color="auto" w:fill="FFFFFF"/>
            <w:tcMar>
              <w:top w:w="0" w:type="dxa"/>
              <w:left w:w="0" w:type="dxa"/>
              <w:bottom w:w="0" w:type="dxa"/>
              <w:right w:w="0" w:type="dxa"/>
            </w:tcMar>
            <w:vAlign w:val="center"/>
          </w:tcPr>
          <w:p w14:paraId="07104FE5">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72" w:type="dxa"/>
            <w:shd w:val="clear" w:color="auto" w:fill="FFFFFF"/>
            <w:tcMar>
              <w:top w:w="0" w:type="dxa"/>
              <w:left w:w="0" w:type="dxa"/>
              <w:bottom w:w="0" w:type="dxa"/>
              <w:right w:w="0" w:type="dxa"/>
            </w:tcMar>
            <w:vAlign w:val="center"/>
          </w:tcPr>
          <w:p w14:paraId="40053F7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20" w:type="dxa"/>
            <w:shd w:val="clear" w:color="auto" w:fill="FFFFFF"/>
            <w:tcMar>
              <w:top w:w="0" w:type="dxa"/>
              <w:left w:w="0" w:type="dxa"/>
              <w:bottom w:w="0" w:type="dxa"/>
              <w:right w:w="0" w:type="dxa"/>
            </w:tcMar>
            <w:vAlign w:val="center"/>
          </w:tcPr>
          <w:p w14:paraId="3D12EDC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556" w:type="dxa"/>
            <w:shd w:val="clear" w:color="auto" w:fill="FFFFFF"/>
            <w:tcMar>
              <w:top w:w="0" w:type="dxa"/>
              <w:left w:w="0" w:type="dxa"/>
              <w:bottom w:w="0" w:type="dxa"/>
              <w:right w:w="0" w:type="dxa"/>
            </w:tcMar>
            <w:vAlign w:val="center"/>
          </w:tcPr>
          <w:p w14:paraId="3B42874E">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default" w:ascii="Arial" w:hAnsi="Arial" w:eastAsia="Arial" w:cs="Arial"/>
                <w:color w:val="auto"/>
                <w:sz w:val="20"/>
              </w:rPr>
              <w:t>4</w:t>
            </w:r>
            <w:r>
              <w:rPr>
                <w:rFonts w:hint="eastAsia" w:ascii="Arial" w:hAnsi="Arial" w:eastAsia="宋体" w:cs="Arial"/>
                <w:color w:val="auto"/>
                <w:sz w:val="20"/>
                <w:lang w:val="en-US" w:eastAsia="zh-CN"/>
              </w:rPr>
              <w:t>2.4</w:t>
            </w:r>
          </w:p>
        </w:tc>
        <w:tc>
          <w:tcPr>
            <w:tcW w:w="489" w:type="dxa"/>
            <w:shd w:val="clear" w:color="auto" w:fill="FFFFFF"/>
            <w:tcMar>
              <w:top w:w="0" w:type="dxa"/>
              <w:left w:w="0" w:type="dxa"/>
              <w:bottom w:w="0" w:type="dxa"/>
              <w:right w:w="0" w:type="dxa"/>
            </w:tcMar>
            <w:vAlign w:val="center"/>
          </w:tcPr>
          <w:p w14:paraId="2CFE2981">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default" w:ascii="Arial" w:hAnsi="Arial" w:eastAsia="Arial" w:cs="Arial"/>
                <w:color w:val="auto"/>
                <w:sz w:val="20"/>
              </w:rPr>
              <w:t>4</w:t>
            </w:r>
            <w:r>
              <w:rPr>
                <w:rFonts w:hint="eastAsia" w:ascii="Arial" w:hAnsi="Arial" w:eastAsia="宋体" w:cs="Arial"/>
                <w:color w:val="auto"/>
                <w:sz w:val="20"/>
                <w:lang w:val="en-US" w:eastAsia="zh-CN"/>
              </w:rPr>
              <w:t>2.4</w:t>
            </w:r>
          </w:p>
        </w:tc>
        <w:tc>
          <w:tcPr>
            <w:tcW w:w="556" w:type="dxa"/>
            <w:shd w:val="clear" w:color="auto" w:fill="FFFFFF"/>
            <w:tcMar>
              <w:top w:w="0" w:type="dxa"/>
              <w:left w:w="0" w:type="dxa"/>
              <w:bottom w:w="0" w:type="dxa"/>
              <w:right w:w="0" w:type="dxa"/>
            </w:tcMar>
            <w:vAlign w:val="center"/>
          </w:tcPr>
          <w:p w14:paraId="0864E69E">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default" w:ascii="Arial" w:hAnsi="Arial" w:eastAsia="Arial" w:cs="Arial"/>
                <w:color w:val="auto"/>
                <w:sz w:val="20"/>
              </w:rPr>
              <w:t>4</w:t>
            </w:r>
            <w:r>
              <w:rPr>
                <w:rFonts w:hint="eastAsia" w:ascii="Arial" w:hAnsi="Arial" w:eastAsia="宋体" w:cs="Arial"/>
                <w:color w:val="auto"/>
                <w:sz w:val="20"/>
                <w:lang w:val="en-US" w:eastAsia="zh-CN"/>
              </w:rPr>
              <w:t>2.6</w:t>
            </w:r>
          </w:p>
        </w:tc>
        <w:tc>
          <w:tcPr>
            <w:tcW w:w="523" w:type="dxa"/>
            <w:shd w:val="clear" w:color="auto" w:fill="FFFFFF"/>
            <w:tcMar>
              <w:top w:w="0" w:type="dxa"/>
              <w:left w:w="0" w:type="dxa"/>
              <w:bottom w:w="0" w:type="dxa"/>
              <w:right w:w="0" w:type="dxa"/>
            </w:tcMar>
            <w:vAlign w:val="center"/>
          </w:tcPr>
          <w:p w14:paraId="60BEFBD9">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default" w:ascii="Arial" w:hAnsi="Arial" w:eastAsia="Arial" w:cs="Arial"/>
                <w:color w:val="auto"/>
                <w:sz w:val="20"/>
              </w:rPr>
              <w:t>4</w:t>
            </w:r>
            <w:r>
              <w:rPr>
                <w:rFonts w:hint="eastAsia" w:ascii="Arial" w:hAnsi="Arial" w:eastAsia="宋体" w:cs="Arial"/>
                <w:color w:val="auto"/>
                <w:sz w:val="20"/>
                <w:lang w:val="en-US" w:eastAsia="zh-CN"/>
              </w:rPr>
              <w:t>2.4</w:t>
            </w:r>
          </w:p>
        </w:tc>
        <w:tc>
          <w:tcPr>
            <w:tcW w:w="688" w:type="dxa"/>
            <w:shd w:val="clear" w:color="auto" w:fill="FFFFFF"/>
            <w:tcMar>
              <w:top w:w="0" w:type="dxa"/>
              <w:left w:w="0" w:type="dxa"/>
              <w:bottom w:w="0" w:type="dxa"/>
              <w:right w:w="0" w:type="dxa"/>
            </w:tcMar>
            <w:vAlign w:val="center"/>
          </w:tcPr>
          <w:p w14:paraId="2542FED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w:t>
            </w:r>
          </w:p>
        </w:tc>
      </w:tr>
      <w:tr w14:paraId="41A6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shd w:val="clear" w:color="auto" w:fill="FFFFFF"/>
            <w:tcMar>
              <w:top w:w="0" w:type="dxa"/>
              <w:left w:w="0" w:type="dxa"/>
              <w:bottom w:w="0" w:type="dxa"/>
              <w:right w:w="0" w:type="dxa"/>
            </w:tcMar>
            <w:vAlign w:val="center"/>
          </w:tcPr>
          <w:p w14:paraId="6632D971">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w:t>
            </w:r>
          </w:p>
        </w:tc>
        <w:tc>
          <w:tcPr>
            <w:tcW w:w="910" w:type="dxa"/>
            <w:shd w:val="clear" w:color="auto" w:fill="FFFFFF"/>
            <w:tcMar>
              <w:top w:w="0" w:type="dxa"/>
              <w:left w:w="0" w:type="dxa"/>
              <w:bottom w:w="0" w:type="dxa"/>
              <w:right w:w="0" w:type="dxa"/>
            </w:tcMar>
            <w:vAlign w:val="center"/>
          </w:tcPr>
          <w:p w14:paraId="26740BC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生产厂房</w:t>
            </w:r>
          </w:p>
        </w:tc>
        <w:tc>
          <w:tcPr>
            <w:tcW w:w="1375" w:type="dxa"/>
            <w:shd w:val="clear" w:color="auto" w:fill="FFFFFF"/>
            <w:tcMar>
              <w:top w:w="0" w:type="dxa"/>
              <w:left w:w="0" w:type="dxa"/>
              <w:bottom w:w="0" w:type="dxa"/>
              <w:right w:w="0" w:type="dxa"/>
            </w:tcMar>
            <w:vAlign w:val="center"/>
          </w:tcPr>
          <w:p w14:paraId="778CC727">
            <w:pPr>
              <w:keepNext w:val="0"/>
              <w:keepLines w:val="0"/>
              <w:suppressLineNumbers w:val="0"/>
              <w:spacing w:before="0" w:beforeAutospacing="0" w:after="0" w:afterAutospacing="0"/>
              <w:ind w:left="0" w:right="0"/>
              <w:jc w:val="center"/>
              <w:rPr>
                <w:rFonts w:hint="eastAsia" w:ascii="Arial" w:hAnsi="Arial" w:eastAsia="宋体" w:cs="Arial"/>
                <w:color w:val="auto"/>
                <w:sz w:val="20"/>
                <w:lang w:val="en-US" w:eastAsia="zh-CN"/>
              </w:rPr>
            </w:pPr>
            <w:r>
              <w:rPr>
                <w:rFonts w:hint="default" w:ascii="Arial" w:hAnsi="Arial" w:eastAsia="Arial" w:cs="Arial"/>
                <w:color w:val="auto"/>
                <w:sz w:val="20"/>
              </w:rPr>
              <w:t>叉车</w:t>
            </w:r>
            <w:r>
              <w:rPr>
                <w:rFonts w:hint="eastAsia" w:ascii="Arial" w:hAnsi="Arial" w:eastAsia="宋体" w:cs="Arial"/>
                <w:color w:val="auto"/>
                <w:sz w:val="20"/>
                <w:lang w:val="en-US" w:eastAsia="zh-CN"/>
              </w:rPr>
              <w:t>1</w:t>
            </w:r>
          </w:p>
        </w:tc>
        <w:tc>
          <w:tcPr>
            <w:tcW w:w="563" w:type="dxa"/>
            <w:shd w:val="clear" w:color="auto" w:fill="FFFFFF"/>
            <w:tcMar>
              <w:top w:w="0" w:type="dxa"/>
              <w:left w:w="0" w:type="dxa"/>
              <w:bottom w:w="0" w:type="dxa"/>
              <w:right w:w="0" w:type="dxa"/>
            </w:tcMar>
            <w:vAlign w:val="center"/>
          </w:tcPr>
          <w:p w14:paraId="2793FA5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80</w:t>
            </w:r>
          </w:p>
        </w:tc>
        <w:tc>
          <w:tcPr>
            <w:tcW w:w="657" w:type="dxa"/>
            <w:vMerge w:val="continue"/>
            <w:shd w:val="clear" w:color="auto" w:fill="FFFFFF"/>
            <w:tcMar>
              <w:top w:w="0" w:type="dxa"/>
              <w:left w:w="0" w:type="dxa"/>
              <w:bottom w:w="0" w:type="dxa"/>
              <w:right w:w="0" w:type="dxa"/>
            </w:tcMar>
            <w:vAlign w:val="center"/>
          </w:tcPr>
          <w:p w14:paraId="07CCE0E8">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507" w:type="dxa"/>
            <w:shd w:val="clear" w:color="auto" w:fill="FFFFFF"/>
            <w:tcMar>
              <w:top w:w="0" w:type="dxa"/>
              <w:left w:w="0" w:type="dxa"/>
              <w:bottom w:w="0" w:type="dxa"/>
              <w:right w:w="0" w:type="dxa"/>
            </w:tcMar>
            <w:vAlign w:val="center"/>
          </w:tcPr>
          <w:p w14:paraId="101CB02B">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-8.1</w:t>
            </w:r>
          </w:p>
        </w:tc>
        <w:tc>
          <w:tcPr>
            <w:tcW w:w="523" w:type="dxa"/>
            <w:shd w:val="clear" w:color="auto" w:fill="FFFFFF"/>
            <w:tcMar>
              <w:top w:w="0" w:type="dxa"/>
              <w:left w:w="0" w:type="dxa"/>
              <w:bottom w:w="0" w:type="dxa"/>
              <w:right w:w="0" w:type="dxa"/>
            </w:tcMar>
            <w:vAlign w:val="center"/>
          </w:tcPr>
          <w:p w14:paraId="395CECD6">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6.5</w:t>
            </w:r>
          </w:p>
        </w:tc>
        <w:tc>
          <w:tcPr>
            <w:tcW w:w="523" w:type="dxa"/>
            <w:shd w:val="clear" w:color="auto" w:fill="FFFFFF"/>
            <w:tcMar>
              <w:top w:w="0" w:type="dxa"/>
              <w:left w:w="0" w:type="dxa"/>
              <w:bottom w:w="0" w:type="dxa"/>
              <w:right w:w="0" w:type="dxa"/>
            </w:tcMar>
            <w:vAlign w:val="center"/>
          </w:tcPr>
          <w:p w14:paraId="18358AA1">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1.2</w:t>
            </w:r>
          </w:p>
        </w:tc>
        <w:tc>
          <w:tcPr>
            <w:tcW w:w="472" w:type="dxa"/>
            <w:shd w:val="clear" w:color="auto" w:fill="FFFFFF"/>
            <w:tcMar>
              <w:top w:w="0" w:type="dxa"/>
              <w:left w:w="0" w:type="dxa"/>
              <w:bottom w:w="0" w:type="dxa"/>
              <w:right w:w="0" w:type="dxa"/>
            </w:tcMar>
            <w:vAlign w:val="center"/>
          </w:tcPr>
          <w:p w14:paraId="4086F71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37.6</w:t>
            </w:r>
          </w:p>
        </w:tc>
        <w:tc>
          <w:tcPr>
            <w:tcW w:w="523" w:type="dxa"/>
            <w:shd w:val="clear" w:color="auto" w:fill="FFFFFF"/>
            <w:tcMar>
              <w:top w:w="0" w:type="dxa"/>
              <w:left w:w="0" w:type="dxa"/>
              <w:bottom w:w="0" w:type="dxa"/>
              <w:right w:w="0" w:type="dxa"/>
            </w:tcMar>
            <w:vAlign w:val="center"/>
          </w:tcPr>
          <w:p w14:paraId="32D7C99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41.5</w:t>
            </w:r>
          </w:p>
        </w:tc>
        <w:tc>
          <w:tcPr>
            <w:tcW w:w="540" w:type="dxa"/>
            <w:shd w:val="clear" w:color="auto" w:fill="FFFFFF"/>
            <w:tcMar>
              <w:top w:w="0" w:type="dxa"/>
              <w:left w:w="0" w:type="dxa"/>
              <w:bottom w:w="0" w:type="dxa"/>
              <w:right w:w="0" w:type="dxa"/>
            </w:tcMar>
            <w:vAlign w:val="center"/>
          </w:tcPr>
          <w:p w14:paraId="20629A03">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10.9</w:t>
            </w:r>
          </w:p>
        </w:tc>
        <w:tc>
          <w:tcPr>
            <w:tcW w:w="438" w:type="dxa"/>
            <w:shd w:val="clear" w:color="auto" w:fill="FFFFFF"/>
            <w:tcMar>
              <w:top w:w="0" w:type="dxa"/>
              <w:left w:w="0" w:type="dxa"/>
              <w:bottom w:w="0" w:type="dxa"/>
              <w:right w:w="0" w:type="dxa"/>
            </w:tcMar>
            <w:vAlign w:val="center"/>
          </w:tcPr>
          <w:p w14:paraId="3B99A43C">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28.4</w:t>
            </w:r>
          </w:p>
        </w:tc>
        <w:tc>
          <w:tcPr>
            <w:tcW w:w="472" w:type="dxa"/>
            <w:shd w:val="clear" w:color="auto" w:fill="FFFFFF"/>
            <w:tcMar>
              <w:top w:w="0" w:type="dxa"/>
              <w:left w:w="0" w:type="dxa"/>
              <w:bottom w:w="0" w:type="dxa"/>
              <w:right w:w="0" w:type="dxa"/>
            </w:tcMar>
            <w:vAlign w:val="center"/>
          </w:tcPr>
          <w:p w14:paraId="2BA00FEC">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472" w:type="dxa"/>
            <w:shd w:val="clear" w:color="auto" w:fill="FFFFFF"/>
            <w:tcMar>
              <w:top w:w="0" w:type="dxa"/>
              <w:left w:w="0" w:type="dxa"/>
              <w:bottom w:w="0" w:type="dxa"/>
              <w:right w:w="0" w:type="dxa"/>
            </w:tcMar>
            <w:vAlign w:val="center"/>
          </w:tcPr>
          <w:p w14:paraId="6965C9E0">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505" w:type="dxa"/>
            <w:shd w:val="clear" w:color="auto" w:fill="FFFFFF"/>
            <w:tcMar>
              <w:top w:w="0" w:type="dxa"/>
              <w:left w:w="0" w:type="dxa"/>
              <w:bottom w:w="0" w:type="dxa"/>
              <w:right w:w="0" w:type="dxa"/>
            </w:tcMar>
            <w:vAlign w:val="center"/>
          </w:tcPr>
          <w:p w14:paraId="660F54D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62.6</w:t>
            </w:r>
          </w:p>
        </w:tc>
        <w:tc>
          <w:tcPr>
            <w:tcW w:w="507" w:type="dxa"/>
            <w:shd w:val="clear" w:color="auto" w:fill="FFFFFF"/>
            <w:tcMar>
              <w:top w:w="0" w:type="dxa"/>
              <w:left w:w="0" w:type="dxa"/>
              <w:bottom w:w="0" w:type="dxa"/>
              <w:right w:w="0" w:type="dxa"/>
            </w:tcMar>
            <w:vAlign w:val="center"/>
          </w:tcPr>
          <w:p w14:paraId="18C8E1A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539" w:type="dxa"/>
            <w:vMerge w:val="continue"/>
            <w:shd w:val="clear" w:color="auto" w:fill="FFFFFF"/>
            <w:tcMar>
              <w:top w:w="0" w:type="dxa"/>
              <w:left w:w="0" w:type="dxa"/>
              <w:bottom w:w="0" w:type="dxa"/>
              <w:right w:w="0" w:type="dxa"/>
            </w:tcMar>
            <w:vAlign w:val="center"/>
          </w:tcPr>
          <w:p w14:paraId="5F06D6C2">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62BAF9FB">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89" w:type="dxa"/>
            <w:shd w:val="clear" w:color="auto" w:fill="FFFFFF"/>
            <w:tcMar>
              <w:top w:w="0" w:type="dxa"/>
              <w:left w:w="0" w:type="dxa"/>
              <w:bottom w:w="0" w:type="dxa"/>
              <w:right w:w="0" w:type="dxa"/>
            </w:tcMar>
            <w:vAlign w:val="center"/>
          </w:tcPr>
          <w:p w14:paraId="1939EF4E">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72" w:type="dxa"/>
            <w:shd w:val="clear" w:color="auto" w:fill="FFFFFF"/>
            <w:tcMar>
              <w:top w:w="0" w:type="dxa"/>
              <w:left w:w="0" w:type="dxa"/>
              <w:bottom w:w="0" w:type="dxa"/>
              <w:right w:w="0" w:type="dxa"/>
            </w:tcMar>
            <w:vAlign w:val="center"/>
          </w:tcPr>
          <w:p w14:paraId="23F5A20B">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20" w:type="dxa"/>
            <w:shd w:val="clear" w:color="auto" w:fill="FFFFFF"/>
            <w:tcMar>
              <w:top w:w="0" w:type="dxa"/>
              <w:left w:w="0" w:type="dxa"/>
              <w:bottom w:w="0" w:type="dxa"/>
              <w:right w:w="0" w:type="dxa"/>
            </w:tcMar>
            <w:vAlign w:val="center"/>
          </w:tcPr>
          <w:p w14:paraId="6EDDD975">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556" w:type="dxa"/>
            <w:shd w:val="clear" w:color="auto" w:fill="FFFFFF"/>
            <w:tcMar>
              <w:top w:w="0" w:type="dxa"/>
              <w:left w:w="0" w:type="dxa"/>
              <w:bottom w:w="0" w:type="dxa"/>
              <w:right w:w="0" w:type="dxa"/>
            </w:tcMar>
            <w:vAlign w:val="center"/>
          </w:tcPr>
          <w:p w14:paraId="56456A3C">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42.4</w:t>
            </w:r>
          </w:p>
        </w:tc>
        <w:tc>
          <w:tcPr>
            <w:tcW w:w="489" w:type="dxa"/>
            <w:shd w:val="clear" w:color="auto" w:fill="FFFFFF"/>
            <w:tcMar>
              <w:top w:w="0" w:type="dxa"/>
              <w:left w:w="0" w:type="dxa"/>
              <w:bottom w:w="0" w:type="dxa"/>
              <w:right w:w="0" w:type="dxa"/>
            </w:tcMar>
            <w:vAlign w:val="center"/>
          </w:tcPr>
          <w:p w14:paraId="03E93B9E">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42.4</w:t>
            </w:r>
          </w:p>
        </w:tc>
        <w:tc>
          <w:tcPr>
            <w:tcW w:w="556" w:type="dxa"/>
            <w:shd w:val="clear" w:color="auto" w:fill="FFFFFF"/>
            <w:tcMar>
              <w:top w:w="0" w:type="dxa"/>
              <w:left w:w="0" w:type="dxa"/>
              <w:bottom w:w="0" w:type="dxa"/>
              <w:right w:w="0" w:type="dxa"/>
            </w:tcMar>
            <w:vAlign w:val="center"/>
          </w:tcPr>
          <w:p w14:paraId="3E83EB8B">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42.6</w:t>
            </w:r>
          </w:p>
        </w:tc>
        <w:tc>
          <w:tcPr>
            <w:tcW w:w="523" w:type="dxa"/>
            <w:shd w:val="clear" w:color="auto" w:fill="FFFFFF"/>
            <w:tcMar>
              <w:top w:w="0" w:type="dxa"/>
              <w:left w:w="0" w:type="dxa"/>
              <w:bottom w:w="0" w:type="dxa"/>
              <w:right w:w="0" w:type="dxa"/>
            </w:tcMar>
            <w:vAlign w:val="center"/>
          </w:tcPr>
          <w:p w14:paraId="0AFE7C11">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42.4</w:t>
            </w:r>
          </w:p>
        </w:tc>
        <w:tc>
          <w:tcPr>
            <w:tcW w:w="688" w:type="dxa"/>
            <w:shd w:val="clear" w:color="auto" w:fill="FFFFFF"/>
            <w:tcMar>
              <w:top w:w="0" w:type="dxa"/>
              <w:left w:w="0" w:type="dxa"/>
              <w:bottom w:w="0" w:type="dxa"/>
              <w:right w:w="0" w:type="dxa"/>
            </w:tcMar>
            <w:vAlign w:val="center"/>
          </w:tcPr>
          <w:p w14:paraId="129C8FE6">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w:t>
            </w:r>
          </w:p>
        </w:tc>
      </w:tr>
      <w:tr w14:paraId="6A00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shd w:val="clear" w:color="auto" w:fill="FFFFFF"/>
            <w:tcMar>
              <w:top w:w="0" w:type="dxa"/>
              <w:left w:w="0" w:type="dxa"/>
              <w:bottom w:w="0" w:type="dxa"/>
              <w:right w:w="0" w:type="dxa"/>
            </w:tcMar>
            <w:vAlign w:val="center"/>
          </w:tcPr>
          <w:p w14:paraId="3E4EB1F1">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7</w:t>
            </w:r>
          </w:p>
        </w:tc>
        <w:tc>
          <w:tcPr>
            <w:tcW w:w="910" w:type="dxa"/>
            <w:shd w:val="clear" w:color="auto" w:fill="FFFFFF"/>
            <w:tcMar>
              <w:top w:w="0" w:type="dxa"/>
              <w:left w:w="0" w:type="dxa"/>
              <w:bottom w:w="0" w:type="dxa"/>
              <w:right w:w="0" w:type="dxa"/>
            </w:tcMar>
            <w:vAlign w:val="center"/>
          </w:tcPr>
          <w:p w14:paraId="6847A401">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生产厂房</w:t>
            </w:r>
          </w:p>
        </w:tc>
        <w:tc>
          <w:tcPr>
            <w:tcW w:w="1375" w:type="dxa"/>
            <w:shd w:val="clear" w:color="auto" w:fill="FFFFFF"/>
            <w:tcMar>
              <w:top w:w="0" w:type="dxa"/>
              <w:left w:w="0" w:type="dxa"/>
              <w:bottom w:w="0" w:type="dxa"/>
              <w:right w:w="0" w:type="dxa"/>
            </w:tcMar>
            <w:vAlign w:val="center"/>
          </w:tcPr>
          <w:p w14:paraId="2934930D">
            <w:pPr>
              <w:keepNext w:val="0"/>
              <w:keepLines w:val="0"/>
              <w:suppressLineNumbers w:val="0"/>
              <w:spacing w:before="0" w:beforeAutospacing="0" w:after="0" w:afterAutospacing="0"/>
              <w:ind w:left="0" w:right="0"/>
              <w:jc w:val="center"/>
              <w:rPr>
                <w:rFonts w:hint="eastAsia" w:ascii="Arial" w:hAnsi="Arial" w:eastAsia="宋体" w:cs="Arial"/>
                <w:color w:val="auto"/>
                <w:sz w:val="20"/>
                <w:lang w:val="en-US" w:eastAsia="zh-CN"/>
              </w:rPr>
            </w:pPr>
            <w:r>
              <w:rPr>
                <w:rFonts w:hint="default" w:ascii="Arial" w:hAnsi="Arial" w:eastAsia="Arial" w:cs="Arial"/>
                <w:color w:val="auto"/>
                <w:sz w:val="20"/>
              </w:rPr>
              <w:t>叉车</w:t>
            </w:r>
            <w:r>
              <w:rPr>
                <w:rFonts w:hint="eastAsia" w:ascii="Arial" w:hAnsi="Arial" w:eastAsia="宋体" w:cs="Arial"/>
                <w:color w:val="auto"/>
                <w:sz w:val="20"/>
                <w:lang w:val="en-US" w:eastAsia="zh-CN"/>
              </w:rPr>
              <w:t>2</w:t>
            </w:r>
          </w:p>
        </w:tc>
        <w:tc>
          <w:tcPr>
            <w:tcW w:w="563" w:type="dxa"/>
            <w:shd w:val="clear" w:color="auto" w:fill="FFFFFF"/>
            <w:tcMar>
              <w:top w:w="0" w:type="dxa"/>
              <w:left w:w="0" w:type="dxa"/>
              <w:bottom w:w="0" w:type="dxa"/>
              <w:right w:w="0" w:type="dxa"/>
            </w:tcMar>
            <w:vAlign w:val="center"/>
          </w:tcPr>
          <w:p w14:paraId="2E909BC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80</w:t>
            </w:r>
          </w:p>
        </w:tc>
        <w:tc>
          <w:tcPr>
            <w:tcW w:w="657" w:type="dxa"/>
            <w:vMerge w:val="continue"/>
            <w:shd w:val="clear" w:color="auto" w:fill="FFFFFF"/>
            <w:tcMar>
              <w:top w:w="0" w:type="dxa"/>
              <w:left w:w="0" w:type="dxa"/>
              <w:bottom w:w="0" w:type="dxa"/>
              <w:right w:w="0" w:type="dxa"/>
            </w:tcMar>
            <w:vAlign w:val="center"/>
          </w:tcPr>
          <w:p w14:paraId="57D3AF53">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507" w:type="dxa"/>
            <w:shd w:val="clear" w:color="auto" w:fill="FFFFFF"/>
            <w:tcMar>
              <w:top w:w="0" w:type="dxa"/>
              <w:left w:w="0" w:type="dxa"/>
              <w:bottom w:w="0" w:type="dxa"/>
              <w:right w:w="0" w:type="dxa"/>
            </w:tcMar>
            <w:vAlign w:val="center"/>
          </w:tcPr>
          <w:p w14:paraId="58B25E42">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-1.9</w:t>
            </w:r>
          </w:p>
        </w:tc>
        <w:tc>
          <w:tcPr>
            <w:tcW w:w="523" w:type="dxa"/>
            <w:shd w:val="clear" w:color="auto" w:fill="FFFFFF"/>
            <w:tcMar>
              <w:top w:w="0" w:type="dxa"/>
              <w:left w:w="0" w:type="dxa"/>
              <w:bottom w:w="0" w:type="dxa"/>
              <w:right w:w="0" w:type="dxa"/>
            </w:tcMar>
            <w:vAlign w:val="center"/>
          </w:tcPr>
          <w:p w14:paraId="1E0CEA76">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20.8</w:t>
            </w:r>
          </w:p>
        </w:tc>
        <w:tc>
          <w:tcPr>
            <w:tcW w:w="523" w:type="dxa"/>
            <w:shd w:val="clear" w:color="auto" w:fill="FFFFFF"/>
            <w:tcMar>
              <w:top w:w="0" w:type="dxa"/>
              <w:left w:w="0" w:type="dxa"/>
              <w:bottom w:w="0" w:type="dxa"/>
              <w:right w:w="0" w:type="dxa"/>
            </w:tcMar>
            <w:vAlign w:val="center"/>
          </w:tcPr>
          <w:p w14:paraId="647B8965">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1.2</w:t>
            </w:r>
          </w:p>
        </w:tc>
        <w:tc>
          <w:tcPr>
            <w:tcW w:w="472" w:type="dxa"/>
            <w:shd w:val="clear" w:color="auto" w:fill="FFFFFF"/>
            <w:tcMar>
              <w:top w:w="0" w:type="dxa"/>
              <w:left w:w="0" w:type="dxa"/>
              <w:bottom w:w="0" w:type="dxa"/>
              <w:right w:w="0" w:type="dxa"/>
            </w:tcMar>
            <w:vAlign w:val="center"/>
          </w:tcPr>
          <w:p w14:paraId="170F7215">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34.1</w:t>
            </w:r>
          </w:p>
        </w:tc>
        <w:tc>
          <w:tcPr>
            <w:tcW w:w="523" w:type="dxa"/>
            <w:shd w:val="clear" w:color="auto" w:fill="FFFFFF"/>
            <w:tcMar>
              <w:top w:w="0" w:type="dxa"/>
              <w:left w:w="0" w:type="dxa"/>
              <w:bottom w:w="0" w:type="dxa"/>
              <w:right w:w="0" w:type="dxa"/>
            </w:tcMar>
            <w:vAlign w:val="center"/>
          </w:tcPr>
          <w:p w14:paraId="632E129C">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56.9</w:t>
            </w:r>
          </w:p>
        </w:tc>
        <w:tc>
          <w:tcPr>
            <w:tcW w:w="540" w:type="dxa"/>
            <w:shd w:val="clear" w:color="auto" w:fill="FFFFFF"/>
            <w:tcMar>
              <w:top w:w="0" w:type="dxa"/>
              <w:left w:w="0" w:type="dxa"/>
              <w:bottom w:w="0" w:type="dxa"/>
              <w:right w:w="0" w:type="dxa"/>
            </w:tcMar>
            <w:vAlign w:val="center"/>
          </w:tcPr>
          <w:p w14:paraId="25EBF3F3">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14.3</w:t>
            </w:r>
          </w:p>
        </w:tc>
        <w:tc>
          <w:tcPr>
            <w:tcW w:w="438" w:type="dxa"/>
            <w:shd w:val="clear" w:color="auto" w:fill="FFFFFF"/>
            <w:tcMar>
              <w:top w:w="0" w:type="dxa"/>
              <w:left w:w="0" w:type="dxa"/>
              <w:bottom w:w="0" w:type="dxa"/>
              <w:right w:w="0" w:type="dxa"/>
            </w:tcMar>
            <w:vAlign w:val="center"/>
          </w:tcPr>
          <w:p w14:paraId="718C1A52">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13.3</w:t>
            </w:r>
          </w:p>
        </w:tc>
        <w:tc>
          <w:tcPr>
            <w:tcW w:w="472" w:type="dxa"/>
            <w:shd w:val="clear" w:color="auto" w:fill="FFFFFF"/>
            <w:tcMar>
              <w:top w:w="0" w:type="dxa"/>
              <w:left w:w="0" w:type="dxa"/>
              <w:bottom w:w="0" w:type="dxa"/>
              <w:right w:w="0" w:type="dxa"/>
            </w:tcMar>
            <w:vAlign w:val="center"/>
          </w:tcPr>
          <w:p w14:paraId="31012F3E">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472" w:type="dxa"/>
            <w:shd w:val="clear" w:color="auto" w:fill="FFFFFF"/>
            <w:tcMar>
              <w:top w:w="0" w:type="dxa"/>
              <w:left w:w="0" w:type="dxa"/>
              <w:bottom w:w="0" w:type="dxa"/>
              <w:right w:w="0" w:type="dxa"/>
            </w:tcMar>
            <w:vAlign w:val="center"/>
          </w:tcPr>
          <w:p w14:paraId="47E0BF3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505" w:type="dxa"/>
            <w:shd w:val="clear" w:color="auto" w:fill="FFFFFF"/>
            <w:tcMar>
              <w:top w:w="0" w:type="dxa"/>
              <w:left w:w="0" w:type="dxa"/>
              <w:bottom w:w="0" w:type="dxa"/>
              <w:right w:w="0" w:type="dxa"/>
            </w:tcMar>
            <w:vAlign w:val="center"/>
          </w:tcPr>
          <w:p w14:paraId="5BB4DC62">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62.5</w:t>
            </w:r>
          </w:p>
        </w:tc>
        <w:tc>
          <w:tcPr>
            <w:tcW w:w="507" w:type="dxa"/>
            <w:shd w:val="clear" w:color="auto" w:fill="FFFFFF"/>
            <w:tcMar>
              <w:top w:w="0" w:type="dxa"/>
              <w:left w:w="0" w:type="dxa"/>
              <w:bottom w:w="0" w:type="dxa"/>
              <w:right w:w="0" w:type="dxa"/>
            </w:tcMar>
            <w:vAlign w:val="center"/>
          </w:tcPr>
          <w:p w14:paraId="1351706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62.5</w:t>
            </w:r>
          </w:p>
        </w:tc>
        <w:tc>
          <w:tcPr>
            <w:tcW w:w="539" w:type="dxa"/>
            <w:vMerge w:val="continue"/>
            <w:shd w:val="clear" w:color="auto" w:fill="FFFFFF"/>
            <w:tcMar>
              <w:top w:w="0" w:type="dxa"/>
              <w:left w:w="0" w:type="dxa"/>
              <w:bottom w:w="0" w:type="dxa"/>
              <w:right w:w="0" w:type="dxa"/>
            </w:tcMar>
            <w:vAlign w:val="center"/>
          </w:tcPr>
          <w:p w14:paraId="30649040">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73E5FF9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89" w:type="dxa"/>
            <w:shd w:val="clear" w:color="auto" w:fill="FFFFFF"/>
            <w:tcMar>
              <w:top w:w="0" w:type="dxa"/>
              <w:left w:w="0" w:type="dxa"/>
              <w:bottom w:w="0" w:type="dxa"/>
              <w:right w:w="0" w:type="dxa"/>
            </w:tcMar>
            <w:vAlign w:val="center"/>
          </w:tcPr>
          <w:p w14:paraId="0D544C2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72" w:type="dxa"/>
            <w:shd w:val="clear" w:color="auto" w:fill="FFFFFF"/>
            <w:tcMar>
              <w:top w:w="0" w:type="dxa"/>
              <w:left w:w="0" w:type="dxa"/>
              <w:bottom w:w="0" w:type="dxa"/>
              <w:right w:w="0" w:type="dxa"/>
            </w:tcMar>
            <w:vAlign w:val="center"/>
          </w:tcPr>
          <w:p w14:paraId="079C998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20" w:type="dxa"/>
            <w:shd w:val="clear" w:color="auto" w:fill="FFFFFF"/>
            <w:tcMar>
              <w:top w:w="0" w:type="dxa"/>
              <w:left w:w="0" w:type="dxa"/>
              <w:bottom w:w="0" w:type="dxa"/>
              <w:right w:w="0" w:type="dxa"/>
            </w:tcMar>
            <w:vAlign w:val="center"/>
          </w:tcPr>
          <w:p w14:paraId="3E1718E1">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556" w:type="dxa"/>
            <w:shd w:val="clear" w:color="auto" w:fill="FFFFFF"/>
            <w:tcMar>
              <w:top w:w="0" w:type="dxa"/>
              <w:left w:w="0" w:type="dxa"/>
              <w:bottom w:w="0" w:type="dxa"/>
              <w:right w:w="0" w:type="dxa"/>
            </w:tcMar>
            <w:vAlign w:val="center"/>
          </w:tcPr>
          <w:p w14:paraId="2A1B361C">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42.4</w:t>
            </w:r>
          </w:p>
        </w:tc>
        <w:tc>
          <w:tcPr>
            <w:tcW w:w="489" w:type="dxa"/>
            <w:shd w:val="clear" w:color="auto" w:fill="FFFFFF"/>
            <w:tcMar>
              <w:top w:w="0" w:type="dxa"/>
              <w:left w:w="0" w:type="dxa"/>
              <w:bottom w:w="0" w:type="dxa"/>
              <w:right w:w="0" w:type="dxa"/>
            </w:tcMar>
            <w:vAlign w:val="center"/>
          </w:tcPr>
          <w:p w14:paraId="7F337F5F">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42.4</w:t>
            </w:r>
          </w:p>
        </w:tc>
        <w:tc>
          <w:tcPr>
            <w:tcW w:w="556" w:type="dxa"/>
            <w:shd w:val="clear" w:color="auto" w:fill="FFFFFF"/>
            <w:tcMar>
              <w:top w:w="0" w:type="dxa"/>
              <w:left w:w="0" w:type="dxa"/>
              <w:bottom w:w="0" w:type="dxa"/>
              <w:right w:w="0" w:type="dxa"/>
            </w:tcMar>
            <w:vAlign w:val="center"/>
          </w:tcPr>
          <w:p w14:paraId="3E671ECC">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42.5</w:t>
            </w:r>
          </w:p>
        </w:tc>
        <w:tc>
          <w:tcPr>
            <w:tcW w:w="523" w:type="dxa"/>
            <w:shd w:val="clear" w:color="auto" w:fill="FFFFFF"/>
            <w:tcMar>
              <w:top w:w="0" w:type="dxa"/>
              <w:left w:w="0" w:type="dxa"/>
              <w:bottom w:w="0" w:type="dxa"/>
              <w:right w:w="0" w:type="dxa"/>
            </w:tcMar>
            <w:vAlign w:val="center"/>
          </w:tcPr>
          <w:p w14:paraId="7D9BC38A">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42.5</w:t>
            </w:r>
          </w:p>
        </w:tc>
        <w:tc>
          <w:tcPr>
            <w:tcW w:w="688" w:type="dxa"/>
            <w:shd w:val="clear" w:color="auto" w:fill="FFFFFF"/>
            <w:tcMar>
              <w:top w:w="0" w:type="dxa"/>
              <w:left w:w="0" w:type="dxa"/>
              <w:bottom w:w="0" w:type="dxa"/>
              <w:right w:w="0" w:type="dxa"/>
            </w:tcMar>
            <w:vAlign w:val="center"/>
          </w:tcPr>
          <w:p w14:paraId="69E051D3">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w:t>
            </w:r>
          </w:p>
        </w:tc>
      </w:tr>
      <w:tr w14:paraId="74A6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shd w:val="clear" w:color="auto" w:fill="FFFFFF"/>
            <w:tcMar>
              <w:top w:w="0" w:type="dxa"/>
              <w:left w:w="0" w:type="dxa"/>
              <w:bottom w:w="0" w:type="dxa"/>
              <w:right w:w="0" w:type="dxa"/>
            </w:tcMar>
            <w:vAlign w:val="center"/>
          </w:tcPr>
          <w:p w14:paraId="466DA479">
            <w:pPr>
              <w:keepNext w:val="0"/>
              <w:keepLines w:val="0"/>
              <w:suppressLineNumbers w:val="0"/>
              <w:spacing w:before="0" w:beforeAutospacing="0" w:after="0" w:afterAutospacing="0"/>
              <w:ind w:left="0" w:right="0"/>
              <w:jc w:val="center"/>
              <w:rPr>
                <w:rFonts w:hint="eastAsia" w:ascii="Arial" w:hAnsi="Arial" w:eastAsia="宋体" w:cs="Arial"/>
                <w:color w:val="auto"/>
                <w:sz w:val="20"/>
                <w:lang w:eastAsia="zh-CN"/>
              </w:rPr>
            </w:pPr>
            <w:r>
              <w:rPr>
                <w:rFonts w:hint="eastAsia" w:ascii="Arial" w:hAnsi="Arial" w:eastAsia="宋体" w:cs="Arial"/>
                <w:color w:val="auto"/>
                <w:sz w:val="20"/>
                <w:lang w:val="en-US" w:eastAsia="zh-CN"/>
              </w:rPr>
              <w:t>8</w:t>
            </w:r>
          </w:p>
        </w:tc>
        <w:tc>
          <w:tcPr>
            <w:tcW w:w="910" w:type="dxa"/>
            <w:shd w:val="clear" w:color="auto" w:fill="FFFFFF"/>
            <w:tcMar>
              <w:top w:w="0" w:type="dxa"/>
              <w:left w:w="0" w:type="dxa"/>
              <w:bottom w:w="0" w:type="dxa"/>
              <w:right w:w="0" w:type="dxa"/>
            </w:tcMar>
            <w:vAlign w:val="center"/>
          </w:tcPr>
          <w:p w14:paraId="40C798D2">
            <w:pPr>
              <w:keepNext w:val="0"/>
              <w:keepLines w:val="0"/>
              <w:suppressLineNumbers w:val="0"/>
              <w:spacing w:before="0" w:beforeAutospacing="0" w:after="0" w:afterAutospacing="0"/>
              <w:ind w:left="0" w:right="0"/>
              <w:jc w:val="center"/>
              <w:rPr>
                <w:rFonts w:hint="default" w:ascii="Arial" w:hAnsi="Arial" w:cs="Arial"/>
                <w:color w:val="auto"/>
                <w:sz w:val="21"/>
                <w:szCs w:val="21"/>
                <w:lang w:val="en-US" w:eastAsia="zh-CN"/>
              </w:rPr>
            </w:pPr>
            <w:r>
              <w:rPr>
                <w:rFonts w:hint="default" w:ascii="Arial" w:hAnsi="Arial" w:cs="Arial"/>
                <w:color w:val="auto"/>
                <w:sz w:val="21"/>
                <w:szCs w:val="21"/>
                <w:lang w:val="en-US" w:eastAsia="zh-CN"/>
              </w:rPr>
              <w:t>生产厂房</w:t>
            </w:r>
          </w:p>
        </w:tc>
        <w:tc>
          <w:tcPr>
            <w:tcW w:w="1375" w:type="dxa"/>
            <w:shd w:val="clear" w:color="auto" w:fill="FFFFFF"/>
            <w:tcMar>
              <w:top w:w="0" w:type="dxa"/>
              <w:left w:w="0" w:type="dxa"/>
              <w:bottom w:w="0" w:type="dxa"/>
              <w:right w:w="0" w:type="dxa"/>
            </w:tcMar>
            <w:vAlign w:val="center"/>
          </w:tcPr>
          <w:p w14:paraId="728D8127">
            <w:pPr>
              <w:keepNext w:val="0"/>
              <w:keepLines w:val="0"/>
              <w:suppressLineNumbers w:val="0"/>
              <w:spacing w:before="0" w:beforeAutospacing="0" w:after="0" w:afterAutospacing="0"/>
              <w:ind w:left="0" w:right="0"/>
              <w:jc w:val="center"/>
              <w:rPr>
                <w:rFonts w:hint="default" w:ascii="Arial" w:hAnsi="Arial" w:cs="Arial"/>
                <w:color w:val="auto"/>
                <w:sz w:val="21"/>
                <w:szCs w:val="21"/>
                <w:lang w:val="en-US" w:eastAsia="zh-CN"/>
              </w:rPr>
            </w:pPr>
            <w:r>
              <w:rPr>
                <w:rFonts w:hint="eastAsia" w:ascii="Arial" w:hAnsi="Arial" w:cs="Arial"/>
                <w:color w:val="auto"/>
                <w:sz w:val="21"/>
                <w:szCs w:val="21"/>
                <w:lang w:val="en-US" w:eastAsia="zh-CN"/>
              </w:rPr>
              <w:t>螺杆式空压机</w:t>
            </w:r>
          </w:p>
        </w:tc>
        <w:tc>
          <w:tcPr>
            <w:tcW w:w="563" w:type="dxa"/>
            <w:shd w:val="clear" w:color="auto" w:fill="FFFFFF"/>
            <w:tcMar>
              <w:top w:w="0" w:type="dxa"/>
              <w:left w:w="0" w:type="dxa"/>
              <w:bottom w:w="0" w:type="dxa"/>
              <w:right w:w="0" w:type="dxa"/>
            </w:tcMar>
            <w:vAlign w:val="center"/>
          </w:tcPr>
          <w:p w14:paraId="1B1EEE51">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100</w:t>
            </w:r>
          </w:p>
        </w:tc>
        <w:tc>
          <w:tcPr>
            <w:tcW w:w="657" w:type="dxa"/>
            <w:vMerge w:val="continue"/>
            <w:shd w:val="clear" w:color="auto" w:fill="FFFFFF"/>
            <w:tcMar>
              <w:top w:w="0" w:type="dxa"/>
              <w:left w:w="0" w:type="dxa"/>
              <w:bottom w:w="0" w:type="dxa"/>
              <w:right w:w="0" w:type="dxa"/>
            </w:tcMar>
            <w:vAlign w:val="center"/>
          </w:tcPr>
          <w:p w14:paraId="7C81A6D7">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507" w:type="dxa"/>
            <w:shd w:val="clear" w:color="auto" w:fill="FFFFFF"/>
            <w:tcMar>
              <w:top w:w="0" w:type="dxa"/>
              <w:left w:w="0" w:type="dxa"/>
              <w:bottom w:w="0" w:type="dxa"/>
              <w:right w:w="0" w:type="dxa"/>
            </w:tcMar>
            <w:vAlign w:val="center"/>
          </w:tcPr>
          <w:p w14:paraId="4906A34B">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21.3</w:t>
            </w:r>
          </w:p>
        </w:tc>
        <w:tc>
          <w:tcPr>
            <w:tcW w:w="523" w:type="dxa"/>
            <w:shd w:val="clear" w:color="auto" w:fill="FFFFFF"/>
            <w:tcMar>
              <w:top w:w="0" w:type="dxa"/>
              <w:left w:w="0" w:type="dxa"/>
              <w:bottom w:w="0" w:type="dxa"/>
              <w:right w:w="0" w:type="dxa"/>
            </w:tcMar>
            <w:vAlign w:val="center"/>
          </w:tcPr>
          <w:p w14:paraId="43370D24">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-26.1</w:t>
            </w:r>
          </w:p>
        </w:tc>
        <w:tc>
          <w:tcPr>
            <w:tcW w:w="523" w:type="dxa"/>
            <w:shd w:val="clear" w:color="auto" w:fill="FFFFFF"/>
            <w:tcMar>
              <w:top w:w="0" w:type="dxa"/>
              <w:left w:w="0" w:type="dxa"/>
              <w:bottom w:w="0" w:type="dxa"/>
              <w:right w:w="0" w:type="dxa"/>
            </w:tcMar>
            <w:vAlign w:val="center"/>
          </w:tcPr>
          <w:p w14:paraId="6C67A617">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1.2</w:t>
            </w:r>
          </w:p>
        </w:tc>
        <w:tc>
          <w:tcPr>
            <w:tcW w:w="472" w:type="dxa"/>
            <w:shd w:val="clear" w:color="auto" w:fill="FFFFFF"/>
            <w:tcMar>
              <w:top w:w="0" w:type="dxa"/>
              <w:left w:w="0" w:type="dxa"/>
              <w:bottom w:w="0" w:type="dxa"/>
              <w:right w:w="0" w:type="dxa"/>
            </w:tcMar>
            <w:vAlign w:val="center"/>
          </w:tcPr>
          <w:p w14:paraId="1A5C53B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2.8</w:t>
            </w:r>
          </w:p>
        </w:tc>
        <w:tc>
          <w:tcPr>
            <w:tcW w:w="523" w:type="dxa"/>
            <w:shd w:val="clear" w:color="auto" w:fill="FFFFFF"/>
            <w:tcMar>
              <w:top w:w="0" w:type="dxa"/>
              <w:left w:w="0" w:type="dxa"/>
              <w:bottom w:w="0" w:type="dxa"/>
              <w:right w:w="0" w:type="dxa"/>
            </w:tcMar>
            <w:vAlign w:val="center"/>
          </w:tcPr>
          <w:p w14:paraId="2C2C068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29.8</w:t>
            </w:r>
          </w:p>
        </w:tc>
        <w:tc>
          <w:tcPr>
            <w:tcW w:w="540" w:type="dxa"/>
            <w:shd w:val="clear" w:color="auto" w:fill="FFFFFF"/>
            <w:tcMar>
              <w:top w:w="0" w:type="dxa"/>
              <w:left w:w="0" w:type="dxa"/>
              <w:bottom w:w="0" w:type="dxa"/>
              <w:right w:w="0" w:type="dxa"/>
            </w:tcMar>
            <w:vAlign w:val="center"/>
          </w:tcPr>
          <w:p w14:paraId="5A49980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45.9</w:t>
            </w:r>
          </w:p>
        </w:tc>
        <w:tc>
          <w:tcPr>
            <w:tcW w:w="438" w:type="dxa"/>
            <w:shd w:val="clear" w:color="auto" w:fill="FFFFFF"/>
            <w:tcMar>
              <w:top w:w="0" w:type="dxa"/>
              <w:left w:w="0" w:type="dxa"/>
              <w:bottom w:w="0" w:type="dxa"/>
              <w:right w:w="0" w:type="dxa"/>
            </w:tcMar>
            <w:vAlign w:val="center"/>
          </w:tcPr>
          <w:p w14:paraId="1B2A1B3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55.3</w:t>
            </w:r>
          </w:p>
        </w:tc>
        <w:tc>
          <w:tcPr>
            <w:tcW w:w="472" w:type="dxa"/>
            <w:shd w:val="clear" w:color="auto" w:fill="FFFFFF"/>
            <w:tcMar>
              <w:top w:w="0" w:type="dxa"/>
              <w:left w:w="0" w:type="dxa"/>
              <w:bottom w:w="0" w:type="dxa"/>
              <w:right w:w="0" w:type="dxa"/>
            </w:tcMar>
            <w:vAlign w:val="center"/>
          </w:tcPr>
          <w:p w14:paraId="19313961">
            <w:pPr>
              <w:keepNext w:val="0"/>
              <w:keepLines w:val="0"/>
              <w:suppressLineNumbers w:val="0"/>
              <w:spacing w:before="0" w:beforeAutospacing="0" w:after="0" w:afterAutospacing="0"/>
              <w:ind w:left="0" w:right="0"/>
              <w:jc w:val="center"/>
              <w:rPr>
                <w:rFonts w:hint="eastAsia" w:ascii="Arial" w:hAnsi="Arial" w:eastAsia="宋体" w:cs="Arial"/>
                <w:color w:val="auto"/>
                <w:sz w:val="20"/>
                <w:lang w:eastAsia="zh-CN"/>
              </w:rPr>
            </w:pPr>
            <w:r>
              <w:rPr>
                <w:rFonts w:hint="eastAsia" w:ascii="Arial" w:hAnsi="Arial" w:eastAsia="宋体" w:cs="Arial"/>
                <w:color w:val="auto"/>
                <w:sz w:val="20"/>
                <w:lang w:val="en-US" w:eastAsia="zh-CN"/>
              </w:rPr>
              <w:t>8</w:t>
            </w:r>
            <w:r>
              <w:rPr>
                <w:rFonts w:hint="default" w:ascii="Arial" w:hAnsi="Arial" w:eastAsia="Arial" w:cs="Arial"/>
                <w:color w:val="auto"/>
                <w:sz w:val="20"/>
              </w:rPr>
              <w:t>4.</w:t>
            </w:r>
            <w:r>
              <w:rPr>
                <w:rFonts w:hint="eastAsia" w:ascii="Arial" w:hAnsi="Arial" w:eastAsia="宋体" w:cs="Arial"/>
                <w:color w:val="auto"/>
                <w:sz w:val="20"/>
                <w:lang w:val="en-US" w:eastAsia="zh-CN"/>
              </w:rPr>
              <w:t>5</w:t>
            </w:r>
          </w:p>
        </w:tc>
        <w:tc>
          <w:tcPr>
            <w:tcW w:w="472" w:type="dxa"/>
            <w:shd w:val="clear" w:color="auto" w:fill="FFFFFF"/>
            <w:tcMar>
              <w:top w:w="0" w:type="dxa"/>
              <w:left w:w="0" w:type="dxa"/>
              <w:bottom w:w="0" w:type="dxa"/>
              <w:right w:w="0" w:type="dxa"/>
            </w:tcMar>
            <w:vAlign w:val="center"/>
          </w:tcPr>
          <w:p w14:paraId="354DCAC6">
            <w:pPr>
              <w:keepNext w:val="0"/>
              <w:keepLines w:val="0"/>
              <w:suppressLineNumbers w:val="0"/>
              <w:spacing w:before="0" w:beforeAutospacing="0" w:after="0" w:afterAutospacing="0"/>
              <w:ind w:left="0" w:right="0"/>
              <w:jc w:val="center"/>
              <w:rPr>
                <w:rFonts w:hint="eastAsia" w:ascii="Arial" w:hAnsi="Arial" w:eastAsia="宋体" w:cs="Arial"/>
                <w:color w:val="auto"/>
                <w:sz w:val="20"/>
                <w:lang w:eastAsia="zh-CN"/>
              </w:rPr>
            </w:pPr>
            <w:r>
              <w:rPr>
                <w:rFonts w:hint="eastAsia" w:ascii="Arial" w:hAnsi="Arial" w:eastAsia="宋体" w:cs="Arial"/>
                <w:color w:val="auto"/>
                <w:sz w:val="20"/>
                <w:lang w:val="en-US" w:eastAsia="zh-CN"/>
              </w:rPr>
              <w:t>8</w:t>
            </w:r>
            <w:r>
              <w:rPr>
                <w:rFonts w:hint="default" w:ascii="Arial" w:hAnsi="Arial" w:eastAsia="Arial" w:cs="Arial"/>
                <w:color w:val="auto"/>
                <w:sz w:val="20"/>
              </w:rPr>
              <w:t>2.</w:t>
            </w:r>
            <w:r>
              <w:rPr>
                <w:rFonts w:hint="eastAsia" w:ascii="Arial" w:hAnsi="Arial" w:eastAsia="宋体" w:cs="Arial"/>
                <w:color w:val="auto"/>
                <w:sz w:val="20"/>
                <w:lang w:val="en-US" w:eastAsia="zh-CN"/>
              </w:rPr>
              <w:t>5</w:t>
            </w:r>
          </w:p>
        </w:tc>
        <w:tc>
          <w:tcPr>
            <w:tcW w:w="505" w:type="dxa"/>
            <w:shd w:val="clear" w:color="auto" w:fill="FFFFFF"/>
            <w:tcMar>
              <w:top w:w="0" w:type="dxa"/>
              <w:left w:w="0" w:type="dxa"/>
              <w:bottom w:w="0" w:type="dxa"/>
              <w:right w:w="0" w:type="dxa"/>
            </w:tcMar>
            <w:vAlign w:val="center"/>
          </w:tcPr>
          <w:p w14:paraId="2233ED33">
            <w:pPr>
              <w:keepNext w:val="0"/>
              <w:keepLines w:val="0"/>
              <w:suppressLineNumbers w:val="0"/>
              <w:spacing w:before="0" w:beforeAutospacing="0" w:after="0" w:afterAutospacing="0"/>
              <w:ind w:left="0" w:right="0"/>
              <w:jc w:val="center"/>
              <w:rPr>
                <w:rFonts w:hint="eastAsia" w:ascii="Arial" w:hAnsi="Arial" w:eastAsia="宋体" w:cs="Arial"/>
                <w:color w:val="auto"/>
                <w:sz w:val="20"/>
                <w:lang w:eastAsia="zh-CN"/>
              </w:rPr>
            </w:pPr>
            <w:r>
              <w:rPr>
                <w:rFonts w:hint="eastAsia" w:ascii="Arial" w:hAnsi="Arial" w:eastAsia="宋体" w:cs="Arial"/>
                <w:color w:val="auto"/>
                <w:sz w:val="20"/>
                <w:lang w:val="en-US" w:eastAsia="zh-CN"/>
              </w:rPr>
              <w:t>8</w:t>
            </w:r>
            <w:r>
              <w:rPr>
                <w:rFonts w:hint="default" w:ascii="Arial" w:hAnsi="Arial" w:eastAsia="Arial" w:cs="Arial"/>
                <w:color w:val="auto"/>
                <w:sz w:val="20"/>
              </w:rPr>
              <w:t>2.</w:t>
            </w:r>
            <w:r>
              <w:rPr>
                <w:rFonts w:hint="eastAsia" w:ascii="Arial" w:hAnsi="Arial" w:eastAsia="宋体" w:cs="Arial"/>
                <w:color w:val="auto"/>
                <w:sz w:val="20"/>
                <w:lang w:val="en-US" w:eastAsia="zh-CN"/>
              </w:rPr>
              <w:t>5</w:t>
            </w:r>
          </w:p>
        </w:tc>
        <w:tc>
          <w:tcPr>
            <w:tcW w:w="507" w:type="dxa"/>
            <w:shd w:val="clear" w:color="auto" w:fill="FFFFFF"/>
            <w:tcMar>
              <w:top w:w="0" w:type="dxa"/>
              <w:left w:w="0" w:type="dxa"/>
              <w:bottom w:w="0" w:type="dxa"/>
              <w:right w:w="0" w:type="dxa"/>
            </w:tcMar>
            <w:vAlign w:val="center"/>
          </w:tcPr>
          <w:p w14:paraId="601577F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eastAsia" w:ascii="Arial" w:hAnsi="Arial" w:eastAsia="宋体" w:cs="Arial"/>
                <w:color w:val="auto"/>
                <w:sz w:val="20"/>
                <w:lang w:val="en-US" w:eastAsia="zh-CN"/>
              </w:rPr>
              <w:t>8</w:t>
            </w:r>
            <w:r>
              <w:rPr>
                <w:rFonts w:hint="default" w:ascii="Arial" w:hAnsi="Arial" w:eastAsia="Arial" w:cs="Arial"/>
                <w:color w:val="auto"/>
                <w:sz w:val="20"/>
              </w:rPr>
              <w:t>2.4</w:t>
            </w:r>
          </w:p>
        </w:tc>
        <w:tc>
          <w:tcPr>
            <w:tcW w:w="539" w:type="dxa"/>
            <w:vMerge w:val="continue"/>
            <w:shd w:val="clear" w:color="auto" w:fill="FFFFFF"/>
            <w:tcMar>
              <w:top w:w="0" w:type="dxa"/>
              <w:left w:w="0" w:type="dxa"/>
              <w:bottom w:w="0" w:type="dxa"/>
              <w:right w:w="0" w:type="dxa"/>
            </w:tcMar>
            <w:vAlign w:val="center"/>
          </w:tcPr>
          <w:p w14:paraId="36EE2412">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4E9F9433">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89" w:type="dxa"/>
            <w:shd w:val="clear" w:color="auto" w:fill="FFFFFF"/>
            <w:tcMar>
              <w:top w:w="0" w:type="dxa"/>
              <w:left w:w="0" w:type="dxa"/>
              <w:bottom w:w="0" w:type="dxa"/>
              <w:right w:w="0" w:type="dxa"/>
            </w:tcMar>
            <w:vAlign w:val="center"/>
          </w:tcPr>
          <w:p w14:paraId="303F4F89">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72" w:type="dxa"/>
            <w:shd w:val="clear" w:color="auto" w:fill="FFFFFF"/>
            <w:tcMar>
              <w:top w:w="0" w:type="dxa"/>
              <w:left w:w="0" w:type="dxa"/>
              <w:bottom w:w="0" w:type="dxa"/>
              <w:right w:w="0" w:type="dxa"/>
            </w:tcMar>
            <w:vAlign w:val="center"/>
          </w:tcPr>
          <w:p w14:paraId="740C1D01">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20" w:type="dxa"/>
            <w:shd w:val="clear" w:color="auto" w:fill="FFFFFF"/>
            <w:tcMar>
              <w:top w:w="0" w:type="dxa"/>
              <w:left w:w="0" w:type="dxa"/>
              <w:bottom w:w="0" w:type="dxa"/>
              <w:right w:w="0" w:type="dxa"/>
            </w:tcMar>
            <w:vAlign w:val="center"/>
          </w:tcPr>
          <w:p w14:paraId="1CD7FD99">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556" w:type="dxa"/>
            <w:shd w:val="clear" w:color="auto" w:fill="FFFFFF"/>
            <w:tcMar>
              <w:top w:w="0" w:type="dxa"/>
              <w:left w:w="0" w:type="dxa"/>
              <w:bottom w:w="0" w:type="dxa"/>
              <w:right w:w="0" w:type="dxa"/>
            </w:tcMar>
            <w:vAlign w:val="center"/>
          </w:tcPr>
          <w:p w14:paraId="016D9241">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cs="Arial"/>
                <w:color w:val="auto"/>
                <w:sz w:val="20"/>
                <w:lang w:val="en-US" w:eastAsia="zh-CN"/>
              </w:rPr>
              <w:t>6</w:t>
            </w:r>
            <w:r>
              <w:rPr>
                <w:rFonts w:hint="eastAsia" w:ascii="Arial" w:hAnsi="Arial" w:eastAsia="宋体" w:cs="Arial"/>
                <w:color w:val="auto"/>
                <w:sz w:val="20"/>
                <w:lang w:val="en-US" w:eastAsia="zh-CN"/>
              </w:rPr>
              <w:t>4.</w:t>
            </w:r>
            <w:r>
              <w:rPr>
                <w:rFonts w:hint="eastAsia" w:ascii="Arial" w:hAnsi="Arial" w:cs="Arial"/>
                <w:color w:val="auto"/>
                <w:sz w:val="20"/>
                <w:lang w:val="en-US" w:eastAsia="zh-CN"/>
              </w:rPr>
              <w:t>5</w:t>
            </w:r>
          </w:p>
        </w:tc>
        <w:tc>
          <w:tcPr>
            <w:tcW w:w="489" w:type="dxa"/>
            <w:shd w:val="clear" w:color="auto" w:fill="FFFFFF"/>
            <w:tcMar>
              <w:top w:w="0" w:type="dxa"/>
              <w:left w:w="0" w:type="dxa"/>
              <w:bottom w:w="0" w:type="dxa"/>
              <w:right w:w="0" w:type="dxa"/>
            </w:tcMar>
            <w:vAlign w:val="center"/>
          </w:tcPr>
          <w:p w14:paraId="634EC803">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cs="Arial"/>
                <w:color w:val="auto"/>
                <w:sz w:val="20"/>
                <w:lang w:val="en-US" w:eastAsia="zh-CN"/>
              </w:rPr>
              <w:t>6</w:t>
            </w:r>
            <w:r>
              <w:rPr>
                <w:rFonts w:hint="eastAsia" w:ascii="Arial" w:hAnsi="Arial" w:eastAsia="宋体" w:cs="Arial"/>
                <w:color w:val="auto"/>
                <w:sz w:val="20"/>
                <w:lang w:val="en-US" w:eastAsia="zh-CN"/>
              </w:rPr>
              <w:t>2.</w:t>
            </w:r>
            <w:r>
              <w:rPr>
                <w:rFonts w:hint="eastAsia" w:ascii="Arial" w:hAnsi="Arial" w:cs="Arial"/>
                <w:color w:val="auto"/>
                <w:sz w:val="20"/>
                <w:lang w:val="en-US" w:eastAsia="zh-CN"/>
              </w:rPr>
              <w:t>5</w:t>
            </w:r>
          </w:p>
        </w:tc>
        <w:tc>
          <w:tcPr>
            <w:tcW w:w="556" w:type="dxa"/>
            <w:shd w:val="clear" w:color="auto" w:fill="FFFFFF"/>
            <w:tcMar>
              <w:top w:w="0" w:type="dxa"/>
              <w:left w:w="0" w:type="dxa"/>
              <w:bottom w:w="0" w:type="dxa"/>
              <w:right w:w="0" w:type="dxa"/>
            </w:tcMar>
            <w:vAlign w:val="center"/>
          </w:tcPr>
          <w:p w14:paraId="50E35DB2">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cs="Arial"/>
                <w:color w:val="auto"/>
                <w:sz w:val="20"/>
                <w:lang w:val="en-US" w:eastAsia="zh-CN"/>
              </w:rPr>
              <w:t>6</w:t>
            </w:r>
            <w:r>
              <w:rPr>
                <w:rFonts w:hint="eastAsia" w:ascii="Arial" w:hAnsi="Arial" w:eastAsia="宋体" w:cs="Arial"/>
                <w:color w:val="auto"/>
                <w:sz w:val="20"/>
                <w:lang w:val="en-US" w:eastAsia="zh-CN"/>
              </w:rPr>
              <w:t>2.</w:t>
            </w:r>
            <w:r>
              <w:rPr>
                <w:rFonts w:hint="eastAsia" w:ascii="Arial" w:hAnsi="Arial" w:cs="Arial"/>
                <w:color w:val="auto"/>
                <w:sz w:val="20"/>
                <w:lang w:val="en-US" w:eastAsia="zh-CN"/>
              </w:rPr>
              <w:t>5</w:t>
            </w:r>
          </w:p>
        </w:tc>
        <w:tc>
          <w:tcPr>
            <w:tcW w:w="523" w:type="dxa"/>
            <w:shd w:val="clear" w:color="auto" w:fill="FFFFFF"/>
            <w:tcMar>
              <w:top w:w="0" w:type="dxa"/>
              <w:left w:w="0" w:type="dxa"/>
              <w:bottom w:w="0" w:type="dxa"/>
              <w:right w:w="0" w:type="dxa"/>
            </w:tcMar>
            <w:vAlign w:val="center"/>
          </w:tcPr>
          <w:p w14:paraId="46CCD00F">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cs="Arial"/>
                <w:color w:val="auto"/>
                <w:sz w:val="20"/>
                <w:lang w:val="en-US" w:eastAsia="zh-CN"/>
              </w:rPr>
              <w:t>6</w:t>
            </w:r>
            <w:r>
              <w:rPr>
                <w:rFonts w:hint="eastAsia" w:ascii="Arial" w:hAnsi="Arial" w:eastAsia="宋体" w:cs="Arial"/>
                <w:color w:val="auto"/>
                <w:sz w:val="20"/>
                <w:lang w:val="en-US" w:eastAsia="zh-CN"/>
              </w:rPr>
              <w:t>2.4</w:t>
            </w:r>
          </w:p>
        </w:tc>
        <w:tc>
          <w:tcPr>
            <w:tcW w:w="688" w:type="dxa"/>
            <w:shd w:val="clear" w:color="auto" w:fill="FFFFFF"/>
            <w:tcMar>
              <w:top w:w="0" w:type="dxa"/>
              <w:left w:w="0" w:type="dxa"/>
              <w:bottom w:w="0" w:type="dxa"/>
              <w:right w:w="0" w:type="dxa"/>
            </w:tcMar>
            <w:vAlign w:val="center"/>
          </w:tcPr>
          <w:p w14:paraId="2513BF0C">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w:t>
            </w:r>
          </w:p>
        </w:tc>
      </w:tr>
      <w:tr w14:paraId="6C95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366" w:type="dxa"/>
            <w:shd w:val="clear" w:color="auto" w:fill="FFFFFF"/>
            <w:tcMar>
              <w:top w:w="0" w:type="dxa"/>
              <w:left w:w="0" w:type="dxa"/>
              <w:bottom w:w="0" w:type="dxa"/>
              <w:right w:w="0" w:type="dxa"/>
            </w:tcMar>
            <w:vAlign w:val="center"/>
          </w:tcPr>
          <w:p w14:paraId="387BFA3A">
            <w:pPr>
              <w:keepNext w:val="0"/>
              <w:keepLines w:val="0"/>
              <w:suppressLineNumbers w:val="0"/>
              <w:spacing w:before="0" w:beforeAutospacing="0" w:after="0" w:afterAutospacing="0"/>
              <w:ind w:left="0" w:right="0"/>
              <w:jc w:val="center"/>
              <w:rPr>
                <w:rFonts w:hint="eastAsia" w:ascii="Arial" w:hAnsi="Arial" w:eastAsia="宋体" w:cs="Arial"/>
                <w:color w:val="auto"/>
                <w:sz w:val="20"/>
                <w:lang w:eastAsia="zh-CN"/>
              </w:rPr>
            </w:pPr>
            <w:r>
              <w:rPr>
                <w:rFonts w:hint="eastAsia" w:ascii="Arial" w:hAnsi="Arial" w:eastAsia="宋体" w:cs="Arial"/>
                <w:color w:val="auto"/>
                <w:sz w:val="20"/>
                <w:lang w:val="en-US" w:eastAsia="zh-CN"/>
              </w:rPr>
              <w:t>9</w:t>
            </w:r>
          </w:p>
        </w:tc>
        <w:tc>
          <w:tcPr>
            <w:tcW w:w="910" w:type="dxa"/>
            <w:shd w:val="clear" w:color="auto" w:fill="FFFFFF"/>
            <w:tcMar>
              <w:top w:w="0" w:type="dxa"/>
              <w:left w:w="0" w:type="dxa"/>
              <w:bottom w:w="0" w:type="dxa"/>
              <w:right w:w="0" w:type="dxa"/>
            </w:tcMar>
            <w:vAlign w:val="center"/>
          </w:tcPr>
          <w:p w14:paraId="5C523623">
            <w:pPr>
              <w:keepNext w:val="0"/>
              <w:keepLines w:val="0"/>
              <w:suppressLineNumbers w:val="0"/>
              <w:spacing w:before="0" w:beforeAutospacing="0" w:after="0" w:afterAutospacing="0"/>
              <w:ind w:left="0" w:right="0"/>
              <w:jc w:val="center"/>
              <w:rPr>
                <w:rFonts w:hint="default" w:ascii="Arial" w:hAnsi="Arial" w:cs="Arial"/>
                <w:color w:val="auto"/>
                <w:sz w:val="21"/>
                <w:szCs w:val="21"/>
                <w:lang w:val="en-US" w:eastAsia="zh-CN"/>
              </w:rPr>
            </w:pPr>
            <w:r>
              <w:rPr>
                <w:rFonts w:hint="default" w:ascii="Arial" w:hAnsi="Arial" w:cs="Arial"/>
                <w:color w:val="auto"/>
                <w:sz w:val="21"/>
                <w:szCs w:val="21"/>
                <w:lang w:val="en-US" w:eastAsia="zh-CN"/>
              </w:rPr>
              <w:t>生产厂房</w:t>
            </w:r>
          </w:p>
        </w:tc>
        <w:tc>
          <w:tcPr>
            <w:tcW w:w="1375" w:type="dxa"/>
            <w:shd w:val="clear" w:color="auto" w:fill="FFFFFF"/>
            <w:tcMar>
              <w:top w:w="0" w:type="dxa"/>
              <w:left w:w="0" w:type="dxa"/>
              <w:bottom w:w="0" w:type="dxa"/>
              <w:right w:w="0" w:type="dxa"/>
            </w:tcMar>
            <w:vAlign w:val="center"/>
          </w:tcPr>
          <w:p w14:paraId="2BA9C830">
            <w:pPr>
              <w:keepNext w:val="0"/>
              <w:keepLines w:val="0"/>
              <w:suppressLineNumbers w:val="0"/>
              <w:spacing w:before="0" w:beforeAutospacing="0" w:after="0" w:afterAutospacing="0"/>
              <w:ind w:left="0" w:right="0"/>
              <w:jc w:val="center"/>
              <w:rPr>
                <w:rFonts w:hint="default" w:ascii="Arial" w:hAnsi="Arial" w:cs="Arial"/>
                <w:color w:val="auto"/>
                <w:sz w:val="21"/>
                <w:szCs w:val="21"/>
                <w:lang w:val="en-US" w:eastAsia="zh-CN"/>
              </w:rPr>
            </w:pPr>
            <w:r>
              <w:rPr>
                <w:rFonts w:hint="eastAsia" w:ascii="Arial" w:hAnsi="Arial" w:cs="Arial"/>
                <w:color w:val="auto"/>
                <w:sz w:val="21"/>
                <w:szCs w:val="21"/>
                <w:lang w:val="en-US" w:eastAsia="zh-CN"/>
              </w:rPr>
              <w:t>冷冻式压缩空气干燥器</w:t>
            </w:r>
          </w:p>
        </w:tc>
        <w:tc>
          <w:tcPr>
            <w:tcW w:w="563" w:type="dxa"/>
            <w:shd w:val="clear" w:color="auto" w:fill="FFFFFF"/>
            <w:tcMar>
              <w:top w:w="0" w:type="dxa"/>
              <w:left w:w="0" w:type="dxa"/>
              <w:bottom w:w="0" w:type="dxa"/>
              <w:right w:w="0" w:type="dxa"/>
            </w:tcMar>
            <w:vAlign w:val="center"/>
          </w:tcPr>
          <w:p w14:paraId="05BADE2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80</w:t>
            </w:r>
          </w:p>
        </w:tc>
        <w:tc>
          <w:tcPr>
            <w:tcW w:w="657" w:type="dxa"/>
            <w:vMerge w:val="continue"/>
            <w:shd w:val="clear" w:color="auto" w:fill="FFFFFF"/>
            <w:tcMar>
              <w:top w:w="0" w:type="dxa"/>
              <w:left w:w="0" w:type="dxa"/>
              <w:bottom w:w="0" w:type="dxa"/>
              <w:right w:w="0" w:type="dxa"/>
            </w:tcMar>
            <w:vAlign w:val="center"/>
          </w:tcPr>
          <w:p w14:paraId="642C8F49">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507" w:type="dxa"/>
            <w:shd w:val="clear" w:color="auto" w:fill="FFFFFF"/>
            <w:tcMar>
              <w:top w:w="0" w:type="dxa"/>
              <w:left w:w="0" w:type="dxa"/>
              <w:bottom w:w="0" w:type="dxa"/>
              <w:right w:w="0" w:type="dxa"/>
            </w:tcMar>
            <w:vAlign w:val="center"/>
          </w:tcPr>
          <w:p w14:paraId="64A49CA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20.2</w:t>
            </w:r>
          </w:p>
        </w:tc>
        <w:tc>
          <w:tcPr>
            <w:tcW w:w="523" w:type="dxa"/>
            <w:shd w:val="clear" w:color="auto" w:fill="FFFFFF"/>
            <w:tcMar>
              <w:top w:w="0" w:type="dxa"/>
              <w:left w:w="0" w:type="dxa"/>
              <w:bottom w:w="0" w:type="dxa"/>
              <w:right w:w="0" w:type="dxa"/>
            </w:tcMar>
            <w:vAlign w:val="center"/>
          </w:tcPr>
          <w:p w14:paraId="73FC71C2">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-30.7</w:t>
            </w:r>
          </w:p>
        </w:tc>
        <w:tc>
          <w:tcPr>
            <w:tcW w:w="523" w:type="dxa"/>
            <w:shd w:val="clear" w:color="auto" w:fill="FFFFFF"/>
            <w:tcMar>
              <w:top w:w="0" w:type="dxa"/>
              <w:left w:w="0" w:type="dxa"/>
              <w:bottom w:w="0" w:type="dxa"/>
              <w:right w:w="0" w:type="dxa"/>
            </w:tcMar>
            <w:vAlign w:val="center"/>
          </w:tcPr>
          <w:p w14:paraId="69B703B2">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1.2</w:t>
            </w:r>
          </w:p>
        </w:tc>
        <w:tc>
          <w:tcPr>
            <w:tcW w:w="472" w:type="dxa"/>
            <w:shd w:val="clear" w:color="auto" w:fill="FFFFFF"/>
            <w:tcMar>
              <w:top w:w="0" w:type="dxa"/>
              <w:left w:w="0" w:type="dxa"/>
              <w:bottom w:w="0" w:type="dxa"/>
              <w:right w:w="0" w:type="dxa"/>
            </w:tcMar>
            <w:vAlign w:val="center"/>
          </w:tcPr>
          <w:p w14:paraId="5193C1BB">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3.1</w:t>
            </w:r>
          </w:p>
        </w:tc>
        <w:tc>
          <w:tcPr>
            <w:tcW w:w="523" w:type="dxa"/>
            <w:shd w:val="clear" w:color="auto" w:fill="FFFFFF"/>
            <w:tcMar>
              <w:top w:w="0" w:type="dxa"/>
              <w:left w:w="0" w:type="dxa"/>
              <w:bottom w:w="0" w:type="dxa"/>
              <w:right w:w="0" w:type="dxa"/>
            </w:tcMar>
            <w:vAlign w:val="center"/>
          </w:tcPr>
          <w:p w14:paraId="037D6E41">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25.3</w:t>
            </w:r>
          </w:p>
        </w:tc>
        <w:tc>
          <w:tcPr>
            <w:tcW w:w="540" w:type="dxa"/>
            <w:shd w:val="clear" w:color="auto" w:fill="FFFFFF"/>
            <w:tcMar>
              <w:top w:w="0" w:type="dxa"/>
              <w:left w:w="0" w:type="dxa"/>
              <w:bottom w:w="0" w:type="dxa"/>
              <w:right w:w="0" w:type="dxa"/>
            </w:tcMar>
            <w:vAlign w:val="center"/>
          </w:tcPr>
          <w:p w14:paraId="2E839762">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45.7</w:t>
            </w:r>
          </w:p>
        </w:tc>
        <w:tc>
          <w:tcPr>
            <w:tcW w:w="438" w:type="dxa"/>
            <w:shd w:val="clear" w:color="auto" w:fill="FFFFFF"/>
            <w:tcMar>
              <w:top w:w="0" w:type="dxa"/>
              <w:left w:w="0" w:type="dxa"/>
              <w:bottom w:w="0" w:type="dxa"/>
              <w:right w:w="0" w:type="dxa"/>
            </w:tcMar>
            <w:vAlign w:val="center"/>
          </w:tcPr>
          <w:p w14:paraId="6D283928">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60.0</w:t>
            </w:r>
          </w:p>
        </w:tc>
        <w:tc>
          <w:tcPr>
            <w:tcW w:w="472" w:type="dxa"/>
            <w:shd w:val="clear" w:color="auto" w:fill="FFFFFF"/>
            <w:tcMar>
              <w:top w:w="0" w:type="dxa"/>
              <w:left w:w="0" w:type="dxa"/>
              <w:bottom w:w="0" w:type="dxa"/>
              <w:right w:w="0" w:type="dxa"/>
            </w:tcMar>
            <w:vAlign w:val="center"/>
          </w:tcPr>
          <w:p w14:paraId="3F27A7A1">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64.1</w:t>
            </w:r>
          </w:p>
        </w:tc>
        <w:tc>
          <w:tcPr>
            <w:tcW w:w="472" w:type="dxa"/>
            <w:shd w:val="clear" w:color="auto" w:fill="FFFFFF"/>
            <w:tcMar>
              <w:top w:w="0" w:type="dxa"/>
              <w:left w:w="0" w:type="dxa"/>
              <w:bottom w:w="0" w:type="dxa"/>
              <w:right w:w="0" w:type="dxa"/>
            </w:tcMar>
            <w:vAlign w:val="center"/>
          </w:tcPr>
          <w:p w14:paraId="25D241C9">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505" w:type="dxa"/>
            <w:shd w:val="clear" w:color="auto" w:fill="FFFFFF"/>
            <w:tcMar>
              <w:top w:w="0" w:type="dxa"/>
              <w:left w:w="0" w:type="dxa"/>
              <w:bottom w:w="0" w:type="dxa"/>
              <w:right w:w="0" w:type="dxa"/>
            </w:tcMar>
            <w:vAlign w:val="center"/>
          </w:tcPr>
          <w:p w14:paraId="74FB6660">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507" w:type="dxa"/>
            <w:shd w:val="clear" w:color="auto" w:fill="FFFFFF"/>
            <w:tcMar>
              <w:top w:w="0" w:type="dxa"/>
              <w:left w:w="0" w:type="dxa"/>
              <w:bottom w:w="0" w:type="dxa"/>
              <w:right w:w="0" w:type="dxa"/>
            </w:tcMar>
            <w:vAlign w:val="center"/>
          </w:tcPr>
          <w:p w14:paraId="390B3CC2">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62.4</w:t>
            </w:r>
          </w:p>
        </w:tc>
        <w:tc>
          <w:tcPr>
            <w:tcW w:w="539" w:type="dxa"/>
            <w:vMerge w:val="continue"/>
            <w:shd w:val="clear" w:color="auto" w:fill="FFFFFF"/>
            <w:tcMar>
              <w:top w:w="0" w:type="dxa"/>
              <w:left w:w="0" w:type="dxa"/>
              <w:bottom w:w="0" w:type="dxa"/>
              <w:right w:w="0" w:type="dxa"/>
            </w:tcMar>
            <w:vAlign w:val="center"/>
          </w:tcPr>
          <w:p w14:paraId="19D4324E">
            <w:pPr>
              <w:keepNext w:val="0"/>
              <w:keepLines w:val="0"/>
              <w:suppressLineNumbers w:val="0"/>
              <w:spacing w:before="0" w:beforeAutospacing="0" w:after="0" w:afterAutospacing="0"/>
              <w:ind w:left="0" w:right="0"/>
              <w:jc w:val="center"/>
              <w:rPr>
                <w:rFonts w:hint="default" w:ascii="Arial" w:hAnsi="Arial" w:eastAsia="Arial" w:cs="Arial"/>
                <w:color w:val="auto"/>
                <w:sz w:val="20"/>
              </w:rPr>
            </w:pPr>
          </w:p>
        </w:tc>
        <w:tc>
          <w:tcPr>
            <w:tcW w:w="472" w:type="dxa"/>
            <w:shd w:val="clear" w:color="auto" w:fill="FFFFFF"/>
            <w:tcMar>
              <w:top w:w="0" w:type="dxa"/>
              <w:left w:w="0" w:type="dxa"/>
              <w:bottom w:w="0" w:type="dxa"/>
              <w:right w:w="0" w:type="dxa"/>
            </w:tcMar>
            <w:vAlign w:val="center"/>
          </w:tcPr>
          <w:p w14:paraId="256780CF">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89" w:type="dxa"/>
            <w:shd w:val="clear" w:color="auto" w:fill="FFFFFF"/>
            <w:tcMar>
              <w:top w:w="0" w:type="dxa"/>
              <w:left w:w="0" w:type="dxa"/>
              <w:bottom w:w="0" w:type="dxa"/>
              <w:right w:w="0" w:type="dxa"/>
            </w:tcMar>
            <w:vAlign w:val="center"/>
          </w:tcPr>
          <w:p w14:paraId="1A17B3B0">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72" w:type="dxa"/>
            <w:shd w:val="clear" w:color="auto" w:fill="FFFFFF"/>
            <w:tcMar>
              <w:top w:w="0" w:type="dxa"/>
              <w:left w:w="0" w:type="dxa"/>
              <w:bottom w:w="0" w:type="dxa"/>
              <w:right w:w="0" w:type="dxa"/>
            </w:tcMar>
            <w:vAlign w:val="center"/>
          </w:tcPr>
          <w:p w14:paraId="7472E2E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420" w:type="dxa"/>
            <w:shd w:val="clear" w:color="auto" w:fill="FFFFFF"/>
            <w:tcMar>
              <w:top w:w="0" w:type="dxa"/>
              <w:left w:w="0" w:type="dxa"/>
              <w:bottom w:w="0" w:type="dxa"/>
              <w:right w:w="0" w:type="dxa"/>
            </w:tcMar>
            <w:vAlign w:val="center"/>
          </w:tcPr>
          <w:p w14:paraId="46E6A86D">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2</w:t>
            </w:r>
            <w:r>
              <w:rPr>
                <w:rFonts w:hint="eastAsia" w:ascii="Arial" w:hAnsi="Arial" w:eastAsia="Arial" w:cs="Arial"/>
                <w:color w:val="auto"/>
                <w:sz w:val="20"/>
                <w:lang w:val="en-US" w:eastAsia="zh-CN"/>
              </w:rPr>
              <w:t>0.0</w:t>
            </w:r>
          </w:p>
        </w:tc>
        <w:tc>
          <w:tcPr>
            <w:tcW w:w="556" w:type="dxa"/>
            <w:shd w:val="clear" w:color="auto" w:fill="FFFFFF"/>
            <w:tcMar>
              <w:top w:w="0" w:type="dxa"/>
              <w:left w:w="0" w:type="dxa"/>
              <w:bottom w:w="0" w:type="dxa"/>
              <w:right w:w="0" w:type="dxa"/>
            </w:tcMar>
            <w:vAlign w:val="center"/>
          </w:tcPr>
          <w:p w14:paraId="0597399A">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39.4</w:t>
            </w:r>
          </w:p>
        </w:tc>
        <w:tc>
          <w:tcPr>
            <w:tcW w:w="489" w:type="dxa"/>
            <w:shd w:val="clear" w:color="auto" w:fill="FFFFFF"/>
            <w:tcMar>
              <w:top w:w="0" w:type="dxa"/>
              <w:left w:w="0" w:type="dxa"/>
              <w:bottom w:w="0" w:type="dxa"/>
              <w:right w:w="0" w:type="dxa"/>
            </w:tcMar>
            <w:vAlign w:val="center"/>
          </w:tcPr>
          <w:p w14:paraId="266D6F41">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42.4</w:t>
            </w:r>
          </w:p>
        </w:tc>
        <w:tc>
          <w:tcPr>
            <w:tcW w:w="556" w:type="dxa"/>
            <w:shd w:val="clear" w:color="auto" w:fill="FFFFFF"/>
            <w:tcMar>
              <w:top w:w="0" w:type="dxa"/>
              <w:left w:w="0" w:type="dxa"/>
              <w:bottom w:w="0" w:type="dxa"/>
              <w:right w:w="0" w:type="dxa"/>
            </w:tcMar>
            <w:vAlign w:val="center"/>
          </w:tcPr>
          <w:p w14:paraId="3962A4CC">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42.4</w:t>
            </w:r>
          </w:p>
        </w:tc>
        <w:tc>
          <w:tcPr>
            <w:tcW w:w="523" w:type="dxa"/>
            <w:shd w:val="clear" w:color="auto" w:fill="FFFFFF"/>
            <w:tcMar>
              <w:top w:w="0" w:type="dxa"/>
              <w:left w:w="0" w:type="dxa"/>
              <w:bottom w:w="0" w:type="dxa"/>
              <w:right w:w="0" w:type="dxa"/>
            </w:tcMar>
            <w:vAlign w:val="center"/>
          </w:tcPr>
          <w:p w14:paraId="3133C166">
            <w:pPr>
              <w:keepNext w:val="0"/>
              <w:keepLines w:val="0"/>
              <w:suppressLineNumbers w:val="0"/>
              <w:spacing w:before="0" w:beforeAutospacing="0" w:after="0" w:afterAutospacing="0"/>
              <w:ind w:left="0" w:right="0"/>
              <w:jc w:val="center"/>
              <w:rPr>
                <w:rFonts w:hint="default" w:ascii="Arial" w:hAnsi="Arial" w:eastAsia="宋体" w:cs="Arial"/>
                <w:color w:val="auto"/>
                <w:sz w:val="20"/>
                <w:lang w:val="en-US" w:eastAsia="zh-CN"/>
              </w:rPr>
            </w:pPr>
            <w:r>
              <w:rPr>
                <w:rFonts w:hint="eastAsia" w:ascii="Arial" w:hAnsi="Arial" w:eastAsia="宋体" w:cs="Arial"/>
                <w:color w:val="auto"/>
                <w:sz w:val="20"/>
                <w:lang w:val="en-US" w:eastAsia="zh-CN"/>
              </w:rPr>
              <w:t>42.4</w:t>
            </w:r>
          </w:p>
        </w:tc>
        <w:tc>
          <w:tcPr>
            <w:tcW w:w="688" w:type="dxa"/>
            <w:shd w:val="clear" w:color="auto" w:fill="FFFFFF"/>
            <w:tcMar>
              <w:top w:w="0" w:type="dxa"/>
              <w:left w:w="0" w:type="dxa"/>
              <w:bottom w:w="0" w:type="dxa"/>
              <w:right w:w="0" w:type="dxa"/>
            </w:tcMar>
            <w:vAlign w:val="center"/>
          </w:tcPr>
          <w:p w14:paraId="308C1566">
            <w:pPr>
              <w:keepNext w:val="0"/>
              <w:keepLines w:val="0"/>
              <w:suppressLineNumbers w:val="0"/>
              <w:spacing w:before="0" w:beforeAutospacing="0" w:after="0" w:afterAutospacing="0"/>
              <w:ind w:left="0" w:right="0"/>
              <w:jc w:val="center"/>
              <w:rPr>
                <w:rFonts w:hint="default" w:ascii="Arial" w:hAnsi="Arial" w:eastAsia="Arial" w:cs="Arial"/>
                <w:color w:val="auto"/>
                <w:sz w:val="20"/>
              </w:rPr>
            </w:pPr>
            <w:r>
              <w:rPr>
                <w:rFonts w:hint="default" w:ascii="Arial" w:hAnsi="Arial" w:eastAsia="Arial" w:cs="Arial"/>
                <w:color w:val="auto"/>
                <w:sz w:val="20"/>
              </w:rPr>
              <w:t>1</w:t>
            </w:r>
          </w:p>
        </w:tc>
      </w:tr>
      <w:bookmarkEnd w:id="34"/>
    </w:tbl>
    <w:p w14:paraId="008D0FF2">
      <w:pPr>
        <w:pStyle w:val="41"/>
        <w:rPr>
          <w:rFonts w:hint="default"/>
          <w:color w:val="auto"/>
          <w:sz w:val="24"/>
          <w:szCs w:val="24"/>
          <w:lang w:val="en-US" w:eastAsia="zh-CN"/>
        </w:rPr>
      </w:pPr>
      <w:r>
        <w:rPr>
          <w:rFonts w:hint="eastAsia"/>
          <w:color w:val="auto"/>
          <w:sz w:val="24"/>
          <w:szCs w:val="24"/>
          <w:lang w:val="en-US" w:eastAsia="zh-CN"/>
        </w:rPr>
        <w:t>注：表中坐标以厂界中心</w:t>
      </w:r>
      <w:r>
        <w:rPr>
          <w:rFonts w:hint="eastAsia" w:ascii="Times New Roman" w:hAnsi="Times New Roman" w:eastAsia="宋体" w:cs="Times New Roman"/>
          <w:color w:val="auto"/>
          <w:sz w:val="24"/>
          <w:szCs w:val="24"/>
          <w:highlight w:val="none"/>
          <w:lang w:val="zh-CN" w:bidi="ar"/>
        </w:rPr>
        <w:t>（</w:t>
      </w:r>
      <w:r>
        <w:rPr>
          <w:rFonts w:hint="default" w:ascii="Times New Roman" w:hAnsi="Times New Roman" w:cs="Times New Roman" w:eastAsiaTheme="minorEastAsia"/>
          <w:b w:val="0"/>
          <w:bCs/>
          <w:color w:val="auto"/>
          <w:sz w:val="24"/>
          <w:szCs w:val="24"/>
          <w:lang w:val="en-US" w:eastAsia="zh-CN"/>
        </w:rPr>
        <w:t>103.15</w:t>
      </w:r>
      <w:r>
        <w:rPr>
          <w:rFonts w:hint="eastAsia" w:cs="Times New Roman" w:eastAsiaTheme="minorEastAsia"/>
          <w:b w:val="0"/>
          <w:bCs/>
          <w:color w:val="auto"/>
          <w:sz w:val="24"/>
          <w:szCs w:val="24"/>
          <w:lang w:val="en-US" w:eastAsia="zh-CN"/>
        </w:rPr>
        <w:t>4687</w:t>
      </w:r>
      <w:r>
        <w:rPr>
          <w:rFonts w:hint="default" w:ascii="Times New Roman" w:hAnsi="Times New Roman" w:cs="Times New Roman" w:eastAsiaTheme="minorEastAsia"/>
          <w:b w:val="0"/>
          <w:bCs/>
          <w:color w:val="auto"/>
          <w:sz w:val="24"/>
          <w:szCs w:val="24"/>
          <w:lang w:val="en-US" w:eastAsia="zh-CN"/>
        </w:rPr>
        <w:t>,25.4</w:t>
      </w:r>
      <w:r>
        <w:rPr>
          <w:rFonts w:hint="eastAsia" w:cs="Times New Roman" w:eastAsiaTheme="minorEastAsia"/>
          <w:b w:val="0"/>
          <w:bCs/>
          <w:color w:val="auto"/>
          <w:sz w:val="24"/>
          <w:szCs w:val="24"/>
          <w:lang w:val="en-US" w:eastAsia="zh-CN"/>
        </w:rPr>
        <w:t>70234</w:t>
      </w:r>
      <w:r>
        <w:rPr>
          <w:rFonts w:hint="eastAsia" w:ascii="Times New Roman" w:hAnsi="Times New Roman" w:eastAsia="宋体" w:cs="Times New Roman"/>
          <w:color w:val="auto"/>
          <w:sz w:val="24"/>
          <w:szCs w:val="24"/>
          <w:highlight w:val="none"/>
          <w:lang w:val="zh-CN" w:bidi="ar"/>
        </w:rPr>
        <w:t>）</w:t>
      </w:r>
      <w:r>
        <w:rPr>
          <w:rFonts w:hint="eastAsia"/>
          <w:color w:val="auto"/>
          <w:sz w:val="24"/>
          <w:szCs w:val="24"/>
          <w:lang w:val="en-US" w:eastAsia="zh-CN"/>
        </w:rPr>
        <w:t>为坐标原点，正东向为X轴正方向，正北向为Y轴正方向。</w:t>
      </w:r>
    </w:p>
    <w:p w14:paraId="6950A2A1">
      <w:pPr>
        <w:pStyle w:val="41"/>
        <w:ind w:left="0" w:leftChars="0" w:firstLine="0" w:firstLineChars="0"/>
        <w:rPr>
          <w:rFonts w:hint="eastAsia"/>
          <w:color w:val="auto"/>
        </w:rPr>
        <w:sectPr>
          <w:pgSz w:w="16840" w:h="11907" w:orient="landscape"/>
          <w:pgMar w:top="1531" w:right="1701" w:bottom="1531" w:left="212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9"/>
        <w:gridCol w:w="8742"/>
      </w:tblGrid>
      <w:tr w14:paraId="046B24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80" w:hRule="atLeast"/>
          <w:jc w:val="center"/>
        </w:trPr>
        <w:tc>
          <w:tcPr>
            <w:tcW w:w="239" w:type="dxa"/>
            <w:noWrap w:val="0"/>
            <w:tcMar>
              <w:left w:w="28" w:type="dxa"/>
              <w:right w:w="28" w:type="dxa"/>
            </w:tcMar>
            <w:vAlign w:val="center"/>
          </w:tcPr>
          <w:p w14:paraId="04326AC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运营</w:t>
            </w:r>
          </w:p>
          <w:p w14:paraId="1FEA9DF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期环</w:t>
            </w:r>
          </w:p>
          <w:p w14:paraId="4D04F40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境影</w:t>
            </w:r>
          </w:p>
          <w:p w14:paraId="253777E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响和</w:t>
            </w:r>
          </w:p>
          <w:p w14:paraId="1D658CF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保护</w:t>
            </w:r>
          </w:p>
          <w:p w14:paraId="5157D2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措施</w:t>
            </w:r>
          </w:p>
        </w:tc>
        <w:tc>
          <w:tcPr>
            <w:tcW w:w="8742" w:type="dxa"/>
            <w:noWrap w:val="0"/>
            <w:vAlign w:val="center"/>
          </w:tcPr>
          <w:p w14:paraId="2CAEA63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zh-CN" w:bidi="ar"/>
              </w:rPr>
            </w:pPr>
            <w:r>
              <w:rPr>
                <w:rFonts w:hint="eastAsia" w:ascii="Times New Roman" w:hAnsi="Times New Roman" w:eastAsia="宋体" w:cs="Times New Roman"/>
                <w:color w:val="auto"/>
                <w:sz w:val="24"/>
                <w:highlight w:val="none"/>
                <w:lang w:val="zh-CN" w:bidi="ar"/>
              </w:rPr>
              <w:t>C、环境数据</w:t>
            </w:r>
          </w:p>
          <w:p w14:paraId="6CDC786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zh-CN" w:bidi="ar"/>
              </w:rPr>
            </w:pPr>
            <w:r>
              <w:rPr>
                <w:rFonts w:hint="eastAsia" w:ascii="Times New Roman" w:hAnsi="Times New Roman" w:eastAsia="宋体" w:cs="Times New Roman"/>
                <w:color w:val="auto"/>
                <w:sz w:val="24"/>
                <w:highlight w:val="none"/>
                <w:lang w:val="zh-CN" w:bidi="ar"/>
              </w:rPr>
              <w:t>项目噪声环境影响预测基础数据见下表。</w:t>
            </w:r>
          </w:p>
          <w:p w14:paraId="29A7B371">
            <w:pPr>
              <w:keepNext w:val="0"/>
              <w:keepLines w:val="0"/>
              <w:suppressLineNumbers w:val="0"/>
              <w:spacing w:before="0" w:beforeAutospacing="0" w:after="0" w:afterAutospacing="0" w:line="240" w:lineRule="auto"/>
              <w:ind w:left="0" w:right="0" w:firstLine="0" w:firstLineChars="0"/>
              <w:jc w:val="center"/>
              <w:rPr>
                <w:rFonts w:hint="eastAsia"/>
                <w:b/>
                <w:bCs/>
                <w:color w:val="auto"/>
                <w:kern w:val="0"/>
                <w:szCs w:val="20"/>
              </w:rPr>
            </w:pPr>
            <w:r>
              <w:rPr>
                <w:rFonts w:hint="eastAsia"/>
                <w:b/>
                <w:bCs/>
                <w:color w:val="auto"/>
                <w:kern w:val="0"/>
                <w:szCs w:val="20"/>
              </w:rPr>
              <w:t>表4-</w:t>
            </w:r>
            <w:r>
              <w:rPr>
                <w:rFonts w:hint="default"/>
                <w:b/>
                <w:bCs/>
                <w:color w:val="auto"/>
                <w:kern w:val="0"/>
                <w:szCs w:val="20"/>
              </w:rPr>
              <w:t>12</w:t>
            </w:r>
            <w:r>
              <w:rPr>
                <w:rFonts w:hint="eastAsia"/>
                <w:b/>
                <w:bCs/>
                <w:color w:val="auto"/>
                <w:kern w:val="0"/>
                <w:szCs w:val="20"/>
              </w:rPr>
              <w:t xml:space="preserve">  项目噪声环境影响预测基础数据表</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601"/>
              <w:gridCol w:w="1984"/>
              <w:gridCol w:w="1984"/>
            </w:tblGrid>
            <w:tr w14:paraId="6FD1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noWrap w:val="0"/>
                  <w:vAlign w:val="center"/>
                </w:tcPr>
                <w:p w14:paraId="6C95A493">
                  <w:pPr>
                    <w:pStyle w:val="97"/>
                    <w:keepNext w:val="0"/>
                    <w:keepLines w:val="0"/>
                    <w:suppressLineNumbers w:val="0"/>
                    <w:spacing w:before="0" w:beforeAutospacing="0" w:after="0" w:afterAutospacing="0"/>
                    <w:ind w:left="0" w:right="0"/>
                    <w:rPr>
                      <w:rFonts w:hint="default"/>
                      <w:color w:val="auto"/>
                    </w:rPr>
                  </w:pPr>
                  <w:r>
                    <w:rPr>
                      <w:rFonts w:hint="default"/>
                      <w:color w:val="auto"/>
                    </w:rPr>
                    <w:t>序号</w:t>
                  </w:r>
                </w:p>
              </w:tc>
              <w:tc>
                <w:tcPr>
                  <w:tcW w:w="2601" w:type="dxa"/>
                  <w:tcBorders>
                    <w:top w:val="single" w:color="auto" w:sz="4" w:space="0"/>
                    <w:left w:val="single" w:color="auto" w:sz="4" w:space="0"/>
                    <w:bottom w:val="single" w:color="auto" w:sz="4" w:space="0"/>
                    <w:right w:val="single" w:color="auto" w:sz="4" w:space="0"/>
                  </w:tcBorders>
                  <w:noWrap w:val="0"/>
                  <w:vAlign w:val="center"/>
                </w:tcPr>
                <w:p w14:paraId="41BB587A">
                  <w:pPr>
                    <w:pStyle w:val="97"/>
                    <w:keepNext w:val="0"/>
                    <w:keepLines w:val="0"/>
                    <w:suppressLineNumbers w:val="0"/>
                    <w:spacing w:before="0" w:beforeAutospacing="0" w:after="0" w:afterAutospacing="0"/>
                    <w:ind w:left="0" w:right="0"/>
                    <w:rPr>
                      <w:rFonts w:hint="default"/>
                      <w:color w:val="auto"/>
                    </w:rPr>
                  </w:pPr>
                  <w:r>
                    <w:rPr>
                      <w:rFonts w:hint="default"/>
                      <w:color w:val="auto"/>
                    </w:rPr>
                    <w:t>名称</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223C6D2">
                  <w:pPr>
                    <w:pStyle w:val="97"/>
                    <w:keepNext w:val="0"/>
                    <w:keepLines w:val="0"/>
                    <w:suppressLineNumbers w:val="0"/>
                    <w:spacing w:before="0" w:beforeAutospacing="0" w:after="0" w:afterAutospacing="0"/>
                    <w:ind w:left="0" w:right="0"/>
                    <w:rPr>
                      <w:rFonts w:hint="default"/>
                      <w:color w:val="auto"/>
                    </w:rPr>
                  </w:pPr>
                  <w:r>
                    <w:rPr>
                      <w:rFonts w:hint="default"/>
                      <w:color w:val="auto"/>
                    </w:rPr>
                    <w:t>单位</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12730E6">
                  <w:pPr>
                    <w:pStyle w:val="97"/>
                    <w:keepNext w:val="0"/>
                    <w:keepLines w:val="0"/>
                    <w:suppressLineNumbers w:val="0"/>
                    <w:spacing w:before="0" w:beforeAutospacing="0" w:after="0" w:afterAutospacing="0"/>
                    <w:ind w:left="0" w:right="0"/>
                    <w:rPr>
                      <w:rFonts w:hint="default"/>
                      <w:color w:val="auto"/>
                    </w:rPr>
                  </w:pPr>
                  <w:r>
                    <w:rPr>
                      <w:rFonts w:hint="default"/>
                      <w:color w:val="auto"/>
                    </w:rPr>
                    <w:t>数据</w:t>
                  </w:r>
                </w:p>
              </w:tc>
            </w:tr>
            <w:tr w14:paraId="3DAF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4DE1C1">
                  <w:pPr>
                    <w:pStyle w:val="97"/>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2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07C403">
                  <w:pPr>
                    <w:pStyle w:val="97"/>
                    <w:keepNext w:val="0"/>
                    <w:keepLines w:val="0"/>
                    <w:suppressLineNumbers w:val="0"/>
                    <w:spacing w:before="0" w:beforeAutospacing="0" w:after="0" w:afterAutospacing="0"/>
                    <w:ind w:left="0" w:right="0"/>
                    <w:rPr>
                      <w:rFonts w:hint="default"/>
                      <w:color w:val="auto"/>
                    </w:rPr>
                  </w:pPr>
                  <w:r>
                    <w:rPr>
                      <w:rFonts w:hint="default"/>
                      <w:color w:val="auto"/>
                    </w:rPr>
                    <w:t>年平均风速</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DA3D50">
                  <w:pPr>
                    <w:pStyle w:val="97"/>
                    <w:keepNext w:val="0"/>
                    <w:keepLines w:val="0"/>
                    <w:suppressLineNumbers w:val="0"/>
                    <w:spacing w:before="0" w:beforeAutospacing="0" w:after="0" w:afterAutospacing="0"/>
                    <w:ind w:left="0" w:right="0"/>
                    <w:rPr>
                      <w:rFonts w:hint="default"/>
                      <w:color w:val="auto"/>
                    </w:rPr>
                  </w:pPr>
                  <w:r>
                    <w:rPr>
                      <w:rFonts w:hint="default"/>
                      <w:color w:val="auto"/>
                    </w:rPr>
                    <w:t>m/s</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13730F">
                  <w:pPr>
                    <w:pStyle w:val="97"/>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1.6</w:t>
                  </w:r>
                </w:p>
              </w:tc>
            </w:tr>
            <w:tr w14:paraId="4F53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DE70B5">
                  <w:pPr>
                    <w:pStyle w:val="97"/>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2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83E3CE">
                  <w:pPr>
                    <w:pStyle w:val="97"/>
                    <w:keepNext w:val="0"/>
                    <w:keepLines w:val="0"/>
                    <w:suppressLineNumbers w:val="0"/>
                    <w:spacing w:before="0" w:beforeAutospacing="0" w:after="0" w:afterAutospacing="0"/>
                    <w:ind w:left="0" w:right="0"/>
                    <w:rPr>
                      <w:rFonts w:hint="default"/>
                      <w:color w:val="auto"/>
                    </w:rPr>
                  </w:pPr>
                  <w:r>
                    <w:rPr>
                      <w:rFonts w:hint="default"/>
                      <w:color w:val="auto"/>
                    </w:rPr>
                    <w:t>主导风向</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F4455B">
                  <w:pPr>
                    <w:pStyle w:val="9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ACF561">
                  <w:pPr>
                    <w:pStyle w:val="97"/>
                    <w:keepNext w:val="0"/>
                    <w:keepLines w:val="0"/>
                    <w:suppressLineNumbers w:val="0"/>
                    <w:spacing w:before="0" w:beforeAutospacing="0" w:after="0" w:afterAutospacing="0"/>
                    <w:ind w:left="0" w:right="0"/>
                    <w:rPr>
                      <w:rFonts w:hint="default"/>
                      <w:color w:val="auto"/>
                    </w:rPr>
                  </w:pPr>
                  <w:r>
                    <w:rPr>
                      <w:rFonts w:hint="default"/>
                      <w:color w:val="auto"/>
                    </w:rPr>
                    <w:t>西南风</w:t>
                  </w:r>
                </w:p>
              </w:tc>
            </w:tr>
            <w:tr w14:paraId="3CC5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9BBCA8">
                  <w:pPr>
                    <w:pStyle w:val="97"/>
                    <w:keepNext w:val="0"/>
                    <w:keepLines w:val="0"/>
                    <w:suppressLineNumbers w:val="0"/>
                    <w:spacing w:before="0" w:beforeAutospacing="0" w:after="0" w:afterAutospacing="0"/>
                    <w:ind w:left="0" w:right="0"/>
                    <w:rPr>
                      <w:rFonts w:hint="default"/>
                      <w:color w:val="auto"/>
                    </w:rPr>
                  </w:pPr>
                  <w:r>
                    <w:rPr>
                      <w:rFonts w:hint="default"/>
                      <w:color w:val="auto"/>
                    </w:rPr>
                    <w:t>3</w:t>
                  </w:r>
                </w:p>
              </w:tc>
              <w:tc>
                <w:tcPr>
                  <w:tcW w:w="2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52EFDE">
                  <w:pPr>
                    <w:pStyle w:val="97"/>
                    <w:keepNext w:val="0"/>
                    <w:keepLines w:val="0"/>
                    <w:suppressLineNumbers w:val="0"/>
                    <w:spacing w:before="0" w:beforeAutospacing="0" w:after="0" w:afterAutospacing="0"/>
                    <w:ind w:left="0" w:right="0"/>
                    <w:rPr>
                      <w:rFonts w:hint="default"/>
                      <w:color w:val="auto"/>
                    </w:rPr>
                  </w:pPr>
                  <w:r>
                    <w:rPr>
                      <w:rFonts w:hint="default"/>
                      <w:color w:val="auto"/>
                    </w:rPr>
                    <w:t>年平均气温</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E33D0E">
                  <w:pPr>
                    <w:pStyle w:val="9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8F11E0">
                  <w:pPr>
                    <w:pStyle w:val="97"/>
                    <w:keepNext w:val="0"/>
                    <w:keepLines w:val="0"/>
                    <w:suppressLineNumbers w:val="0"/>
                    <w:spacing w:before="0" w:beforeAutospacing="0" w:after="0" w:afterAutospacing="0"/>
                    <w:ind w:left="0" w:right="0"/>
                    <w:rPr>
                      <w:rFonts w:hint="default"/>
                      <w:color w:val="auto"/>
                    </w:rPr>
                  </w:pPr>
                  <w:r>
                    <w:rPr>
                      <w:rFonts w:hint="eastAsia"/>
                      <w:color w:val="auto"/>
                    </w:rPr>
                    <w:t>15.0</w:t>
                  </w:r>
                </w:p>
              </w:tc>
            </w:tr>
            <w:tr w14:paraId="1D8E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C09EA6">
                  <w:pPr>
                    <w:pStyle w:val="97"/>
                    <w:keepNext w:val="0"/>
                    <w:keepLines w:val="0"/>
                    <w:suppressLineNumbers w:val="0"/>
                    <w:spacing w:before="0" w:beforeAutospacing="0" w:after="0" w:afterAutospacing="0"/>
                    <w:ind w:left="0" w:right="0"/>
                    <w:rPr>
                      <w:rFonts w:hint="default"/>
                      <w:color w:val="auto"/>
                    </w:rPr>
                  </w:pPr>
                  <w:r>
                    <w:rPr>
                      <w:rFonts w:hint="default"/>
                      <w:color w:val="auto"/>
                    </w:rPr>
                    <w:t>4</w:t>
                  </w:r>
                </w:p>
              </w:tc>
              <w:tc>
                <w:tcPr>
                  <w:tcW w:w="2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53D461">
                  <w:pPr>
                    <w:pStyle w:val="97"/>
                    <w:keepNext w:val="0"/>
                    <w:keepLines w:val="0"/>
                    <w:suppressLineNumbers w:val="0"/>
                    <w:spacing w:before="0" w:beforeAutospacing="0" w:after="0" w:afterAutospacing="0"/>
                    <w:ind w:left="0" w:right="0"/>
                    <w:rPr>
                      <w:rFonts w:hint="default"/>
                      <w:color w:val="auto"/>
                    </w:rPr>
                  </w:pPr>
                  <w:r>
                    <w:rPr>
                      <w:rFonts w:hint="default"/>
                      <w:color w:val="auto"/>
                    </w:rPr>
                    <w:t>年平均相对湿度</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FBEC2A">
                  <w:pPr>
                    <w:pStyle w:val="9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8CF318">
                  <w:pPr>
                    <w:pStyle w:val="97"/>
                    <w:keepNext w:val="0"/>
                    <w:keepLines w:val="0"/>
                    <w:suppressLineNumbers w:val="0"/>
                    <w:spacing w:before="0" w:beforeAutospacing="0" w:after="0" w:afterAutospacing="0"/>
                    <w:ind w:left="0" w:right="0"/>
                    <w:rPr>
                      <w:rFonts w:hint="default"/>
                      <w:color w:val="auto"/>
                    </w:rPr>
                  </w:pPr>
                  <w:r>
                    <w:rPr>
                      <w:rFonts w:hint="default"/>
                      <w:color w:val="auto"/>
                    </w:rPr>
                    <w:t>75</w:t>
                  </w:r>
                </w:p>
              </w:tc>
            </w:tr>
            <w:tr w14:paraId="54BD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3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A21BE5">
                  <w:pPr>
                    <w:pStyle w:val="97"/>
                    <w:keepNext w:val="0"/>
                    <w:keepLines w:val="0"/>
                    <w:suppressLineNumbers w:val="0"/>
                    <w:spacing w:before="0" w:beforeAutospacing="0" w:after="0" w:afterAutospacing="0"/>
                    <w:ind w:left="0" w:right="0"/>
                    <w:rPr>
                      <w:rFonts w:hint="default"/>
                      <w:color w:val="auto"/>
                    </w:rPr>
                  </w:pPr>
                  <w:r>
                    <w:rPr>
                      <w:rFonts w:hint="default"/>
                      <w:color w:val="auto"/>
                    </w:rPr>
                    <w:t>5</w:t>
                  </w:r>
                </w:p>
              </w:tc>
              <w:tc>
                <w:tcPr>
                  <w:tcW w:w="260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FE01E1">
                  <w:pPr>
                    <w:pStyle w:val="97"/>
                    <w:keepNext w:val="0"/>
                    <w:keepLines w:val="0"/>
                    <w:suppressLineNumbers w:val="0"/>
                    <w:spacing w:before="0" w:beforeAutospacing="0" w:after="0" w:afterAutospacing="0"/>
                    <w:ind w:left="0" w:right="0"/>
                    <w:rPr>
                      <w:rFonts w:hint="default"/>
                      <w:color w:val="auto"/>
                    </w:rPr>
                  </w:pPr>
                  <w:r>
                    <w:rPr>
                      <w:rFonts w:hint="default"/>
                      <w:color w:val="auto"/>
                    </w:rPr>
                    <w:t>大气压强</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07EEB4">
                  <w:pPr>
                    <w:pStyle w:val="97"/>
                    <w:keepNext w:val="0"/>
                    <w:keepLines w:val="0"/>
                    <w:suppressLineNumbers w:val="0"/>
                    <w:spacing w:before="0" w:beforeAutospacing="0" w:after="0" w:afterAutospacing="0"/>
                    <w:ind w:left="0" w:right="0"/>
                    <w:rPr>
                      <w:rFonts w:hint="default"/>
                      <w:color w:val="auto"/>
                    </w:rPr>
                  </w:pPr>
                  <w:r>
                    <w:rPr>
                      <w:rFonts w:hint="default"/>
                      <w:color w:val="auto"/>
                    </w:rPr>
                    <w:t>atm</w:t>
                  </w:r>
                </w:p>
              </w:tc>
              <w:tc>
                <w:tcPr>
                  <w:tcW w:w="198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30B872E">
                  <w:pPr>
                    <w:pStyle w:val="97"/>
                    <w:keepNext w:val="0"/>
                    <w:keepLines w:val="0"/>
                    <w:suppressLineNumbers w:val="0"/>
                    <w:spacing w:before="0" w:beforeAutospacing="0" w:after="0" w:afterAutospacing="0"/>
                    <w:ind w:left="0" w:right="0"/>
                    <w:rPr>
                      <w:rFonts w:hint="default"/>
                      <w:color w:val="auto"/>
                    </w:rPr>
                  </w:pPr>
                  <w:r>
                    <w:rPr>
                      <w:rFonts w:hint="default"/>
                      <w:color w:val="auto"/>
                    </w:rPr>
                    <w:t>0.94</w:t>
                  </w:r>
                </w:p>
              </w:tc>
            </w:tr>
          </w:tbl>
          <w:p w14:paraId="603FD23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zh-CN" w:bidi="ar"/>
              </w:rPr>
            </w:pPr>
            <w:r>
              <w:rPr>
                <w:rFonts w:hint="eastAsia" w:ascii="Times New Roman" w:hAnsi="Times New Roman" w:eastAsia="宋体" w:cs="Times New Roman"/>
                <w:color w:val="auto"/>
                <w:sz w:val="24"/>
                <w:highlight w:val="none"/>
                <w:lang w:val="zh-CN" w:bidi="ar"/>
              </w:rPr>
              <w:t>D、厂界达标分析</w:t>
            </w:r>
          </w:p>
          <w:p w14:paraId="76BC567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zh-CN" w:bidi="ar"/>
              </w:rPr>
            </w:pPr>
            <w:r>
              <w:rPr>
                <w:rFonts w:hint="eastAsia" w:ascii="Times New Roman" w:hAnsi="Times New Roman" w:eastAsia="宋体" w:cs="Times New Roman"/>
                <w:color w:val="auto"/>
                <w:sz w:val="24"/>
                <w:highlight w:val="none"/>
                <w:lang w:val="zh-CN" w:bidi="ar"/>
              </w:rPr>
              <w:t>通过预测模型计算，项目厂界噪声最大值预测结果与达标分析</w:t>
            </w:r>
            <w:r>
              <w:rPr>
                <w:rFonts w:hint="eastAsia" w:cs="Times New Roman"/>
                <w:color w:val="auto"/>
                <w:sz w:val="24"/>
                <w:highlight w:val="none"/>
                <w:lang w:val="en-US" w:eastAsia="zh-CN" w:bidi="ar"/>
              </w:rPr>
              <w:t>见下表</w:t>
            </w:r>
            <w:r>
              <w:rPr>
                <w:rFonts w:hint="eastAsia" w:ascii="Times New Roman" w:hAnsi="Times New Roman" w:eastAsia="宋体" w:cs="Times New Roman"/>
                <w:color w:val="auto"/>
                <w:sz w:val="24"/>
                <w:highlight w:val="none"/>
                <w:lang w:val="zh-CN" w:bidi="ar"/>
              </w:rPr>
              <w:t>。</w:t>
            </w:r>
          </w:p>
          <w:p w14:paraId="1F67B62F">
            <w:pPr>
              <w:pStyle w:val="96"/>
              <w:keepNext w:val="0"/>
              <w:keepLines w:val="0"/>
              <w:suppressLineNumbers w:val="0"/>
              <w:spacing w:before="0" w:beforeAutospacing="0" w:after="0" w:afterAutospacing="0"/>
              <w:ind w:left="0" w:right="0"/>
              <w:rPr>
                <w:rFonts w:hint="eastAsia"/>
                <w:color w:val="auto"/>
              </w:rPr>
            </w:pPr>
            <w:r>
              <w:rPr>
                <w:rFonts w:hint="eastAsia"/>
                <w:color w:val="auto"/>
              </w:rPr>
              <w:t>表4-</w:t>
            </w:r>
            <w:r>
              <w:rPr>
                <w:rFonts w:hint="default"/>
                <w:color w:val="auto"/>
              </w:rPr>
              <w:t>13</w:t>
            </w:r>
            <w:r>
              <w:rPr>
                <w:rFonts w:hint="eastAsia"/>
                <w:color w:val="auto"/>
              </w:rPr>
              <w:t xml:space="preserve">  </w:t>
            </w:r>
            <w:r>
              <w:rPr>
                <w:rFonts w:hint="eastAsia"/>
                <w:color w:val="auto"/>
                <w:lang w:val="en-US" w:eastAsia="zh-CN"/>
              </w:rPr>
              <w:t>项目</w:t>
            </w:r>
            <w:r>
              <w:rPr>
                <w:rFonts w:hint="eastAsia"/>
                <w:color w:val="auto"/>
              </w:rPr>
              <w:t>厂界噪声预测结果与达标分析一览表</w:t>
            </w:r>
          </w:p>
          <w:tbl>
            <w:tblPr>
              <w:tblStyle w:val="3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777"/>
              <w:gridCol w:w="777"/>
              <w:gridCol w:w="777"/>
              <w:gridCol w:w="958"/>
              <w:gridCol w:w="1363"/>
              <w:gridCol w:w="1364"/>
              <w:gridCol w:w="1144"/>
            </w:tblGrid>
            <w:tr w14:paraId="42A4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062" w:type="dxa"/>
                  <w:vMerge w:val="restart"/>
                  <w:noWrap w:val="0"/>
                  <w:vAlign w:val="center"/>
                </w:tcPr>
                <w:p w14:paraId="4408CEA4">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预测方位</w:t>
                  </w:r>
                </w:p>
              </w:tc>
              <w:tc>
                <w:tcPr>
                  <w:tcW w:w="2331" w:type="dxa"/>
                  <w:gridSpan w:val="3"/>
                  <w:noWrap w:val="0"/>
                  <w:vAlign w:val="center"/>
                </w:tcPr>
                <w:p w14:paraId="012F259E">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最大值点空间相对位置/m</w:t>
                  </w:r>
                </w:p>
              </w:tc>
              <w:tc>
                <w:tcPr>
                  <w:tcW w:w="958" w:type="dxa"/>
                  <w:vMerge w:val="restart"/>
                  <w:noWrap w:val="0"/>
                  <w:vAlign w:val="center"/>
                </w:tcPr>
                <w:p w14:paraId="50627A20">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时段</w:t>
                  </w:r>
                </w:p>
              </w:tc>
              <w:tc>
                <w:tcPr>
                  <w:tcW w:w="1363" w:type="dxa"/>
                  <w:vMerge w:val="restart"/>
                  <w:noWrap w:val="0"/>
                  <w:vAlign w:val="center"/>
                </w:tcPr>
                <w:p w14:paraId="01800987">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贡献值（dB(A)）</w:t>
                  </w:r>
                </w:p>
              </w:tc>
              <w:tc>
                <w:tcPr>
                  <w:tcW w:w="1364" w:type="dxa"/>
                  <w:vMerge w:val="restart"/>
                  <w:noWrap w:val="0"/>
                  <w:vAlign w:val="center"/>
                </w:tcPr>
                <w:p w14:paraId="0C97D473">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标准限值（dB(A)）</w:t>
                  </w:r>
                </w:p>
              </w:tc>
              <w:tc>
                <w:tcPr>
                  <w:tcW w:w="1144" w:type="dxa"/>
                  <w:vMerge w:val="restart"/>
                  <w:noWrap w:val="0"/>
                  <w:vAlign w:val="center"/>
                </w:tcPr>
                <w:p w14:paraId="0048D822">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达标情况</w:t>
                  </w:r>
                </w:p>
              </w:tc>
            </w:tr>
            <w:tr w14:paraId="627F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62" w:type="dxa"/>
                  <w:vMerge w:val="continue"/>
                  <w:shd w:val="clear" w:color="auto" w:fill="FFFFFF"/>
                  <w:noWrap w:val="0"/>
                  <w:vAlign w:val="center"/>
                </w:tcPr>
                <w:p w14:paraId="398D75FD">
                  <w:pPr>
                    <w:pStyle w:val="97"/>
                    <w:keepNext w:val="0"/>
                    <w:keepLines w:val="0"/>
                    <w:suppressLineNumbers w:val="0"/>
                    <w:spacing w:before="0" w:beforeAutospacing="0" w:after="0" w:afterAutospacing="0"/>
                    <w:ind w:left="0" w:right="0"/>
                    <w:jc w:val="center"/>
                    <w:rPr>
                      <w:rFonts w:hint="default"/>
                      <w:color w:val="auto"/>
                    </w:rPr>
                  </w:pPr>
                </w:p>
              </w:tc>
              <w:tc>
                <w:tcPr>
                  <w:tcW w:w="777" w:type="dxa"/>
                  <w:shd w:val="clear" w:color="auto" w:fill="FFFFFF"/>
                  <w:noWrap w:val="0"/>
                  <w:vAlign w:val="center"/>
                </w:tcPr>
                <w:p w14:paraId="4E9988A0">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X</w:t>
                  </w:r>
                </w:p>
              </w:tc>
              <w:tc>
                <w:tcPr>
                  <w:tcW w:w="777" w:type="dxa"/>
                  <w:shd w:val="clear" w:color="auto" w:fill="FFFFFF"/>
                  <w:noWrap w:val="0"/>
                  <w:vAlign w:val="center"/>
                </w:tcPr>
                <w:p w14:paraId="262346AF">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Y</w:t>
                  </w:r>
                </w:p>
              </w:tc>
              <w:tc>
                <w:tcPr>
                  <w:tcW w:w="777" w:type="dxa"/>
                  <w:shd w:val="clear" w:color="auto" w:fill="FFFFFF"/>
                  <w:noWrap w:val="0"/>
                  <w:vAlign w:val="center"/>
                </w:tcPr>
                <w:p w14:paraId="5C74807C">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Z</w:t>
                  </w:r>
                </w:p>
              </w:tc>
              <w:tc>
                <w:tcPr>
                  <w:tcW w:w="958" w:type="dxa"/>
                  <w:vMerge w:val="continue"/>
                  <w:shd w:val="clear" w:color="auto" w:fill="FFFFFF"/>
                  <w:noWrap w:val="0"/>
                  <w:vAlign w:val="center"/>
                </w:tcPr>
                <w:p w14:paraId="46BD17AD">
                  <w:pPr>
                    <w:pStyle w:val="97"/>
                    <w:keepNext w:val="0"/>
                    <w:keepLines w:val="0"/>
                    <w:suppressLineNumbers w:val="0"/>
                    <w:spacing w:before="0" w:beforeAutospacing="0" w:after="0" w:afterAutospacing="0"/>
                    <w:ind w:left="0" w:right="0"/>
                    <w:jc w:val="center"/>
                    <w:rPr>
                      <w:rFonts w:hint="default"/>
                      <w:color w:val="auto"/>
                    </w:rPr>
                  </w:pPr>
                </w:p>
              </w:tc>
              <w:tc>
                <w:tcPr>
                  <w:tcW w:w="1363" w:type="dxa"/>
                  <w:vMerge w:val="continue"/>
                  <w:shd w:val="clear" w:color="auto" w:fill="FFFFFF"/>
                  <w:noWrap w:val="0"/>
                  <w:vAlign w:val="center"/>
                </w:tcPr>
                <w:p w14:paraId="418914B9">
                  <w:pPr>
                    <w:pStyle w:val="97"/>
                    <w:keepNext w:val="0"/>
                    <w:keepLines w:val="0"/>
                    <w:suppressLineNumbers w:val="0"/>
                    <w:spacing w:before="0" w:beforeAutospacing="0" w:after="0" w:afterAutospacing="0"/>
                    <w:ind w:left="0" w:right="0"/>
                    <w:jc w:val="center"/>
                    <w:rPr>
                      <w:rFonts w:hint="default"/>
                      <w:color w:val="auto"/>
                    </w:rPr>
                  </w:pPr>
                </w:p>
              </w:tc>
              <w:tc>
                <w:tcPr>
                  <w:tcW w:w="1364" w:type="dxa"/>
                  <w:vMerge w:val="continue"/>
                  <w:shd w:val="clear" w:color="auto" w:fill="FFFFFF"/>
                  <w:noWrap w:val="0"/>
                  <w:vAlign w:val="center"/>
                </w:tcPr>
                <w:p w14:paraId="2C19364E">
                  <w:pPr>
                    <w:pStyle w:val="97"/>
                    <w:keepNext w:val="0"/>
                    <w:keepLines w:val="0"/>
                    <w:suppressLineNumbers w:val="0"/>
                    <w:spacing w:before="0" w:beforeAutospacing="0" w:after="0" w:afterAutospacing="0"/>
                    <w:ind w:left="0" w:right="0"/>
                    <w:jc w:val="center"/>
                    <w:rPr>
                      <w:rFonts w:hint="default"/>
                      <w:color w:val="auto"/>
                    </w:rPr>
                  </w:pPr>
                </w:p>
              </w:tc>
              <w:tc>
                <w:tcPr>
                  <w:tcW w:w="1144" w:type="dxa"/>
                  <w:vMerge w:val="continue"/>
                  <w:shd w:val="clear" w:color="auto" w:fill="FFFFFF"/>
                  <w:noWrap w:val="0"/>
                  <w:vAlign w:val="center"/>
                </w:tcPr>
                <w:p w14:paraId="6F8FC8D5">
                  <w:pPr>
                    <w:pStyle w:val="97"/>
                    <w:keepNext w:val="0"/>
                    <w:keepLines w:val="0"/>
                    <w:suppressLineNumbers w:val="0"/>
                    <w:spacing w:before="0" w:beforeAutospacing="0" w:after="0" w:afterAutospacing="0"/>
                    <w:ind w:left="0" w:right="0"/>
                    <w:jc w:val="center"/>
                    <w:rPr>
                      <w:rFonts w:hint="default"/>
                      <w:color w:val="auto"/>
                    </w:rPr>
                  </w:pPr>
                </w:p>
              </w:tc>
            </w:tr>
            <w:tr w14:paraId="4DBD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restart"/>
                  <w:shd w:val="clear" w:color="auto" w:fill="FFFFFF"/>
                  <w:noWrap w:val="0"/>
                  <w:vAlign w:val="center"/>
                </w:tcPr>
                <w:p w14:paraId="1DDF268E">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东侧</w:t>
                  </w:r>
                </w:p>
              </w:tc>
              <w:tc>
                <w:tcPr>
                  <w:tcW w:w="777" w:type="dxa"/>
                  <w:shd w:val="clear" w:color="auto" w:fill="FFFFFF"/>
                  <w:noWrap w:val="0"/>
                  <w:vAlign w:val="center"/>
                </w:tcPr>
                <w:p w14:paraId="6EE1BD9F">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30</w:t>
                  </w:r>
                </w:p>
              </w:tc>
              <w:tc>
                <w:tcPr>
                  <w:tcW w:w="777" w:type="dxa"/>
                  <w:shd w:val="clear" w:color="auto" w:fill="FFFFFF"/>
                  <w:noWrap w:val="0"/>
                  <w:vAlign w:val="center"/>
                </w:tcPr>
                <w:p w14:paraId="07EBB900">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-25.6</w:t>
                  </w:r>
                </w:p>
              </w:tc>
              <w:tc>
                <w:tcPr>
                  <w:tcW w:w="777" w:type="dxa"/>
                  <w:shd w:val="clear" w:color="auto" w:fill="FFFFFF"/>
                  <w:noWrap w:val="0"/>
                  <w:vAlign w:val="center"/>
                </w:tcPr>
                <w:p w14:paraId="22290916">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1.2</w:t>
                  </w:r>
                </w:p>
              </w:tc>
              <w:tc>
                <w:tcPr>
                  <w:tcW w:w="958" w:type="dxa"/>
                  <w:shd w:val="clear" w:color="auto" w:fill="FFFFFF"/>
                  <w:noWrap w:val="0"/>
                  <w:vAlign w:val="center"/>
                </w:tcPr>
                <w:p w14:paraId="370AAC05">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昼间</w:t>
                  </w:r>
                </w:p>
              </w:tc>
              <w:tc>
                <w:tcPr>
                  <w:tcW w:w="1363" w:type="dxa"/>
                  <w:shd w:val="clear" w:color="auto" w:fill="FFFFFF"/>
                  <w:noWrap w:val="0"/>
                  <w:vAlign w:val="center"/>
                </w:tcPr>
                <w:p w14:paraId="71B163C6">
                  <w:pPr>
                    <w:pStyle w:val="97"/>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52.2</w:t>
                  </w:r>
                </w:p>
              </w:tc>
              <w:tc>
                <w:tcPr>
                  <w:tcW w:w="1364" w:type="dxa"/>
                  <w:shd w:val="clear" w:color="auto" w:fill="FFFFFF"/>
                  <w:noWrap w:val="0"/>
                  <w:vAlign w:val="center"/>
                </w:tcPr>
                <w:p w14:paraId="74884704">
                  <w:pPr>
                    <w:pStyle w:val="97"/>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rPr>
                    <w:t>6</w:t>
                  </w:r>
                  <w:r>
                    <w:rPr>
                      <w:rFonts w:hint="eastAsia"/>
                      <w:color w:val="auto"/>
                      <w:lang w:val="en-US" w:eastAsia="zh-CN"/>
                    </w:rPr>
                    <w:t>5</w:t>
                  </w:r>
                </w:p>
              </w:tc>
              <w:tc>
                <w:tcPr>
                  <w:tcW w:w="1144" w:type="dxa"/>
                  <w:shd w:val="clear" w:color="auto" w:fill="FFFFFF"/>
                  <w:noWrap w:val="0"/>
                  <w:vAlign w:val="center"/>
                </w:tcPr>
                <w:p w14:paraId="483EB9B9">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达标</w:t>
                  </w:r>
                </w:p>
              </w:tc>
            </w:tr>
            <w:tr w14:paraId="6F6A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continue"/>
                  <w:shd w:val="clear" w:color="auto" w:fill="FFFFFF"/>
                  <w:noWrap w:val="0"/>
                  <w:vAlign w:val="center"/>
                </w:tcPr>
                <w:p w14:paraId="100DAC0E">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东侧</w:t>
                  </w:r>
                </w:p>
              </w:tc>
              <w:tc>
                <w:tcPr>
                  <w:tcW w:w="777" w:type="dxa"/>
                  <w:shd w:val="clear" w:color="auto" w:fill="FFFFFF"/>
                  <w:noWrap w:val="0"/>
                  <w:vAlign w:val="center"/>
                </w:tcPr>
                <w:p w14:paraId="51B68B41">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30</w:t>
                  </w:r>
                </w:p>
              </w:tc>
              <w:tc>
                <w:tcPr>
                  <w:tcW w:w="777" w:type="dxa"/>
                  <w:shd w:val="clear" w:color="auto" w:fill="FFFFFF"/>
                  <w:noWrap w:val="0"/>
                  <w:vAlign w:val="center"/>
                </w:tcPr>
                <w:p w14:paraId="085F2929">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-25.6</w:t>
                  </w:r>
                </w:p>
              </w:tc>
              <w:tc>
                <w:tcPr>
                  <w:tcW w:w="777" w:type="dxa"/>
                  <w:shd w:val="clear" w:color="auto" w:fill="FFFFFF"/>
                  <w:noWrap w:val="0"/>
                  <w:vAlign w:val="center"/>
                </w:tcPr>
                <w:p w14:paraId="6113EFCD">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1.2</w:t>
                  </w:r>
                </w:p>
              </w:tc>
              <w:tc>
                <w:tcPr>
                  <w:tcW w:w="958" w:type="dxa"/>
                  <w:shd w:val="clear" w:color="auto" w:fill="FFFFFF"/>
                  <w:noWrap w:val="0"/>
                  <w:vAlign w:val="center"/>
                </w:tcPr>
                <w:p w14:paraId="755CDCD2">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夜间</w:t>
                  </w:r>
                </w:p>
              </w:tc>
              <w:tc>
                <w:tcPr>
                  <w:tcW w:w="1363" w:type="dxa"/>
                  <w:shd w:val="clear" w:color="auto" w:fill="FFFFFF"/>
                  <w:noWrap w:val="0"/>
                  <w:vAlign w:val="center"/>
                </w:tcPr>
                <w:p w14:paraId="20417605">
                  <w:pPr>
                    <w:pStyle w:val="97"/>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val="en-US" w:eastAsia="zh-CN"/>
                    </w:rPr>
                    <w:t>/</w:t>
                  </w:r>
                </w:p>
              </w:tc>
              <w:tc>
                <w:tcPr>
                  <w:tcW w:w="1364" w:type="dxa"/>
                  <w:shd w:val="clear" w:color="auto" w:fill="FFFFFF"/>
                  <w:noWrap w:val="0"/>
                  <w:vAlign w:val="center"/>
                </w:tcPr>
                <w:p w14:paraId="4DB0A774">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c>
                <w:tcPr>
                  <w:tcW w:w="1144" w:type="dxa"/>
                  <w:shd w:val="clear" w:color="auto" w:fill="FFFFFF"/>
                  <w:noWrap w:val="0"/>
                  <w:vAlign w:val="center"/>
                </w:tcPr>
                <w:p w14:paraId="710DD90E">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r>
            <w:tr w14:paraId="794F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restart"/>
                  <w:shd w:val="clear" w:color="auto" w:fill="FFFFFF"/>
                  <w:noWrap w:val="0"/>
                  <w:vAlign w:val="center"/>
                </w:tcPr>
                <w:p w14:paraId="1EB8201D">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南侧</w:t>
                  </w:r>
                </w:p>
              </w:tc>
              <w:tc>
                <w:tcPr>
                  <w:tcW w:w="777" w:type="dxa"/>
                  <w:shd w:val="clear" w:color="auto" w:fill="FFFFFF"/>
                  <w:noWrap w:val="0"/>
                  <w:vAlign w:val="center"/>
                </w:tcPr>
                <w:p w14:paraId="2940FF78">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28.9</w:t>
                  </w:r>
                </w:p>
              </w:tc>
              <w:tc>
                <w:tcPr>
                  <w:tcW w:w="777" w:type="dxa"/>
                  <w:shd w:val="clear" w:color="auto" w:fill="FFFFFF"/>
                  <w:noWrap w:val="0"/>
                  <w:vAlign w:val="center"/>
                </w:tcPr>
                <w:p w14:paraId="5DBBBC24">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-31.5</w:t>
                  </w:r>
                </w:p>
              </w:tc>
              <w:tc>
                <w:tcPr>
                  <w:tcW w:w="777" w:type="dxa"/>
                  <w:shd w:val="clear" w:color="auto" w:fill="FFFFFF"/>
                  <w:noWrap w:val="0"/>
                  <w:vAlign w:val="center"/>
                </w:tcPr>
                <w:p w14:paraId="10FAD061">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1.2</w:t>
                  </w:r>
                </w:p>
              </w:tc>
              <w:tc>
                <w:tcPr>
                  <w:tcW w:w="958" w:type="dxa"/>
                  <w:shd w:val="clear" w:color="auto" w:fill="FFFFFF"/>
                  <w:noWrap w:val="0"/>
                  <w:vAlign w:val="center"/>
                </w:tcPr>
                <w:p w14:paraId="3D2AE9BE">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昼间</w:t>
                  </w:r>
                </w:p>
              </w:tc>
              <w:tc>
                <w:tcPr>
                  <w:tcW w:w="1363" w:type="dxa"/>
                  <w:shd w:val="clear" w:color="auto" w:fill="FFFFFF"/>
                  <w:noWrap w:val="0"/>
                  <w:vAlign w:val="center"/>
                </w:tcPr>
                <w:p w14:paraId="1ACD0EE0">
                  <w:pPr>
                    <w:pStyle w:val="97"/>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49.1</w:t>
                  </w:r>
                </w:p>
              </w:tc>
              <w:tc>
                <w:tcPr>
                  <w:tcW w:w="1364" w:type="dxa"/>
                  <w:shd w:val="clear" w:color="auto" w:fill="FFFFFF"/>
                  <w:noWrap w:val="0"/>
                  <w:vAlign w:val="center"/>
                </w:tcPr>
                <w:p w14:paraId="3C5301FE">
                  <w:pPr>
                    <w:pStyle w:val="97"/>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rPr>
                    <w:t>6</w:t>
                  </w:r>
                  <w:r>
                    <w:rPr>
                      <w:rFonts w:hint="eastAsia"/>
                      <w:color w:val="auto"/>
                      <w:lang w:val="en-US" w:eastAsia="zh-CN"/>
                    </w:rPr>
                    <w:t>5</w:t>
                  </w:r>
                </w:p>
              </w:tc>
              <w:tc>
                <w:tcPr>
                  <w:tcW w:w="1144" w:type="dxa"/>
                  <w:shd w:val="clear" w:color="auto" w:fill="FFFFFF"/>
                  <w:noWrap w:val="0"/>
                  <w:vAlign w:val="center"/>
                </w:tcPr>
                <w:p w14:paraId="7CBD252A">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达标</w:t>
                  </w:r>
                </w:p>
              </w:tc>
            </w:tr>
            <w:tr w14:paraId="6B0B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continue"/>
                  <w:shd w:val="clear" w:color="auto" w:fill="FFFFFF"/>
                  <w:noWrap w:val="0"/>
                  <w:vAlign w:val="center"/>
                </w:tcPr>
                <w:p w14:paraId="28BF98D8">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南侧</w:t>
                  </w:r>
                </w:p>
              </w:tc>
              <w:tc>
                <w:tcPr>
                  <w:tcW w:w="777" w:type="dxa"/>
                  <w:shd w:val="clear" w:color="auto" w:fill="FFFFFF"/>
                  <w:noWrap w:val="0"/>
                  <w:vAlign w:val="center"/>
                </w:tcPr>
                <w:p w14:paraId="7A848FB5">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28.9</w:t>
                  </w:r>
                </w:p>
              </w:tc>
              <w:tc>
                <w:tcPr>
                  <w:tcW w:w="777" w:type="dxa"/>
                  <w:shd w:val="clear" w:color="auto" w:fill="FFFFFF"/>
                  <w:noWrap w:val="0"/>
                  <w:vAlign w:val="center"/>
                </w:tcPr>
                <w:p w14:paraId="0104E072">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-31.5</w:t>
                  </w:r>
                </w:p>
              </w:tc>
              <w:tc>
                <w:tcPr>
                  <w:tcW w:w="777" w:type="dxa"/>
                  <w:shd w:val="clear" w:color="auto" w:fill="FFFFFF"/>
                  <w:noWrap w:val="0"/>
                  <w:vAlign w:val="center"/>
                </w:tcPr>
                <w:p w14:paraId="7BFC3FB5">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1.2</w:t>
                  </w:r>
                </w:p>
              </w:tc>
              <w:tc>
                <w:tcPr>
                  <w:tcW w:w="958" w:type="dxa"/>
                  <w:shd w:val="clear" w:color="auto" w:fill="FFFFFF"/>
                  <w:noWrap w:val="0"/>
                  <w:vAlign w:val="center"/>
                </w:tcPr>
                <w:p w14:paraId="634417C4">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夜间</w:t>
                  </w:r>
                </w:p>
              </w:tc>
              <w:tc>
                <w:tcPr>
                  <w:tcW w:w="1363" w:type="dxa"/>
                  <w:shd w:val="clear" w:color="auto" w:fill="FFFFFF"/>
                  <w:noWrap w:val="0"/>
                  <w:vAlign w:val="center"/>
                </w:tcPr>
                <w:p w14:paraId="26468D3D">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c>
                <w:tcPr>
                  <w:tcW w:w="1364" w:type="dxa"/>
                  <w:shd w:val="clear" w:color="auto" w:fill="FFFFFF"/>
                  <w:noWrap w:val="0"/>
                  <w:vAlign w:val="center"/>
                </w:tcPr>
                <w:p w14:paraId="3F063A92">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c>
                <w:tcPr>
                  <w:tcW w:w="1144" w:type="dxa"/>
                  <w:shd w:val="clear" w:color="auto" w:fill="FFFFFF"/>
                  <w:noWrap w:val="0"/>
                  <w:vAlign w:val="center"/>
                </w:tcPr>
                <w:p w14:paraId="409ACBB6">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r>
            <w:tr w14:paraId="7DC5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restart"/>
                  <w:shd w:val="clear" w:color="auto" w:fill="FFFFFF"/>
                  <w:noWrap w:val="0"/>
                  <w:vAlign w:val="center"/>
                </w:tcPr>
                <w:p w14:paraId="0C126936">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西侧</w:t>
                  </w:r>
                </w:p>
              </w:tc>
              <w:tc>
                <w:tcPr>
                  <w:tcW w:w="777" w:type="dxa"/>
                  <w:shd w:val="clear" w:color="auto" w:fill="FFFFFF"/>
                  <w:noWrap w:val="0"/>
                  <w:vAlign w:val="center"/>
                </w:tcPr>
                <w:p w14:paraId="42225DAC">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-31.2</w:t>
                  </w:r>
                </w:p>
              </w:tc>
              <w:tc>
                <w:tcPr>
                  <w:tcW w:w="777" w:type="dxa"/>
                  <w:shd w:val="clear" w:color="auto" w:fill="FFFFFF"/>
                  <w:noWrap w:val="0"/>
                  <w:vAlign w:val="center"/>
                </w:tcPr>
                <w:p w14:paraId="2F28DE9D">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29.7</w:t>
                  </w:r>
                </w:p>
              </w:tc>
              <w:tc>
                <w:tcPr>
                  <w:tcW w:w="777" w:type="dxa"/>
                  <w:shd w:val="clear" w:color="auto" w:fill="FFFFFF"/>
                  <w:noWrap w:val="0"/>
                  <w:vAlign w:val="center"/>
                </w:tcPr>
                <w:p w14:paraId="4E77BE15">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1.2</w:t>
                  </w:r>
                </w:p>
              </w:tc>
              <w:tc>
                <w:tcPr>
                  <w:tcW w:w="958" w:type="dxa"/>
                  <w:shd w:val="clear" w:color="auto" w:fill="FFFFFF"/>
                  <w:noWrap w:val="0"/>
                  <w:vAlign w:val="center"/>
                </w:tcPr>
                <w:p w14:paraId="1D22C1B2">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昼间</w:t>
                  </w:r>
                </w:p>
              </w:tc>
              <w:tc>
                <w:tcPr>
                  <w:tcW w:w="1363" w:type="dxa"/>
                  <w:shd w:val="clear" w:color="auto" w:fill="FFFFFF"/>
                  <w:noWrap w:val="0"/>
                  <w:vAlign w:val="center"/>
                </w:tcPr>
                <w:p w14:paraId="4484F750">
                  <w:pPr>
                    <w:pStyle w:val="97"/>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44.5</w:t>
                  </w:r>
                </w:p>
              </w:tc>
              <w:tc>
                <w:tcPr>
                  <w:tcW w:w="1364" w:type="dxa"/>
                  <w:shd w:val="clear" w:color="auto" w:fill="FFFFFF"/>
                  <w:noWrap w:val="0"/>
                  <w:vAlign w:val="center"/>
                </w:tcPr>
                <w:p w14:paraId="3FB236A4">
                  <w:pPr>
                    <w:pStyle w:val="97"/>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rPr>
                    <w:t>6</w:t>
                  </w:r>
                  <w:r>
                    <w:rPr>
                      <w:rFonts w:hint="eastAsia"/>
                      <w:color w:val="auto"/>
                      <w:lang w:val="en-US" w:eastAsia="zh-CN"/>
                    </w:rPr>
                    <w:t>5</w:t>
                  </w:r>
                </w:p>
              </w:tc>
              <w:tc>
                <w:tcPr>
                  <w:tcW w:w="1144" w:type="dxa"/>
                  <w:shd w:val="clear" w:color="auto" w:fill="FFFFFF"/>
                  <w:noWrap w:val="0"/>
                  <w:vAlign w:val="center"/>
                </w:tcPr>
                <w:p w14:paraId="0BD87A7F">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达标</w:t>
                  </w:r>
                </w:p>
              </w:tc>
            </w:tr>
            <w:tr w14:paraId="2B50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continue"/>
                  <w:shd w:val="clear" w:color="auto" w:fill="FFFFFF"/>
                  <w:noWrap w:val="0"/>
                  <w:vAlign w:val="center"/>
                </w:tcPr>
                <w:p w14:paraId="426DA97D">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西侧</w:t>
                  </w:r>
                </w:p>
              </w:tc>
              <w:tc>
                <w:tcPr>
                  <w:tcW w:w="777" w:type="dxa"/>
                  <w:shd w:val="clear" w:color="auto" w:fill="FFFFFF"/>
                  <w:noWrap w:val="0"/>
                  <w:vAlign w:val="center"/>
                </w:tcPr>
                <w:p w14:paraId="1E2BE9C8">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-31.2</w:t>
                  </w:r>
                </w:p>
              </w:tc>
              <w:tc>
                <w:tcPr>
                  <w:tcW w:w="777" w:type="dxa"/>
                  <w:shd w:val="clear" w:color="auto" w:fill="FFFFFF"/>
                  <w:noWrap w:val="0"/>
                  <w:vAlign w:val="center"/>
                </w:tcPr>
                <w:p w14:paraId="799C9D95">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29.7</w:t>
                  </w:r>
                </w:p>
              </w:tc>
              <w:tc>
                <w:tcPr>
                  <w:tcW w:w="777" w:type="dxa"/>
                  <w:shd w:val="clear" w:color="auto" w:fill="FFFFFF"/>
                  <w:noWrap w:val="0"/>
                  <w:vAlign w:val="center"/>
                </w:tcPr>
                <w:p w14:paraId="6A7789B9">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1.2</w:t>
                  </w:r>
                </w:p>
              </w:tc>
              <w:tc>
                <w:tcPr>
                  <w:tcW w:w="958" w:type="dxa"/>
                  <w:shd w:val="clear" w:color="auto" w:fill="FFFFFF"/>
                  <w:noWrap w:val="0"/>
                  <w:vAlign w:val="center"/>
                </w:tcPr>
                <w:p w14:paraId="19CEA1FC">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夜间</w:t>
                  </w:r>
                </w:p>
              </w:tc>
              <w:tc>
                <w:tcPr>
                  <w:tcW w:w="1363" w:type="dxa"/>
                  <w:shd w:val="clear" w:color="auto" w:fill="FFFFFF"/>
                  <w:noWrap w:val="0"/>
                  <w:vAlign w:val="center"/>
                </w:tcPr>
                <w:p w14:paraId="0BD98BC4">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c>
                <w:tcPr>
                  <w:tcW w:w="1364" w:type="dxa"/>
                  <w:shd w:val="clear" w:color="auto" w:fill="FFFFFF"/>
                  <w:noWrap w:val="0"/>
                  <w:vAlign w:val="center"/>
                </w:tcPr>
                <w:p w14:paraId="3EF2C73D">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c>
                <w:tcPr>
                  <w:tcW w:w="1144" w:type="dxa"/>
                  <w:shd w:val="clear" w:color="auto" w:fill="FFFFFF"/>
                  <w:noWrap w:val="0"/>
                  <w:vAlign w:val="center"/>
                </w:tcPr>
                <w:p w14:paraId="10695412">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r>
            <w:tr w14:paraId="6D20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restart"/>
                  <w:shd w:val="clear" w:color="auto" w:fill="FFFFFF"/>
                  <w:noWrap w:val="0"/>
                  <w:vAlign w:val="center"/>
                </w:tcPr>
                <w:p w14:paraId="705F3441">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北侧</w:t>
                  </w:r>
                </w:p>
              </w:tc>
              <w:tc>
                <w:tcPr>
                  <w:tcW w:w="777" w:type="dxa"/>
                  <w:shd w:val="clear" w:color="auto" w:fill="FFFFFF"/>
                  <w:noWrap w:val="0"/>
                  <w:vAlign w:val="center"/>
                </w:tcPr>
                <w:p w14:paraId="2506954C">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1.8</w:t>
                  </w:r>
                </w:p>
              </w:tc>
              <w:tc>
                <w:tcPr>
                  <w:tcW w:w="777" w:type="dxa"/>
                  <w:shd w:val="clear" w:color="auto" w:fill="FFFFFF"/>
                  <w:noWrap w:val="0"/>
                  <w:vAlign w:val="center"/>
                </w:tcPr>
                <w:p w14:paraId="2EADAA7C">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57.1</w:t>
                  </w:r>
                </w:p>
              </w:tc>
              <w:tc>
                <w:tcPr>
                  <w:tcW w:w="777" w:type="dxa"/>
                  <w:shd w:val="clear" w:color="auto" w:fill="FFFFFF"/>
                  <w:noWrap w:val="0"/>
                  <w:vAlign w:val="center"/>
                </w:tcPr>
                <w:p w14:paraId="0576E084">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1.2</w:t>
                  </w:r>
                </w:p>
              </w:tc>
              <w:tc>
                <w:tcPr>
                  <w:tcW w:w="958" w:type="dxa"/>
                  <w:shd w:val="clear" w:color="auto" w:fill="FFFFFF"/>
                  <w:noWrap w:val="0"/>
                  <w:vAlign w:val="center"/>
                </w:tcPr>
                <w:p w14:paraId="59E1505F">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昼间</w:t>
                  </w:r>
                </w:p>
              </w:tc>
              <w:tc>
                <w:tcPr>
                  <w:tcW w:w="1363" w:type="dxa"/>
                  <w:shd w:val="clear" w:color="auto" w:fill="FFFFFF"/>
                  <w:noWrap w:val="0"/>
                  <w:vAlign w:val="center"/>
                </w:tcPr>
                <w:p w14:paraId="487BA3D0">
                  <w:pPr>
                    <w:pStyle w:val="97"/>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51.1</w:t>
                  </w:r>
                </w:p>
              </w:tc>
              <w:tc>
                <w:tcPr>
                  <w:tcW w:w="1364" w:type="dxa"/>
                  <w:shd w:val="clear" w:color="auto" w:fill="FFFFFF"/>
                  <w:noWrap w:val="0"/>
                  <w:vAlign w:val="center"/>
                </w:tcPr>
                <w:p w14:paraId="0DBD3771">
                  <w:pPr>
                    <w:pStyle w:val="97"/>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rPr>
                    <w:t>6</w:t>
                  </w:r>
                  <w:r>
                    <w:rPr>
                      <w:rFonts w:hint="eastAsia"/>
                      <w:color w:val="auto"/>
                      <w:lang w:val="en-US" w:eastAsia="zh-CN"/>
                    </w:rPr>
                    <w:t>5</w:t>
                  </w:r>
                </w:p>
              </w:tc>
              <w:tc>
                <w:tcPr>
                  <w:tcW w:w="1144" w:type="dxa"/>
                  <w:shd w:val="clear" w:color="auto" w:fill="FFFFFF"/>
                  <w:noWrap w:val="0"/>
                  <w:vAlign w:val="center"/>
                </w:tcPr>
                <w:p w14:paraId="029CF388">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达标</w:t>
                  </w:r>
                </w:p>
              </w:tc>
            </w:tr>
            <w:tr w14:paraId="0267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62" w:type="dxa"/>
                  <w:vMerge w:val="continue"/>
                  <w:shd w:val="clear" w:color="auto" w:fill="FFFFFF"/>
                  <w:noWrap w:val="0"/>
                  <w:vAlign w:val="center"/>
                </w:tcPr>
                <w:p w14:paraId="43502792">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北侧</w:t>
                  </w:r>
                </w:p>
              </w:tc>
              <w:tc>
                <w:tcPr>
                  <w:tcW w:w="777" w:type="dxa"/>
                  <w:shd w:val="clear" w:color="auto" w:fill="FFFFFF"/>
                  <w:noWrap w:val="0"/>
                  <w:vAlign w:val="center"/>
                </w:tcPr>
                <w:p w14:paraId="11BA345A">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1.8</w:t>
                  </w:r>
                </w:p>
              </w:tc>
              <w:tc>
                <w:tcPr>
                  <w:tcW w:w="777" w:type="dxa"/>
                  <w:shd w:val="clear" w:color="auto" w:fill="FFFFFF"/>
                  <w:noWrap w:val="0"/>
                  <w:vAlign w:val="center"/>
                </w:tcPr>
                <w:p w14:paraId="76AD40A5">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57.1</w:t>
                  </w:r>
                </w:p>
              </w:tc>
              <w:tc>
                <w:tcPr>
                  <w:tcW w:w="777" w:type="dxa"/>
                  <w:shd w:val="clear" w:color="auto" w:fill="FFFFFF"/>
                  <w:noWrap w:val="0"/>
                  <w:vAlign w:val="center"/>
                </w:tcPr>
                <w:p w14:paraId="43D8DB08">
                  <w:pPr>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1.2</w:t>
                  </w:r>
                </w:p>
              </w:tc>
              <w:tc>
                <w:tcPr>
                  <w:tcW w:w="958" w:type="dxa"/>
                  <w:shd w:val="clear" w:color="auto" w:fill="FFFFFF"/>
                  <w:noWrap w:val="0"/>
                  <w:vAlign w:val="center"/>
                </w:tcPr>
                <w:p w14:paraId="44E103CC">
                  <w:pPr>
                    <w:pStyle w:val="97"/>
                    <w:keepNext w:val="0"/>
                    <w:keepLines w:val="0"/>
                    <w:suppressLineNumbers w:val="0"/>
                    <w:spacing w:before="0" w:beforeAutospacing="0" w:after="0" w:afterAutospacing="0"/>
                    <w:ind w:left="0" w:right="0"/>
                    <w:jc w:val="center"/>
                    <w:rPr>
                      <w:rFonts w:hint="default"/>
                      <w:color w:val="auto"/>
                    </w:rPr>
                  </w:pPr>
                  <w:r>
                    <w:rPr>
                      <w:rFonts w:hint="default"/>
                      <w:color w:val="auto"/>
                    </w:rPr>
                    <w:t>夜间</w:t>
                  </w:r>
                </w:p>
              </w:tc>
              <w:tc>
                <w:tcPr>
                  <w:tcW w:w="1363" w:type="dxa"/>
                  <w:shd w:val="clear" w:color="auto" w:fill="FFFFFF"/>
                  <w:noWrap w:val="0"/>
                  <w:vAlign w:val="center"/>
                </w:tcPr>
                <w:p w14:paraId="4D04E79D">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c>
                <w:tcPr>
                  <w:tcW w:w="1364" w:type="dxa"/>
                  <w:shd w:val="clear" w:color="auto" w:fill="FFFFFF"/>
                  <w:noWrap w:val="0"/>
                  <w:vAlign w:val="center"/>
                </w:tcPr>
                <w:p w14:paraId="71A175FF">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c>
                <w:tcPr>
                  <w:tcW w:w="1144" w:type="dxa"/>
                  <w:shd w:val="clear" w:color="auto" w:fill="FFFFFF"/>
                  <w:noWrap w:val="0"/>
                  <w:vAlign w:val="center"/>
                </w:tcPr>
                <w:p w14:paraId="2DB24FCD">
                  <w:pPr>
                    <w:pStyle w:val="97"/>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w:t>
                  </w:r>
                </w:p>
              </w:tc>
            </w:tr>
          </w:tbl>
          <w:p w14:paraId="1A43ABA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 xml:space="preserve">由上表可知，正常工况下，项目厂界噪声满足《工业企业厂界环境噪声排放标准》(GB12348.2008) </w:t>
            </w:r>
            <w:bookmarkStart w:id="36" w:name="PO_3"/>
            <w:r>
              <w:rPr>
                <w:rFonts w:hint="default" w:ascii="Times New Roman" w:hAnsi="Times New Roman" w:cs="Times New Roman" w:eastAsiaTheme="minorEastAsia"/>
                <w:color w:val="auto"/>
                <w:sz w:val="24"/>
                <w:szCs w:val="24"/>
                <w:lang w:eastAsia="zh-CN"/>
              </w:rPr>
              <w:t>3</w:t>
            </w:r>
            <w:bookmarkEnd w:id="36"/>
            <w:r>
              <w:rPr>
                <w:rFonts w:hint="default" w:ascii="Times New Roman" w:hAnsi="Times New Roman" w:cs="Times New Roman" w:eastAsiaTheme="minorEastAsia"/>
                <w:color w:val="auto"/>
                <w:sz w:val="24"/>
                <w:szCs w:val="24"/>
                <w:lang w:eastAsia="zh-CN"/>
              </w:rPr>
              <w:t>类标准。</w:t>
            </w:r>
          </w:p>
          <w:p w14:paraId="164184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outlineLvl w:val="9"/>
              <w:rPr>
                <w:rFonts w:hint="eastAsia" w:ascii="Times New Roman" w:hAnsi="Times New Roman" w:eastAsia="宋体" w:cs="Times New Roman"/>
                <w:b/>
                <w:bCs/>
                <w:color w:val="auto"/>
                <w:kern w:val="2"/>
                <w:sz w:val="24"/>
                <w:szCs w:val="28"/>
                <w:highlight w:val="none"/>
                <w:lang w:val="en-US" w:eastAsia="zh-CN" w:bidi="ar-SA"/>
              </w:rPr>
            </w:pPr>
            <w:r>
              <w:rPr>
                <w:rFonts w:hint="default" w:ascii="Times New Roman" w:hAnsi="Times New Roman" w:cs="Times New Roman" w:eastAsiaTheme="minorEastAsia"/>
                <w:color w:val="auto"/>
                <w:sz w:val="24"/>
                <w:szCs w:val="24"/>
                <w:lang w:eastAsia="zh-CN"/>
              </w:rPr>
              <w:t>项目正常工况声环境影响预测等值线见图</w:t>
            </w:r>
            <w:r>
              <w:rPr>
                <w:rFonts w:hint="eastAsia" w:ascii="Times New Roman" w:hAnsi="Times New Roman" w:cs="Times New Roman" w:eastAsiaTheme="minorEastAsia"/>
                <w:color w:val="auto"/>
                <w:sz w:val="24"/>
                <w:szCs w:val="24"/>
                <w:lang w:val="en-US" w:eastAsia="zh-CN"/>
              </w:rPr>
              <w:t>4-1</w:t>
            </w:r>
            <w:r>
              <w:rPr>
                <w:rFonts w:hint="default" w:ascii="Times New Roman" w:hAnsi="Times New Roman" w:cs="Times New Roman" w:eastAsiaTheme="minorEastAsia"/>
                <w:color w:val="auto"/>
                <w:sz w:val="24"/>
                <w:szCs w:val="24"/>
                <w:lang w:eastAsia="zh-CN"/>
              </w:rPr>
              <w:t>。</w:t>
            </w:r>
          </w:p>
          <w:p w14:paraId="5C5D11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baseline"/>
              <w:outlineLvl w:val="9"/>
              <w:rPr>
                <w:rFonts w:hint="eastAsia" w:ascii="Times New Roman" w:hAnsi="Times New Roman" w:eastAsia="宋体" w:cs="Times New Roman"/>
                <w:b/>
                <w:bCs/>
                <w:color w:val="auto"/>
                <w:kern w:val="2"/>
                <w:sz w:val="24"/>
                <w:szCs w:val="28"/>
                <w:highlight w:val="none"/>
                <w:lang w:val="en-US" w:eastAsia="zh-CN" w:bidi="ar-SA"/>
              </w:rPr>
            </w:pPr>
          </w:p>
          <w:p w14:paraId="308A099C">
            <w:pPr>
              <w:keepNext w:val="0"/>
              <w:keepLines w:val="0"/>
              <w:suppressLineNumbers w:val="0"/>
              <w:spacing w:before="0" w:beforeAutospacing="0" w:after="0" w:afterAutospacing="0" w:line="360" w:lineRule="auto"/>
              <w:ind w:left="0" w:right="0" w:firstLine="420" w:firstLineChars="200"/>
              <w:rPr>
                <w:rFonts w:hint="default"/>
                <w:color w:val="auto"/>
              </w:rPr>
            </w:pPr>
          </w:p>
          <w:p w14:paraId="643F7E3F">
            <w:pPr>
              <w:keepNext w:val="0"/>
              <w:keepLines w:val="0"/>
              <w:suppressLineNumbers w:val="0"/>
              <w:spacing w:before="0" w:beforeAutospacing="0" w:after="0" w:afterAutospacing="0" w:line="360" w:lineRule="auto"/>
              <w:ind w:left="0" w:right="0" w:firstLine="420" w:firstLineChars="200"/>
              <w:rPr>
                <w:rFonts w:hint="default"/>
                <w:color w:val="auto"/>
              </w:rPr>
            </w:pPr>
          </w:p>
          <w:p w14:paraId="5722B7F2">
            <w:pPr>
              <w:keepNext w:val="0"/>
              <w:keepLines w:val="0"/>
              <w:suppressLineNumbers w:val="0"/>
              <w:spacing w:before="0" w:beforeAutospacing="0" w:after="0" w:afterAutospacing="0" w:line="360" w:lineRule="auto"/>
              <w:ind w:left="0" w:right="0" w:firstLine="420" w:firstLineChars="200"/>
              <w:rPr>
                <w:rFonts w:hint="default"/>
                <w:color w:val="auto"/>
              </w:rPr>
            </w:pPr>
          </w:p>
          <w:p w14:paraId="44E46DE6">
            <w:pPr>
              <w:keepNext w:val="0"/>
              <w:keepLines w:val="0"/>
              <w:suppressLineNumbers w:val="0"/>
              <w:spacing w:before="0" w:beforeAutospacing="0" w:after="0" w:afterAutospacing="0" w:line="360" w:lineRule="auto"/>
              <w:ind w:left="0" w:right="0" w:firstLine="420" w:firstLineChars="200"/>
              <w:rPr>
                <w:rFonts w:hint="default"/>
                <w:color w:val="auto"/>
              </w:rPr>
            </w:pPr>
          </w:p>
          <w:p w14:paraId="065E82E8">
            <w:pPr>
              <w:keepNext w:val="0"/>
              <w:keepLines w:val="0"/>
              <w:suppressLineNumbers w:val="0"/>
              <w:spacing w:before="0" w:beforeAutospacing="0" w:after="0" w:afterAutospacing="0" w:line="360" w:lineRule="auto"/>
              <w:ind w:left="0" w:right="0" w:firstLine="420" w:firstLineChars="200"/>
              <w:rPr>
                <w:rFonts w:hint="default"/>
                <w:color w:val="auto"/>
              </w:rPr>
            </w:pPr>
          </w:p>
          <w:p w14:paraId="5BCDAFF0">
            <w:pPr>
              <w:keepNext w:val="0"/>
              <w:keepLines w:val="0"/>
              <w:suppressLineNumbers w:val="0"/>
              <w:spacing w:before="0" w:beforeAutospacing="0" w:after="0" w:afterAutospacing="0" w:line="360" w:lineRule="auto"/>
              <w:ind w:left="0" w:right="0" w:firstLine="420" w:firstLineChars="200"/>
              <w:rPr>
                <w:rFonts w:hint="default"/>
                <w:color w:val="auto"/>
              </w:rPr>
            </w:pPr>
            <w:r>
              <w:rPr>
                <w:rFonts w:hint="default"/>
                <w:color w:val="auto"/>
              </w:rPr>
              <w:drawing>
                <wp:anchor distT="0" distB="0" distL="114300" distR="114300" simplePos="0" relativeHeight="251659264" behindDoc="1" locked="0" layoutInCell="1" allowOverlap="1">
                  <wp:simplePos x="0" y="0"/>
                  <wp:positionH relativeFrom="column">
                    <wp:posOffset>447675</wp:posOffset>
                  </wp:positionH>
                  <wp:positionV relativeFrom="paragraph">
                    <wp:posOffset>37465</wp:posOffset>
                  </wp:positionV>
                  <wp:extent cx="4688840" cy="2915920"/>
                  <wp:effectExtent l="0" t="0" r="16510" b="1778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tretch>
                            <a:fillRect/>
                          </a:stretch>
                        </pic:blipFill>
                        <pic:spPr>
                          <a:xfrm>
                            <a:off x="0" y="0"/>
                            <a:ext cx="4688840" cy="2915920"/>
                          </a:xfrm>
                          <a:prstGeom prst="rect">
                            <a:avLst/>
                          </a:prstGeom>
                          <a:noFill/>
                          <a:ln>
                            <a:noFill/>
                          </a:ln>
                        </pic:spPr>
                      </pic:pic>
                    </a:graphicData>
                  </a:graphic>
                </wp:anchor>
              </w:drawing>
            </w:r>
          </w:p>
          <w:p w14:paraId="2CC3BC84">
            <w:pPr>
              <w:keepNext w:val="0"/>
              <w:keepLines w:val="0"/>
              <w:suppressLineNumbers w:val="0"/>
              <w:spacing w:before="0" w:beforeAutospacing="0" w:after="0" w:afterAutospacing="0" w:line="360" w:lineRule="auto"/>
              <w:ind w:left="0" w:right="0" w:firstLine="420" w:firstLineChars="200"/>
              <w:rPr>
                <w:rFonts w:hint="default"/>
                <w:color w:val="auto"/>
              </w:rPr>
            </w:pPr>
          </w:p>
          <w:p w14:paraId="4AB1502C">
            <w:pPr>
              <w:keepNext w:val="0"/>
              <w:keepLines w:val="0"/>
              <w:suppressLineNumbers w:val="0"/>
              <w:spacing w:before="0" w:beforeAutospacing="0" w:after="0" w:afterAutospacing="0" w:line="360" w:lineRule="auto"/>
              <w:ind w:left="0" w:right="0" w:firstLine="420" w:firstLineChars="200"/>
              <w:rPr>
                <w:rFonts w:hint="default"/>
                <w:color w:val="auto"/>
              </w:rPr>
            </w:pPr>
          </w:p>
          <w:p w14:paraId="47DA5E88">
            <w:pPr>
              <w:keepNext w:val="0"/>
              <w:keepLines w:val="0"/>
              <w:suppressLineNumbers w:val="0"/>
              <w:spacing w:before="0" w:beforeAutospacing="0" w:after="0" w:afterAutospacing="0" w:line="360" w:lineRule="auto"/>
              <w:ind w:left="0" w:right="0" w:firstLine="420" w:firstLineChars="200"/>
              <w:rPr>
                <w:rFonts w:hint="default"/>
                <w:color w:val="auto"/>
              </w:rPr>
            </w:pPr>
          </w:p>
          <w:p w14:paraId="7741CB71">
            <w:pPr>
              <w:keepNext w:val="0"/>
              <w:keepLines w:val="0"/>
              <w:suppressLineNumbers w:val="0"/>
              <w:spacing w:before="0" w:beforeAutospacing="0" w:after="0" w:afterAutospacing="0" w:line="360" w:lineRule="auto"/>
              <w:ind w:left="0" w:right="0" w:firstLine="420" w:firstLineChars="200"/>
              <w:rPr>
                <w:rFonts w:hint="default"/>
                <w:color w:val="auto"/>
              </w:rPr>
            </w:pPr>
          </w:p>
          <w:p w14:paraId="3DE3A3FF">
            <w:pPr>
              <w:keepNext w:val="0"/>
              <w:keepLines w:val="0"/>
              <w:suppressLineNumbers w:val="0"/>
              <w:spacing w:before="0" w:beforeAutospacing="0" w:after="0" w:afterAutospacing="0" w:line="360" w:lineRule="auto"/>
              <w:ind w:left="0" w:right="0" w:firstLine="420" w:firstLineChars="200"/>
              <w:rPr>
                <w:rFonts w:hint="default"/>
                <w:color w:val="auto"/>
              </w:rPr>
            </w:pPr>
          </w:p>
          <w:p w14:paraId="11F8CF65">
            <w:pPr>
              <w:keepNext w:val="0"/>
              <w:keepLines w:val="0"/>
              <w:suppressLineNumbers w:val="0"/>
              <w:spacing w:before="0" w:beforeAutospacing="0" w:after="0" w:afterAutospacing="0" w:line="360" w:lineRule="auto"/>
              <w:ind w:left="0" w:right="0" w:firstLine="420" w:firstLineChars="200"/>
              <w:rPr>
                <w:rFonts w:hint="default"/>
                <w:color w:val="auto"/>
              </w:rPr>
            </w:pPr>
          </w:p>
          <w:p w14:paraId="31196CB3">
            <w:pPr>
              <w:keepNext w:val="0"/>
              <w:keepLines w:val="0"/>
              <w:suppressLineNumbers w:val="0"/>
              <w:spacing w:before="0" w:beforeAutospacing="0" w:after="0" w:afterAutospacing="0" w:line="360" w:lineRule="auto"/>
              <w:ind w:left="0" w:right="0" w:firstLine="420" w:firstLineChars="200"/>
              <w:rPr>
                <w:rFonts w:hint="default"/>
                <w:color w:val="auto"/>
              </w:rPr>
            </w:pPr>
          </w:p>
          <w:p w14:paraId="6801AB77">
            <w:pPr>
              <w:keepNext w:val="0"/>
              <w:keepLines w:val="0"/>
              <w:suppressLineNumbers w:val="0"/>
              <w:spacing w:before="0" w:beforeAutospacing="0" w:after="0" w:afterAutospacing="0" w:line="360" w:lineRule="auto"/>
              <w:ind w:left="0" w:right="0" w:firstLine="420" w:firstLineChars="200"/>
              <w:rPr>
                <w:rFonts w:hint="default"/>
                <w:color w:val="auto"/>
              </w:rPr>
            </w:pPr>
          </w:p>
          <w:p w14:paraId="0D580CC4">
            <w:pPr>
              <w:keepNext w:val="0"/>
              <w:keepLines w:val="0"/>
              <w:suppressLineNumbers w:val="0"/>
              <w:spacing w:before="0" w:beforeAutospacing="0" w:after="0" w:afterAutospacing="0" w:line="360" w:lineRule="auto"/>
              <w:ind w:left="0" w:right="0" w:firstLine="420" w:firstLineChars="200"/>
              <w:rPr>
                <w:rFonts w:hint="default"/>
                <w:color w:val="auto"/>
              </w:rPr>
            </w:pPr>
          </w:p>
          <w:p w14:paraId="218D802B">
            <w:pPr>
              <w:keepNext w:val="0"/>
              <w:keepLines w:val="0"/>
              <w:suppressLineNumbers w:val="0"/>
              <w:spacing w:before="0" w:beforeAutospacing="0" w:after="0" w:afterAutospacing="0" w:line="360" w:lineRule="auto"/>
              <w:ind w:left="0" w:right="0" w:firstLine="420" w:firstLineChars="200"/>
              <w:rPr>
                <w:rFonts w:hint="default"/>
                <w:color w:val="auto"/>
              </w:rPr>
            </w:pPr>
          </w:p>
          <w:p w14:paraId="1E6A991C">
            <w:pPr>
              <w:keepNext w:val="0"/>
              <w:keepLines w:val="0"/>
              <w:suppressLineNumbers w:val="0"/>
              <w:spacing w:before="0" w:beforeAutospacing="0" w:after="0" w:afterAutospacing="0" w:line="360" w:lineRule="auto"/>
              <w:ind w:left="0" w:right="0" w:firstLine="420" w:firstLineChars="200"/>
              <w:rPr>
                <w:rFonts w:hint="default"/>
                <w:color w:val="auto"/>
              </w:rPr>
            </w:pPr>
          </w:p>
          <w:p w14:paraId="4D6D9126">
            <w:pPr>
              <w:keepNext w:val="0"/>
              <w:keepLines w:val="0"/>
              <w:suppressLineNumbers w:val="0"/>
              <w:spacing w:before="0" w:beforeAutospacing="0" w:after="0" w:afterAutospacing="0" w:line="360" w:lineRule="auto"/>
              <w:ind w:left="0" w:right="0" w:firstLine="420" w:firstLineChars="200"/>
              <w:rPr>
                <w:rFonts w:hint="default"/>
                <w:color w:val="auto"/>
              </w:rPr>
            </w:pPr>
          </w:p>
          <w:p w14:paraId="2DA73310">
            <w:pPr>
              <w:pStyle w:val="96"/>
              <w:keepNext w:val="0"/>
              <w:keepLines w:val="0"/>
              <w:suppressLineNumbers w:val="0"/>
              <w:spacing w:before="0" w:beforeAutospacing="0" w:after="0" w:afterAutospacing="0"/>
              <w:ind w:left="0" w:right="0"/>
              <w:rPr>
                <w:rFonts w:hint="eastAsia"/>
                <w:color w:val="auto"/>
                <w:sz w:val="24"/>
                <w:szCs w:val="24"/>
              </w:rPr>
            </w:pPr>
            <w:r>
              <w:rPr>
                <w:rFonts w:hint="eastAsia"/>
                <w:color w:val="auto"/>
                <w:sz w:val="24"/>
                <w:szCs w:val="24"/>
              </w:rPr>
              <w:t>图4</w:t>
            </w:r>
            <w:r>
              <w:rPr>
                <w:rFonts w:hint="eastAsia"/>
                <w:color w:val="auto"/>
                <w:sz w:val="24"/>
                <w:szCs w:val="24"/>
                <w:lang w:val="en-US" w:eastAsia="zh-CN"/>
              </w:rPr>
              <w:t>-</w:t>
            </w:r>
            <w:r>
              <w:rPr>
                <w:rFonts w:hint="eastAsia"/>
                <w:color w:val="auto"/>
                <w:sz w:val="24"/>
                <w:szCs w:val="24"/>
              </w:rPr>
              <w:t>1</w:t>
            </w:r>
            <w:r>
              <w:rPr>
                <w:rFonts w:hint="eastAsia"/>
                <w:color w:val="auto"/>
                <w:sz w:val="24"/>
                <w:szCs w:val="24"/>
                <w:lang w:val="en-US" w:eastAsia="zh-CN"/>
              </w:rPr>
              <w:t xml:space="preserve"> 项目</w:t>
            </w:r>
            <w:r>
              <w:rPr>
                <w:rFonts w:hint="eastAsia"/>
                <w:color w:val="auto"/>
                <w:sz w:val="24"/>
                <w:szCs w:val="24"/>
              </w:rPr>
              <w:t>噪声预测等声值线图</w:t>
            </w:r>
          </w:p>
          <w:p w14:paraId="3A380E16">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eastAsia"/>
                <w:color w:val="auto"/>
                <w:sz w:val="24"/>
                <w:szCs w:val="24"/>
              </w:rPr>
              <w:t>根据以上数据可知，</w:t>
            </w:r>
            <w:r>
              <w:rPr>
                <w:rFonts w:hint="eastAsia"/>
                <w:color w:val="auto"/>
                <w:sz w:val="24"/>
                <w:szCs w:val="24"/>
                <w:lang w:val="en-US" w:eastAsia="zh-CN"/>
              </w:rPr>
              <w:t>项目夜间不生产，昼间</w:t>
            </w:r>
            <w:r>
              <w:rPr>
                <w:rFonts w:hint="eastAsia" w:ascii="Times New Roman" w:hAnsi="Times New Roman" w:eastAsia="宋体" w:cs="Times New Roman"/>
                <w:color w:val="auto"/>
                <w:kern w:val="0"/>
                <w:sz w:val="24"/>
                <w:highlight w:val="none"/>
                <w:lang w:val="en-US" w:eastAsia="zh-CN"/>
              </w:rPr>
              <w:t>厂界噪声能达到《工业企业厂界环境噪声排放标准》（</w:t>
            </w:r>
            <w:r>
              <w:rPr>
                <w:rFonts w:hint="default" w:ascii="Times New Roman" w:hAnsi="Times New Roman" w:eastAsia="宋体" w:cs="Times New Roman"/>
                <w:color w:val="auto"/>
                <w:kern w:val="0"/>
                <w:sz w:val="24"/>
                <w:highlight w:val="none"/>
                <w:lang w:val="en-US" w:eastAsia="zh-CN"/>
              </w:rPr>
              <w:t>GB12348-2008</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类标准，</w:t>
            </w:r>
            <w:r>
              <w:rPr>
                <w:rFonts w:hint="default" w:ascii="Times New Roman" w:hAnsi="Times New Roman" w:eastAsia="宋体" w:cs="Times New Roman"/>
                <w:color w:val="auto"/>
                <w:kern w:val="0"/>
                <w:sz w:val="24"/>
                <w:highlight w:val="none"/>
                <w:lang w:val="en-US" w:eastAsia="zh-CN"/>
              </w:rPr>
              <w:t>环评提出在安装设备时</w:t>
            </w:r>
            <w:r>
              <w:rPr>
                <w:rFonts w:hint="eastAsia" w:ascii="Times New Roman" w:hAnsi="Times New Roman" w:eastAsia="宋体" w:cs="Times New Roman"/>
                <w:color w:val="auto"/>
                <w:kern w:val="0"/>
                <w:sz w:val="24"/>
                <w:highlight w:val="none"/>
                <w:lang w:val="en-US" w:eastAsia="zh-CN"/>
              </w:rPr>
              <w:t>在设备选型上尽量选用低噪音设备；加强维护、定期检修，保持设备运行正常，避免因设备的非正常运转造成设备噪声增大；对设备采用减震基础、使用柔性管道链接等降噪措施来有效减小噪声声强，使项目噪声对周围环境影响减小。</w:t>
            </w:r>
          </w:p>
          <w:p w14:paraId="3B6DA897">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E、保护目标影响分析</w:t>
            </w:r>
          </w:p>
          <w:p w14:paraId="1009660F">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根据现场勘查，项目厂界外周边</w:t>
            </w:r>
            <w:r>
              <w:rPr>
                <w:rFonts w:hint="default" w:ascii="Times New Roman" w:hAnsi="Times New Roman" w:eastAsia="宋体" w:cs="Times New Roman"/>
                <w:color w:val="auto"/>
                <w:kern w:val="0"/>
                <w:sz w:val="24"/>
                <w:highlight w:val="none"/>
                <w:lang w:val="en-US" w:eastAsia="zh-CN"/>
              </w:rPr>
              <w:t>50m</w:t>
            </w:r>
            <w:r>
              <w:rPr>
                <w:rFonts w:hint="eastAsia" w:ascii="Times New Roman" w:hAnsi="Times New Roman" w:eastAsia="宋体" w:cs="Times New Roman"/>
                <w:color w:val="auto"/>
                <w:kern w:val="0"/>
                <w:sz w:val="24"/>
                <w:highlight w:val="none"/>
                <w:lang w:val="en-US" w:eastAsia="zh-CN"/>
              </w:rPr>
              <w:t>范围内均没有声环境保护目标。</w:t>
            </w:r>
          </w:p>
          <w:p w14:paraId="1A5D41B0">
            <w:pPr>
              <w:keepNext w:val="0"/>
              <w:keepLines w:val="0"/>
              <w:suppressLineNumbers w:val="0"/>
              <w:adjustRightInd w:val="0"/>
              <w:snapToGrid w:val="0"/>
              <w:spacing w:before="0" w:beforeAutospacing="0" w:after="0" w:afterAutospacing="0" w:line="360" w:lineRule="auto"/>
              <w:ind w:left="0" w:right="0" w:firstLine="482" w:firstLineChars="200"/>
              <w:textAlignment w:val="baseline"/>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3、噪声防治措施</w:t>
            </w:r>
          </w:p>
          <w:p w14:paraId="556251ED">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为进一步减少项目设备噪声对周围环境的影响，环评要求做到以下几点：</w:t>
            </w:r>
          </w:p>
          <w:p w14:paraId="0E9C7EAB">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①</w:t>
            </w:r>
            <w:r>
              <w:rPr>
                <w:rFonts w:hint="eastAsia" w:ascii="Times New Roman" w:hAnsi="Times New Roman" w:eastAsia="宋体" w:cs="Times New Roman"/>
                <w:color w:val="auto"/>
                <w:kern w:val="0"/>
                <w:sz w:val="24"/>
                <w:highlight w:val="none"/>
                <w:lang w:val="en-US" w:eastAsia="zh-CN"/>
              </w:rPr>
              <w:t>高噪声设备必须安装在加有减振垫的隔振基础上，同时设备之间保持间距，避免噪声叠加影响。</w:t>
            </w:r>
          </w:p>
          <w:p w14:paraId="6716C4FC">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②</w:t>
            </w:r>
            <w:r>
              <w:rPr>
                <w:rFonts w:hint="eastAsia" w:ascii="Times New Roman" w:hAnsi="Times New Roman" w:eastAsia="宋体" w:cs="Times New Roman"/>
                <w:color w:val="auto"/>
                <w:kern w:val="0"/>
                <w:sz w:val="24"/>
                <w:highlight w:val="none"/>
                <w:lang w:val="en-US" w:eastAsia="zh-CN"/>
              </w:rPr>
              <w:t>加强设备的维护，确保设备处于良好的运转状态，杜绝因设备不正常运转时产生的高噪声现象。</w:t>
            </w:r>
          </w:p>
          <w:p w14:paraId="48E45A97">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③确保夜间不生产、不作业。</w:t>
            </w:r>
          </w:p>
          <w:p w14:paraId="39840018">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经采取上述措施后进一步减小本项目噪声对周围环境的影响。</w:t>
            </w:r>
          </w:p>
          <w:p w14:paraId="64793E5B">
            <w:pPr>
              <w:keepNext w:val="0"/>
              <w:keepLines w:val="0"/>
              <w:suppressLineNumbers w:val="0"/>
              <w:adjustRightInd w:val="0"/>
              <w:snapToGrid w:val="0"/>
              <w:spacing w:before="0" w:beforeAutospacing="0" w:after="0" w:afterAutospacing="0" w:line="360" w:lineRule="auto"/>
              <w:ind w:left="0" w:right="0" w:firstLine="482" w:firstLineChars="200"/>
              <w:textAlignment w:val="baseline"/>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4、噪声环境影响分析</w:t>
            </w:r>
          </w:p>
          <w:p w14:paraId="255EF881">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项目运营期采取的噪声防治措施主要是</w:t>
            </w:r>
            <w:r>
              <w:rPr>
                <w:rFonts w:hint="eastAsia" w:cs="Times New Roman"/>
                <w:color w:val="auto"/>
                <w:kern w:val="0"/>
                <w:sz w:val="24"/>
                <w:highlight w:val="none"/>
                <w:lang w:val="en-US" w:eastAsia="zh-CN"/>
              </w:rPr>
              <w:t>声源</w:t>
            </w:r>
            <w:r>
              <w:rPr>
                <w:rFonts w:hint="eastAsia" w:ascii="Times New Roman" w:hAnsi="Times New Roman" w:eastAsia="宋体" w:cs="Times New Roman"/>
                <w:color w:val="auto"/>
                <w:kern w:val="0"/>
                <w:sz w:val="24"/>
                <w:highlight w:val="none"/>
                <w:lang w:val="en-US" w:eastAsia="zh-CN"/>
              </w:rPr>
              <w:t>控制措施及噪声隔声措施，在做好措施后，可有效降低噪声值。本次评价厂界噪声排放执行《工业企业厂界环境噪声排放标准》（GB 12348-2008）中</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类标准，在采取了本次评价提出噪声防治措施后，项目厂界噪声排放可满足《工业企业厂界环境噪声排放标准》（GB 12348-2008）中</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类标准要求。</w:t>
            </w:r>
          </w:p>
          <w:p w14:paraId="1DD057E2">
            <w:pPr>
              <w:pStyle w:val="67"/>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5、监测要求</w:t>
            </w:r>
          </w:p>
          <w:p w14:paraId="755E80B0">
            <w:pPr>
              <w:pStyle w:val="67"/>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《排污单位自行监测技术指南 总则》（HJ 819-2017）</w:t>
            </w:r>
            <w:r>
              <w:rPr>
                <w:rFonts w:hint="default" w:ascii="Times New Roman" w:hAnsi="Times New Roman" w:eastAsia="宋体" w:cs="Times New Roman"/>
                <w:color w:val="auto"/>
                <w:sz w:val="24"/>
                <w:szCs w:val="24"/>
                <w:highlight w:val="none"/>
                <w:lang w:val="en-US" w:eastAsia="zh-CN"/>
              </w:rPr>
              <w:t>可知，本项目</w:t>
            </w:r>
            <w:r>
              <w:rPr>
                <w:rFonts w:hint="eastAsia" w:ascii="Times New Roman" w:hAnsi="Times New Roman" w:eastAsia="宋体" w:cs="Times New Roman"/>
                <w:color w:val="auto"/>
                <w:sz w:val="24"/>
                <w:szCs w:val="24"/>
                <w:highlight w:val="none"/>
                <w:lang w:val="en-US" w:eastAsia="zh-CN"/>
              </w:rPr>
              <w:t>噪声</w:t>
            </w:r>
            <w:r>
              <w:rPr>
                <w:rFonts w:hint="default" w:ascii="Times New Roman" w:hAnsi="Times New Roman" w:eastAsia="宋体" w:cs="Times New Roman"/>
                <w:color w:val="auto"/>
                <w:sz w:val="24"/>
                <w:highlight w:val="none"/>
              </w:rPr>
              <w:t>监测要求详见下表。</w:t>
            </w:r>
          </w:p>
          <w:p w14:paraId="1B722A27">
            <w:pPr>
              <w:pStyle w:val="67"/>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eastAsia" w:cs="Times New Roman"/>
                <w:b/>
                <w:bCs/>
                <w:color w:val="auto"/>
                <w:szCs w:val="21"/>
                <w:highlight w:val="none"/>
                <w:lang w:val="en-US" w:eastAsia="zh-CN"/>
              </w:rPr>
              <w:t>1</w:t>
            </w:r>
            <w:r>
              <w:rPr>
                <w:rFonts w:hint="eastAsia" w:ascii="Times New Roman" w:hAnsi="Times New Roman" w:eastAsia="宋体"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 xml:space="preserve">   噪声监测计划一览表</w:t>
            </w:r>
          </w:p>
          <w:tbl>
            <w:tblPr>
              <w:tblStyle w:val="31"/>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5"/>
              <w:gridCol w:w="2226"/>
              <w:gridCol w:w="1332"/>
            </w:tblGrid>
            <w:tr w14:paraId="40C8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5" w:type="dxa"/>
                  <w:vAlign w:val="center"/>
                </w:tcPr>
                <w:p w14:paraId="050C19D3">
                  <w:pPr>
                    <w:pStyle w:val="67"/>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2226" w:type="dxa"/>
                  <w:vAlign w:val="center"/>
                </w:tcPr>
                <w:p w14:paraId="6A51F2E1">
                  <w:pPr>
                    <w:pStyle w:val="67"/>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1332" w:type="dxa"/>
                  <w:vAlign w:val="center"/>
                </w:tcPr>
                <w:p w14:paraId="32D960DB">
                  <w:pPr>
                    <w:pStyle w:val="67"/>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14:paraId="39AE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955" w:type="dxa"/>
                  <w:vAlign w:val="center"/>
                </w:tcPr>
                <w:p w14:paraId="1218190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项目区厂界东、南、西、北界外1m 处布点监测</w:t>
                  </w:r>
                </w:p>
              </w:tc>
              <w:tc>
                <w:tcPr>
                  <w:tcW w:w="2226" w:type="dxa"/>
                  <w:vAlign w:val="center"/>
                </w:tcPr>
                <w:p w14:paraId="012A3137">
                  <w:pPr>
                    <w:pStyle w:val="67"/>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等效声级Leq(dB (A))</w:t>
                  </w:r>
                </w:p>
              </w:tc>
              <w:tc>
                <w:tcPr>
                  <w:tcW w:w="1332" w:type="dxa"/>
                  <w:vAlign w:val="center"/>
                </w:tcPr>
                <w:p w14:paraId="38105DE7">
                  <w:pPr>
                    <w:pStyle w:val="67"/>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14:paraId="4C4E76FD">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四、运营期固体废物影响分析</w:t>
            </w:r>
          </w:p>
          <w:p w14:paraId="40D7326C">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（1）固体废物核算</w:t>
            </w:r>
          </w:p>
          <w:p w14:paraId="5A176E0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项目</w:t>
            </w:r>
            <w:r>
              <w:rPr>
                <w:rFonts w:hint="eastAsia" w:cs="Times New Roman"/>
                <w:color w:val="auto"/>
                <w:sz w:val="24"/>
                <w:szCs w:val="28"/>
                <w:highlight w:val="none"/>
                <w:lang w:val="en-US" w:eastAsia="zh-CN"/>
              </w:rPr>
              <w:t>固体废物</w:t>
            </w:r>
            <w:r>
              <w:rPr>
                <w:rFonts w:hint="eastAsia" w:ascii="Times New Roman" w:hAnsi="Times New Roman" w:cs="Times New Roman"/>
                <w:color w:val="auto"/>
                <w:sz w:val="24"/>
                <w:szCs w:val="28"/>
                <w:highlight w:val="none"/>
                <w:lang w:val="en-US" w:eastAsia="zh-CN"/>
              </w:rPr>
              <w:t>主要</w:t>
            </w:r>
            <w:r>
              <w:rPr>
                <w:rFonts w:hint="eastAsia" w:cs="Times New Roman"/>
                <w:color w:val="auto"/>
                <w:sz w:val="24"/>
                <w:szCs w:val="28"/>
                <w:highlight w:val="none"/>
                <w:lang w:val="en-US" w:eastAsia="zh-CN"/>
              </w:rPr>
              <w:t>为不合格品、废包装材料、废边角料、生活垃圾、</w:t>
            </w:r>
            <w:r>
              <w:rPr>
                <w:rFonts w:hint="eastAsia" w:cs="Times New Roman"/>
                <w:color w:val="auto"/>
                <w:sz w:val="24"/>
                <w:szCs w:val="24"/>
                <w:highlight w:val="none"/>
                <w:lang w:val="en-US" w:eastAsia="zh-CN"/>
              </w:rPr>
              <w:t>化粪池及污水处理站污泥、废胶水桶、废活性炭、</w:t>
            </w:r>
            <w:r>
              <w:rPr>
                <w:rFonts w:hint="default" w:ascii="Times New Roman" w:hAnsi="Times New Roman" w:eastAsia="宋体" w:cs="Times New Roman"/>
                <w:color w:val="auto"/>
                <w:sz w:val="24"/>
                <w:szCs w:val="24"/>
                <w:highlight w:val="none"/>
              </w:rPr>
              <w:t>废UV灯管</w:t>
            </w:r>
            <w:r>
              <w:rPr>
                <w:rFonts w:hint="eastAsia" w:ascii="Times New Roman" w:hAnsi="Times New Roman" w:cs="Times New Roman"/>
                <w:color w:val="auto"/>
                <w:sz w:val="24"/>
                <w:szCs w:val="24"/>
                <w:highlight w:val="none"/>
                <w:lang w:eastAsia="zh-CN"/>
              </w:rPr>
              <w:t>、</w:t>
            </w:r>
            <w:r>
              <w:rPr>
                <w:rFonts w:hint="eastAsia" w:cs="Times New Roman"/>
                <w:snapToGrid w:val="0"/>
                <w:color w:val="auto"/>
                <w:kern w:val="21"/>
                <w:sz w:val="24"/>
                <w:szCs w:val="24"/>
                <w:highlight w:val="none"/>
                <w:lang w:val="en-US" w:eastAsia="zh-CN"/>
              </w:rPr>
              <w:t>废矿物油</w:t>
            </w:r>
            <w:r>
              <w:rPr>
                <w:rFonts w:hint="eastAsia" w:cs="Times New Roman"/>
                <w:color w:val="auto"/>
                <w:sz w:val="24"/>
                <w:szCs w:val="24"/>
                <w:highlight w:val="none"/>
                <w:lang w:val="en-US" w:eastAsia="zh-CN"/>
              </w:rPr>
              <w:t>。</w:t>
            </w:r>
          </w:p>
          <w:p w14:paraId="69CD4DDA">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b w:val="0"/>
                <w:bCs w:val="0"/>
                <w:color w:val="auto"/>
                <w:sz w:val="24"/>
                <w:szCs w:val="28"/>
                <w:highlight w:val="none"/>
                <w:lang w:val="en-US" w:eastAsia="zh-CN"/>
              </w:rPr>
            </w:pPr>
            <w:r>
              <w:rPr>
                <w:rFonts w:hint="eastAsia" w:ascii="Times New Roman" w:hAnsi="Times New Roman" w:cs="Times New Roman"/>
                <w:b w:val="0"/>
                <w:bCs w:val="0"/>
                <w:color w:val="auto"/>
                <w:sz w:val="24"/>
                <w:szCs w:val="28"/>
                <w:highlight w:val="none"/>
                <w:lang w:val="en-US" w:eastAsia="zh-CN"/>
              </w:rPr>
              <w:t>1）一般固废</w:t>
            </w:r>
          </w:p>
          <w:p w14:paraId="3BB67DF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①</w:t>
            </w:r>
            <w:r>
              <w:rPr>
                <w:rFonts w:hint="eastAsia" w:cs="Times New Roman"/>
                <w:color w:val="auto"/>
                <w:sz w:val="24"/>
                <w:szCs w:val="28"/>
                <w:highlight w:val="none"/>
                <w:lang w:val="en-US" w:eastAsia="zh-CN"/>
              </w:rPr>
              <w:t>不合格产品</w:t>
            </w:r>
          </w:p>
          <w:p w14:paraId="40A01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Times New Roman"/>
                <w:color w:val="auto"/>
                <w:kern w:val="2"/>
                <w:sz w:val="24"/>
                <w:szCs w:val="30"/>
                <w:highlight w:val="none"/>
                <w:shd w:val="clear" w:color="auto" w:fill="auto"/>
                <w:lang w:val="en-US" w:eastAsia="zh-CN" w:bidi="ar-SA"/>
              </w:rPr>
            </w:pPr>
            <w:r>
              <w:rPr>
                <w:rFonts w:hint="eastAsia" w:ascii="Times New Roman" w:hAnsi="Times New Roman" w:eastAsia="宋体" w:cs="Times New Roman"/>
                <w:color w:val="auto"/>
                <w:kern w:val="2"/>
                <w:sz w:val="24"/>
                <w:szCs w:val="30"/>
                <w:highlight w:val="none"/>
                <w:shd w:val="clear" w:color="auto" w:fill="auto"/>
                <w:lang w:val="en-US" w:eastAsia="zh-CN" w:bidi="ar-SA"/>
              </w:rPr>
              <w:t>项目</w:t>
            </w:r>
            <w:r>
              <w:rPr>
                <w:rFonts w:hint="eastAsia" w:cs="Times New Roman"/>
                <w:color w:val="auto"/>
                <w:kern w:val="2"/>
                <w:sz w:val="24"/>
                <w:szCs w:val="30"/>
                <w:highlight w:val="none"/>
                <w:shd w:val="clear" w:color="auto" w:fill="auto"/>
                <w:lang w:val="en-US" w:eastAsia="zh-CN" w:bidi="ar-SA"/>
              </w:rPr>
              <w:t>人工分拣</w:t>
            </w:r>
            <w:r>
              <w:rPr>
                <w:rFonts w:hint="eastAsia" w:ascii="Times New Roman" w:hAnsi="Times New Roman" w:eastAsia="宋体" w:cs="Times New Roman"/>
                <w:color w:val="auto"/>
                <w:kern w:val="2"/>
                <w:sz w:val="24"/>
                <w:szCs w:val="30"/>
                <w:highlight w:val="none"/>
                <w:shd w:val="clear" w:color="auto" w:fill="auto"/>
                <w:lang w:val="en-US" w:eastAsia="zh-CN" w:bidi="ar-SA"/>
              </w:rPr>
              <w:t>过程会产生</w:t>
            </w:r>
            <w:r>
              <w:rPr>
                <w:rFonts w:hint="eastAsia" w:cs="Times New Roman"/>
                <w:color w:val="auto"/>
                <w:kern w:val="2"/>
                <w:sz w:val="24"/>
                <w:szCs w:val="30"/>
                <w:highlight w:val="none"/>
                <w:shd w:val="clear" w:color="auto" w:fill="auto"/>
                <w:lang w:val="en-US" w:eastAsia="zh-CN" w:bidi="ar-SA"/>
              </w:rPr>
              <w:t>极少</w:t>
            </w:r>
            <w:r>
              <w:rPr>
                <w:rFonts w:hint="eastAsia" w:ascii="Times New Roman" w:hAnsi="Times New Roman" w:eastAsia="宋体" w:cs="Times New Roman"/>
                <w:color w:val="auto"/>
                <w:kern w:val="2"/>
                <w:sz w:val="24"/>
                <w:szCs w:val="30"/>
                <w:highlight w:val="none"/>
                <w:shd w:val="clear" w:color="auto" w:fill="auto"/>
                <w:lang w:val="en-US" w:eastAsia="zh-CN" w:bidi="ar-SA"/>
              </w:rPr>
              <w:t>不合格品</w:t>
            </w:r>
            <w:r>
              <w:rPr>
                <w:rFonts w:hint="eastAsia" w:cs="Times New Roman"/>
                <w:color w:val="auto"/>
                <w:kern w:val="2"/>
                <w:sz w:val="24"/>
                <w:szCs w:val="30"/>
                <w:highlight w:val="none"/>
                <w:shd w:val="clear" w:color="auto" w:fill="auto"/>
                <w:lang w:val="en-US" w:eastAsia="zh-CN" w:bidi="ar-SA"/>
              </w:rPr>
              <w:t>。经类比同类型项目，</w:t>
            </w:r>
            <w:r>
              <w:rPr>
                <w:rFonts w:hint="eastAsia" w:ascii="Times New Roman" w:hAnsi="Times New Roman" w:eastAsia="宋体" w:cs="Times New Roman"/>
                <w:color w:val="auto"/>
                <w:kern w:val="2"/>
                <w:sz w:val="24"/>
                <w:szCs w:val="30"/>
                <w:highlight w:val="none"/>
                <w:shd w:val="clear" w:color="auto" w:fill="auto"/>
                <w:lang w:val="en-US" w:eastAsia="zh-CN" w:bidi="ar-SA"/>
              </w:rPr>
              <w:t>不合格品产生量约为</w:t>
            </w:r>
            <w:r>
              <w:rPr>
                <w:rFonts w:hint="eastAsia" w:cs="Times New Roman"/>
                <w:color w:val="auto"/>
                <w:kern w:val="2"/>
                <w:sz w:val="24"/>
                <w:szCs w:val="30"/>
                <w:highlight w:val="none"/>
                <w:shd w:val="clear" w:color="auto" w:fill="auto"/>
                <w:lang w:val="en-US" w:eastAsia="zh-CN" w:bidi="ar-SA"/>
              </w:rPr>
              <w:t>产品产量的0.01%，产品年产量为450万张，折合约605t，则</w:t>
            </w:r>
            <w:r>
              <w:rPr>
                <w:rFonts w:hint="eastAsia" w:cs="Times New Roman"/>
                <w:color w:val="auto"/>
                <w:sz w:val="24"/>
                <w:szCs w:val="28"/>
                <w:highlight w:val="none"/>
                <w:lang w:val="en-US" w:eastAsia="zh-CN"/>
              </w:rPr>
              <w:t>不合格品量约为0.061</w:t>
            </w:r>
            <w:r>
              <w:rPr>
                <w:rFonts w:hint="eastAsia" w:ascii="Times New Roman" w:hAnsi="Times New Roman" w:eastAsia="宋体" w:cs="Times New Roman"/>
                <w:color w:val="auto"/>
                <w:kern w:val="2"/>
                <w:sz w:val="24"/>
                <w:szCs w:val="30"/>
                <w:highlight w:val="none"/>
                <w:shd w:val="clear" w:color="auto" w:fill="auto"/>
                <w:lang w:val="en-US" w:eastAsia="zh-CN" w:bidi="ar-SA"/>
              </w:rPr>
              <w:t>t/a，收集暂存于一般固废暂存间</w:t>
            </w:r>
            <w:r>
              <w:rPr>
                <w:rFonts w:hint="eastAsia" w:cs="Times New Roman"/>
                <w:color w:val="auto"/>
                <w:kern w:val="2"/>
                <w:sz w:val="24"/>
                <w:szCs w:val="30"/>
                <w:highlight w:val="none"/>
                <w:shd w:val="clear" w:color="auto" w:fill="auto"/>
                <w:lang w:val="en-US" w:eastAsia="zh-CN" w:bidi="ar-SA"/>
              </w:rPr>
              <w:t>，与生活垃圾一并委托环卫部门清运处置</w:t>
            </w:r>
            <w:r>
              <w:rPr>
                <w:rFonts w:hint="eastAsia" w:ascii="Times New Roman" w:hAnsi="Times New Roman" w:eastAsia="宋体" w:cs="Times New Roman"/>
                <w:color w:val="auto"/>
                <w:kern w:val="2"/>
                <w:sz w:val="24"/>
                <w:szCs w:val="30"/>
                <w:highlight w:val="none"/>
                <w:shd w:val="clear" w:color="auto" w:fill="auto"/>
                <w:lang w:val="en-US" w:eastAsia="zh-CN" w:bidi="ar-SA"/>
              </w:rPr>
              <w:t>。</w:t>
            </w:r>
          </w:p>
          <w:p w14:paraId="09DAE43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b w:val="0"/>
                <w:bCs w:val="0"/>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②</w:t>
            </w:r>
            <w:r>
              <w:rPr>
                <w:rFonts w:hint="eastAsia" w:cs="Times New Roman"/>
                <w:color w:val="auto"/>
                <w:sz w:val="24"/>
                <w:szCs w:val="28"/>
                <w:highlight w:val="none"/>
                <w:lang w:val="en-US" w:eastAsia="zh-CN"/>
              </w:rPr>
              <w:t>废包装材料</w:t>
            </w:r>
          </w:p>
          <w:p w14:paraId="5E118257">
            <w:pPr>
              <w:pStyle w:val="41"/>
              <w:rPr>
                <w:rFonts w:hint="default" w:ascii="Times New Roman" w:hAnsi="Times New Roman" w:cs="Times New Roman"/>
                <w:color w:val="auto"/>
                <w:sz w:val="24"/>
                <w:szCs w:val="28"/>
                <w:highlight w:val="none"/>
                <w:lang w:val="en-US" w:eastAsia="zh-CN"/>
              </w:rPr>
            </w:pPr>
            <w:r>
              <w:rPr>
                <w:rFonts w:hint="eastAsia" w:ascii="Times New Roman" w:hAnsi="Times New Roman" w:eastAsia="宋体" w:cs="Times New Roman"/>
                <w:color w:val="auto"/>
                <w:sz w:val="24"/>
                <w:highlight w:val="none"/>
                <w:shd w:val="clear" w:color="auto" w:fill="auto"/>
                <w:lang w:val="en-US" w:eastAsia="zh-CN"/>
              </w:rPr>
              <w:t>项目原辅料拆卸及产品包装过程会产生废包装材料，根据建设单位提供资料，项目废包装材料产生量约</w:t>
            </w:r>
            <w:r>
              <w:rPr>
                <w:rFonts w:hint="eastAsia" w:ascii="Times New Roman" w:hAnsi="Times New Roman" w:cs="Times New Roman"/>
                <w:color w:val="auto"/>
                <w:sz w:val="24"/>
                <w:highlight w:val="none"/>
                <w:shd w:val="clear" w:color="auto" w:fill="auto"/>
                <w:lang w:val="en-US" w:eastAsia="zh-CN"/>
              </w:rPr>
              <w:t>0.5</w:t>
            </w:r>
            <w:r>
              <w:rPr>
                <w:rFonts w:hint="eastAsia" w:ascii="Times New Roman" w:hAnsi="Times New Roman" w:eastAsia="宋体" w:cs="Times New Roman"/>
                <w:color w:val="auto"/>
                <w:sz w:val="24"/>
                <w:highlight w:val="none"/>
                <w:shd w:val="clear" w:color="auto" w:fill="auto"/>
                <w:lang w:val="en-US" w:eastAsia="zh-CN"/>
              </w:rPr>
              <w:t>t/a</w:t>
            </w:r>
            <w:r>
              <w:rPr>
                <w:rFonts w:hint="eastAsia" w:ascii="Times New Roman" w:hAnsi="Times New Roman" w:cs="Times New Roman"/>
                <w:color w:val="auto"/>
                <w:sz w:val="24"/>
                <w:highlight w:val="none"/>
                <w:shd w:val="clear" w:color="auto" w:fill="auto"/>
                <w:lang w:val="en-US" w:eastAsia="zh-CN"/>
              </w:rPr>
              <w:t>，</w:t>
            </w:r>
            <w:r>
              <w:rPr>
                <w:rFonts w:hint="eastAsia" w:ascii="Times New Roman" w:hAnsi="Times New Roman" w:cs="Times New Roman"/>
                <w:color w:val="auto"/>
                <w:kern w:val="2"/>
                <w:sz w:val="24"/>
                <w:szCs w:val="30"/>
                <w:highlight w:val="none"/>
                <w:shd w:val="clear" w:color="auto" w:fill="auto"/>
                <w:lang w:val="en-US" w:eastAsia="zh-CN" w:bidi="ar-SA"/>
              </w:rPr>
              <w:t>收集</w:t>
            </w:r>
            <w:r>
              <w:rPr>
                <w:rFonts w:hint="eastAsia" w:ascii="Times New Roman" w:hAnsi="Times New Roman" w:eastAsia="宋体" w:cs="Times New Roman"/>
                <w:color w:val="auto"/>
                <w:kern w:val="2"/>
                <w:sz w:val="24"/>
                <w:szCs w:val="30"/>
                <w:highlight w:val="none"/>
                <w:shd w:val="clear" w:color="auto" w:fill="auto"/>
                <w:lang w:val="en-US" w:eastAsia="zh-CN" w:bidi="ar-SA"/>
              </w:rPr>
              <w:t>暂存于一般固废暂存间，定期出售给废品收购商</w:t>
            </w:r>
            <w:r>
              <w:rPr>
                <w:rFonts w:hint="eastAsia" w:ascii="Times New Roman" w:hAnsi="Times New Roman" w:eastAsia="宋体" w:cs="Times New Roman"/>
                <w:color w:val="auto"/>
                <w:sz w:val="24"/>
                <w:highlight w:val="none"/>
                <w:shd w:val="clear" w:color="auto" w:fill="auto"/>
                <w:lang w:val="en-US" w:eastAsia="zh-CN"/>
              </w:rPr>
              <w:t>。</w:t>
            </w:r>
          </w:p>
          <w:p w14:paraId="463F7B7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cs="Times New Roman"/>
                <w:color w:val="auto"/>
                <w:sz w:val="24"/>
                <w:szCs w:val="28"/>
                <w:highlight w:val="none"/>
                <w:lang w:val="en-US" w:eastAsia="zh-CN"/>
              </w:rPr>
              <w:t>③化粪池及污水处理站污泥</w:t>
            </w:r>
          </w:p>
          <w:p w14:paraId="0FF2AA4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bCs/>
                <w:color w:val="auto"/>
                <w:kern w:val="0"/>
                <w:sz w:val="24"/>
                <w:szCs w:val="24"/>
                <w:highlight w:val="none"/>
              </w:rPr>
              <w:t>项目劳动定员</w:t>
            </w:r>
            <w:r>
              <w:rPr>
                <w:rFonts w:hint="eastAsia" w:cs="Times New Roman"/>
                <w:bCs/>
                <w:color w:val="auto"/>
                <w:kern w:val="0"/>
                <w:sz w:val="24"/>
                <w:szCs w:val="24"/>
                <w:highlight w:val="none"/>
                <w:lang w:val="en-US" w:eastAsia="zh-CN"/>
              </w:rPr>
              <w:t>16</w:t>
            </w:r>
            <w:r>
              <w:rPr>
                <w:rFonts w:hint="default" w:ascii="Times New Roman" w:hAnsi="Times New Roman" w:eastAsia="宋体" w:cs="Times New Roman"/>
                <w:bCs/>
                <w:color w:val="auto"/>
                <w:kern w:val="0"/>
                <w:sz w:val="24"/>
                <w:szCs w:val="24"/>
                <w:highlight w:val="none"/>
              </w:rPr>
              <w:t>人，化粪池污泥以每人每天0.1kg计，化粪池污泥产生量为</w:t>
            </w:r>
            <w:r>
              <w:rPr>
                <w:rFonts w:hint="eastAsia" w:cs="Times New Roman"/>
                <w:bCs/>
                <w:color w:val="auto"/>
                <w:kern w:val="0"/>
                <w:sz w:val="24"/>
                <w:szCs w:val="24"/>
                <w:highlight w:val="none"/>
                <w:lang w:val="en-US" w:eastAsia="zh-CN"/>
              </w:rPr>
              <w:t>1.6</w:t>
            </w:r>
            <w:r>
              <w:rPr>
                <w:rFonts w:hint="default" w:ascii="Times New Roman" w:hAnsi="Times New Roman" w:eastAsia="宋体" w:cs="Times New Roman"/>
                <w:bCs/>
                <w:color w:val="auto"/>
                <w:kern w:val="0"/>
                <w:sz w:val="24"/>
                <w:szCs w:val="24"/>
                <w:highlight w:val="none"/>
              </w:rPr>
              <w:t>kg/d，</w:t>
            </w:r>
            <w:r>
              <w:rPr>
                <w:rFonts w:hint="eastAsia" w:cs="Times New Roman"/>
                <w:bCs/>
                <w:color w:val="auto"/>
                <w:kern w:val="0"/>
                <w:sz w:val="24"/>
                <w:szCs w:val="24"/>
                <w:highlight w:val="none"/>
                <w:lang w:val="en-US" w:eastAsia="zh-CN"/>
              </w:rPr>
              <w:t>0.48</w:t>
            </w:r>
            <w:r>
              <w:rPr>
                <w:rFonts w:hint="default" w:ascii="Times New Roman" w:hAnsi="Times New Roman" w:eastAsia="宋体" w:cs="Times New Roman"/>
                <w:bCs/>
                <w:color w:val="auto"/>
                <w:kern w:val="0"/>
                <w:sz w:val="24"/>
                <w:szCs w:val="24"/>
                <w:highlight w:val="none"/>
              </w:rPr>
              <w:t>t/a，委托当地环卫部门清掏清运处置。</w:t>
            </w:r>
          </w:p>
          <w:p w14:paraId="5B1C4DA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bCs/>
                <w:color w:val="auto"/>
                <w:kern w:val="0"/>
                <w:sz w:val="24"/>
                <w:szCs w:val="24"/>
                <w:highlight w:val="none"/>
              </w:rPr>
              <w:t>项目进入污水处理站处理的生活污水量为</w:t>
            </w:r>
            <w:r>
              <w:rPr>
                <w:rFonts w:hint="eastAsia" w:cs="Times New Roman"/>
                <w:bCs/>
                <w:color w:val="auto"/>
                <w:kern w:val="0"/>
                <w:sz w:val="24"/>
                <w:szCs w:val="24"/>
                <w:highlight w:val="none"/>
                <w:lang w:val="en-US" w:eastAsia="zh-CN"/>
              </w:rPr>
              <w:t>307.2</w:t>
            </w:r>
            <w:r>
              <w:rPr>
                <w:rFonts w:hint="default" w:ascii="Times New Roman" w:hAnsi="Times New Roman" w:eastAsia="宋体" w:cs="Times New Roman"/>
                <w:bCs/>
                <w:color w:val="auto"/>
                <w:kern w:val="0"/>
                <w:sz w:val="24"/>
                <w:szCs w:val="24"/>
                <w:highlight w:val="none"/>
              </w:rPr>
              <w:t>m</w:t>
            </w:r>
            <w:r>
              <w:rPr>
                <w:rFonts w:hint="default" w:ascii="Times New Roman" w:hAnsi="Times New Roman" w:eastAsia="宋体" w:cs="Times New Roman"/>
                <w:bCs/>
                <w:color w:val="auto"/>
                <w:kern w:val="0"/>
                <w:sz w:val="24"/>
                <w:szCs w:val="24"/>
                <w:highlight w:val="none"/>
                <w:vertAlign w:val="superscript"/>
              </w:rPr>
              <w:t>3</w:t>
            </w:r>
            <w:r>
              <w:rPr>
                <w:rFonts w:hint="default" w:ascii="Times New Roman" w:hAnsi="Times New Roman" w:eastAsia="宋体" w:cs="Times New Roman"/>
                <w:bCs/>
                <w:color w:val="auto"/>
                <w:kern w:val="0"/>
                <w:sz w:val="24"/>
                <w:szCs w:val="24"/>
                <w:highlight w:val="none"/>
              </w:rPr>
              <w:t>/a，污水处理站污泥（90%含水率）产生量约为废水量的0.1%，则污水处理站污泥产生量为</w:t>
            </w:r>
            <w:r>
              <w:rPr>
                <w:rFonts w:hint="eastAsia" w:cs="Times New Roman"/>
                <w:bCs/>
                <w:color w:val="auto"/>
                <w:kern w:val="0"/>
                <w:sz w:val="24"/>
                <w:szCs w:val="24"/>
                <w:highlight w:val="none"/>
                <w:lang w:val="en-US" w:eastAsia="zh-CN"/>
              </w:rPr>
              <w:t>0.307</w:t>
            </w:r>
            <w:r>
              <w:rPr>
                <w:rFonts w:hint="default" w:ascii="Times New Roman" w:hAnsi="Times New Roman" w:eastAsia="宋体" w:cs="Times New Roman"/>
                <w:bCs/>
                <w:color w:val="auto"/>
                <w:kern w:val="0"/>
                <w:sz w:val="24"/>
                <w:szCs w:val="24"/>
                <w:highlight w:val="none"/>
              </w:rPr>
              <w:t>t/a，委托当地环卫部门清掏清运处置</w:t>
            </w:r>
            <w:r>
              <w:rPr>
                <w:rFonts w:hint="eastAsia" w:ascii="Times New Roman" w:hAnsi="Times New Roman" w:eastAsia="宋体" w:cs="Times New Roman"/>
                <w:color w:val="auto"/>
                <w:sz w:val="24"/>
                <w:highlight w:val="none"/>
                <w:shd w:val="clear" w:color="auto" w:fill="auto"/>
                <w:lang w:val="en-US" w:eastAsia="zh-CN"/>
              </w:rPr>
              <w:t>。</w:t>
            </w:r>
          </w:p>
          <w:p w14:paraId="60E98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
                <w:bCs/>
                <w:color w:val="auto"/>
                <w:kern w:val="2"/>
                <w:sz w:val="24"/>
                <w:szCs w:val="30"/>
                <w:highlight w:val="none"/>
                <w:shd w:val="clear" w:color="auto" w:fill="auto"/>
                <w:lang w:val="en-US" w:eastAsia="zh-CN" w:bidi="ar-SA"/>
              </w:rPr>
            </w:pPr>
            <w:r>
              <w:rPr>
                <w:rFonts w:hint="eastAsia" w:ascii="Times New Roman" w:hAnsi="Times New Roman" w:cs="Times New Roman"/>
                <w:color w:val="auto"/>
                <w:sz w:val="24"/>
                <w:szCs w:val="28"/>
                <w:highlight w:val="none"/>
                <w:lang w:val="en-US" w:eastAsia="zh-CN"/>
              </w:rPr>
              <w:t>④</w:t>
            </w:r>
            <w:r>
              <w:rPr>
                <w:rFonts w:hint="eastAsia" w:cs="Times New Roman"/>
                <w:b w:val="0"/>
                <w:bCs w:val="0"/>
                <w:color w:val="auto"/>
                <w:kern w:val="2"/>
                <w:sz w:val="24"/>
                <w:szCs w:val="30"/>
                <w:highlight w:val="none"/>
                <w:shd w:val="clear" w:color="auto" w:fill="auto"/>
                <w:lang w:val="en-US" w:eastAsia="zh-CN" w:bidi="ar-SA"/>
              </w:rPr>
              <w:t>生活垃圾</w:t>
            </w:r>
          </w:p>
          <w:p w14:paraId="646D01C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lang w:val="zh-CN" w:eastAsia="zh-CN"/>
              </w:rPr>
            </w:pPr>
            <w:r>
              <w:rPr>
                <w:rFonts w:hint="eastAsia" w:ascii="Times New Roman" w:hAnsi="Times New Roman" w:cs="Times New Roman"/>
                <w:color w:val="auto"/>
                <w:sz w:val="24"/>
                <w:szCs w:val="28"/>
                <w:highlight w:val="none"/>
                <w:lang w:val="en-US" w:eastAsia="zh-CN"/>
              </w:rPr>
              <w:t>项目劳动定员16人，按每人每天产生垃圾0.5kg计，生活垃圾产生量为8kg/d，2.4t/a，集中收集于垃圾桶内，定期委托环卫部门清运处置</w:t>
            </w:r>
            <w:r>
              <w:rPr>
                <w:rFonts w:hint="default" w:ascii="Times New Roman" w:hAnsi="Times New Roman" w:cs="Times New Roman"/>
                <w:color w:val="auto"/>
                <w:sz w:val="24"/>
                <w:szCs w:val="28"/>
                <w:highlight w:val="none"/>
                <w:lang w:val="zh-CN" w:eastAsia="zh-CN"/>
              </w:rPr>
              <w:t>。</w:t>
            </w:r>
          </w:p>
          <w:p w14:paraId="3B9CA5E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⑤</w:t>
            </w:r>
            <w:r>
              <w:rPr>
                <w:rFonts w:hint="eastAsia" w:cs="Times New Roman"/>
                <w:color w:val="auto"/>
                <w:sz w:val="24"/>
                <w:szCs w:val="28"/>
                <w:highlight w:val="none"/>
                <w:lang w:val="en-US" w:eastAsia="zh-CN"/>
              </w:rPr>
              <w:t>废边角料</w:t>
            </w:r>
          </w:p>
          <w:p w14:paraId="268C2CE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废边角料主要来源于浸渍纸生产过程中切纸工序，根据建设单位提供的资料，废边角料</w:t>
            </w:r>
            <w:r>
              <w:rPr>
                <w:rFonts w:hint="eastAsia" w:cs="Times New Roman"/>
                <w:color w:val="auto"/>
                <w:sz w:val="24"/>
                <w:szCs w:val="28"/>
                <w:highlight w:val="none"/>
                <w:lang w:val="en-US" w:eastAsia="zh-CN"/>
              </w:rPr>
              <w:t>产生量</w:t>
            </w:r>
            <w:r>
              <w:rPr>
                <w:rFonts w:hint="eastAsia" w:ascii="Times New Roman" w:hAnsi="Times New Roman" w:cs="Times New Roman"/>
                <w:color w:val="auto"/>
                <w:sz w:val="24"/>
                <w:szCs w:val="28"/>
                <w:highlight w:val="none"/>
                <w:lang w:val="en-US" w:eastAsia="zh-CN"/>
              </w:rPr>
              <w:t>为</w:t>
            </w:r>
            <w:r>
              <w:rPr>
                <w:rFonts w:hint="eastAsia" w:cs="Times New Roman"/>
                <w:color w:val="auto"/>
                <w:sz w:val="24"/>
                <w:szCs w:val="28"/>
                <w:highlight w:val="none"/>
                <w:lang w:val="en-US" w:eastAsia="zh-CN"/>
              </w:rPr>
              <w:t>2</w:t>
            </w:r>
            <w:r>
              <w:rPr>
                <w:rFonts w:hint="eastAsia" w:ascii="Times New Roman" w:hAnsi="Times New Roman" w:cs="Times New Roman"/>
                <w:color w:val="auto"/>
                <w:sz w:val="24"/>
                <w:szCs w:val="28"/>
                <w:highlight w:val="none"/>
                <w:lang w:val="en-US" w:eastAsia="zh-CN"/>
              </w:rPr>
              <w:t>t/a，</w:t>
            </w:r>
            <w:r>
              <w:rPr>
                <w:rFonts w:hint="eastAsia" w:ascii="Times New Roman" w:hAnsi="Times New Roman" w:cs="Times New Roman"/>
                <w:color w:val="auto"/>
                <w:kern w:val="2"/>
                <w:sz w:val="24"/>
                <w:szCs w:val="30"/>
                <w:highlight w:val="none"/>
                <w:shd w:val="clear" w:color="auto" w:fill="auto"/>
                <w:lang w:val="en-US" w:eastAsia="zh-CN" w:bidi="ar-SA"/>
              </w:rPr>
              <w:t>收集</w:t>
            </w:r>
            <w:r>
              <w:rPr>
                <w:rFonts w:hint="eastAsia" w:ascii="Times New Roman" w:hAnsi="Times New Roman" w:eastAsia="宋体" w:cs="Times New Roman"/>
                <w:color w:val="auto"/>
                <w:kern w:val="2"/>
                <w:sz w:val="24"/>
                <w:szCs w:val="30"/>
                <w:highlight w:val="none"/>
                <w:shd w:val="clear" w:color="auto" w:fill="auto"/>
                <w:lang w:val="en-US" w:eastAsia="zh-CN" w:bidi="ar-SA"/>
              </w:rPr>
              <w:t>暂存于一般固废暂存间，</w:t>
            </w:r>
            <w:r>
              <w:rPr>
                <w:rFonts w:hint="eastAsia" w:cs="Times New Roman"/>
                <w:color w:val="auto"/>
                <w:kern w:val="2"/>
                <w:sz w:val="24"/>
                <w:szCs w:val="30"/>
                <w:highlight w:val="none"/>
                <w:shd w:val="clear" w:color="auto" w:fill="auto"/>
                <w:lang w:val="en-US" w:eastAsia="zh-CN" w:bidi="ar-SA"/>
              </w:rPr>
              <w:t>与生活垃圾一并委托环卫部门清运处置</w:t>
            </w:r>
            <w:r>
              <w:rPr>
                <w:rFonts w:hint="eastAsia" w:ascii="Times New Roman" w:hAnsi="Times New Roman" w:eastAsia="宋体" w:cs="Times New Roman"/>
                <w:color w:val="auto"/>
                <w:kern w:val="2"/>
                <w:sz w:val="24"/>
                <w:szCs w:val="30"/>
                <w:highlight w:val="none"/>
                <w:shd w:val="clear" w:color="auto" w:fill="auto"/>
                <w:lang w:val="en-US" w:eastAsia="zh-CN" w:bidi="ar-SA"/>
              </w:rPr>
              <w:t>。</w:t>
            </w:r>
          </w:p>
          <w:p w14:paraId="04B6A819">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b w:val="0"/>
                <w:bCs w:val="0"/>
                <w:color w:val="auto"/>
                <w:sz w:val="24"/>
                <w:szCs w:val="28"/>
                <w:highlight w:val="none"/>
                <w:lang w:val="en-US" w:eastAsia="zh-CN"/>
              </w:rPr>
            </w:pPr>
            <w:r>
              <w:rPr>
                <w:rFonts w:hint="eastAsia" w:ascii="Times New Roman" w:hAnsi="Times New Roman" w:cs="Times New Roman"/>
                <w:b w:val="0"/>
                <w:bCs w:val="0"/>
                <w:color w:val="auto"/>
                <w:sz w:val="24"/>
                <w:szCs w:val="28"/>
                <w:highlight w:val="none"/>
                <w:lang w:val="en-US" w:eastAsia="zh-CN"/>
              </w:rPr>
              <w:t>2）危险固废</w:t>
            </w:r>
          </w:p>
          <w:p w14:paraId="7845071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①</w:t>
            </w:r>
            <w:r>
              <w:rPr>
                <w:rFonts w:hint="eastAsia" w:cs="Times New Roman"/>
                <w:color w:val="auto"/>
                <w:sz w:val="24"/>
                <w:szCs w:val="28"/>
                <w:highlight w:val="none"/>
                <w:lang w:val="en-US" w:eastAsia="zh-CN"/>
              </w:rPr>
              <w:t>废胶水桶</w:t>
            </w:r>
          </w:p>
          <w:p w14:paraId="476685AC">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8"/>
                <w:highlight w:val="none"/>
                <w:lang w:val="en-US" w:eastAsia="zh-CN"/>
              </w:rPr>
            </w:pPr>
            <w:r>
              <w:rPr>
                <w:rFonts w:hint="eastAsia" w:cs="Times New Roman"/>
                <w:color w:val="auto"/>
                <w:sz w:val="24"/>
                <w:szCs w:val="28"/>
                <w:highlight w:val="none"/>
                <w:lang w:val="en-US" w:eastAsia="zh-CN"/>
              </w:rPr>
              <w:t>项目外购成品胶，拆包使用后会产生废胶水桶，</w:t>
            </w:r>
            <w:r>
              <w:rPr>
                <w:rFonts w:hint="eastAsia" w:ascii="Times New Roman" w:hAnsi="Times New Roman" w:eastAsia="宋体" w:cs="Times New Roman"/>
                <w:color w:val="auto"/>
                <w:sz w:val="24"/>
                <w:highlight w:val="none"/>
                <w:shd w:val="clear" w:color="auto" w:fill="auto"/>
                <w:lang w:val="en-US" w:eastAsia="zh-CN"/>
              </w:rPr>
              <w:t>根据建设单位提供资料，</w:t>
            </w:r>
            <w:r>
              <w:rPr>
                <w:rFonts w:hint="eastAsia" w:cs="Times New Roman"/>
                <w:color w:val="auto"/>
                <w:sz w:val="24"/>
                <w:highlight w:val="none"/>
                <w:shd w:val="clear" w:color="auto" w:fill="auto"/>
                <w:lang w:val="en-US" w:eastAsia="zh-CN"/>
              </w:rPr>
              <w:t>项目使用三聚氰胺甲醛树脂单桶重100kg，其中空桶重约1kg；项目年使用胶水283.5t，约为2835桶，则项目废胶水桶年产生量为2835kg，为2.835t/a。</w:t>
            </w:r>
            <w:r>
              <w:rPr>
                <w:rFonts w:hint="default"/>
                <w:bCs/>
                <w:color w:val="auto"/>
                <w:kern w:val="0"/>
                <w:sz w:val="24"/>
              </w:rPr>
              <w:t>根据《国家危险废物名录（2021年版）》，</w:t>
            </w:r>
            <w:r>
              <w:rPr>
                <w:rFonts w:hint="eastAsia"/>
                <w:color w:val="auto"/>
                <w:kern w:val="0"/>
                <w:sz w:val="24"/>
              </w:rPr>
              <w:t>废胶</w:t>
            </w:r>
            <w:r>
              <w:rPr>
                <w:rFonts w:hint="eastAsia"/>
                <w:color w:val="auto"/>
                <w:kern w:val="0"/>
                <w:sz w:val="24"/>
                <w:lang w:val="en-US" w:eastAsia="zh-CN"/>
              </w:rPr>
              <w:t>水</w:t>
            </w:r>
            <w:r>
              <w:rPr>
                <w:rFonts w:hint="eastAsia"/>
                <w:color w:val="auto"/>
                <w:kern w:val="0"/>
                <w:sz w:val="24"/>
              </w:rPr>
              <w:t>桶</w:t>
            </w:r>
            <w:r>
              <w:rPr>
                <w:rFonts w:hint="default"/>
                <w:bCs/>
                <w:color w:val="auto"/>
                <w:kern w:val="0"/>
                <w:sz w:val="24"/>
              </w:rPr>
              <w:t>属HW</w:t>
            </w:r>
            <w:r>
              <w:rPr>
                <w:rFonts w:hint="eastAsia"/>
                <w:bCs/>
                <w:color w:val="auto"/>
                <w:kern w:val="0"/>
                <w:sz w:val="24"/>
              </w:rPr>
              <w:t xml:space="preserve">49其他废物 </w:t>
            </w:r>
            <w:r>
              <w:rPr>
                <w:rFonts w:hint="default"/>
                <w:bCs/>
                <w:color w:val="auto"/>
                <w:kern w:val="0"/>
                <w:sz w:val="24"/>
              </w:rPr>
              <w:t>中的900-</w:t>
            </w:r>
            <w:r>
              <w:rPr>
                <w:rFonts w:hint="eastAsia"/>
                <w:bCs/>
                <w:color w:val="auto"/>
                <w:kern w:val="0"/>
                <w:sz w:val="24"/>
              </w:rPr>
              <w:t>041</w:t>
            </w:r>
            <w:r>
              <w:rPr>
                <w:rFonts w:hint="default"/>
                <w:bCs/>
                <w:color w:val="auto"/>
                <w:kern w:val="0"/>
                <w:sz w:val="24"/>
              </w:rPr>
              <w:t>-</w:t>
            </w:r>
            <w:r>
              <w:rPr>
                <w:rFonts w:hint="eastAsia"/>
                <w:bCs/>
                <w:color w:val="auto"/>
                <w:kern w:val="0"/>
                <w:sz w:val="24"/>
              </w:rPr>
              <w:t>49。</w:t>
            </w:r>
            <w:r>
              <w:rPr>
                <w:rFonts w:hint="default"/>
                <w:bCs/>
                <w:color w:val="auto"/>
                <w:kern w:val="0"/>
                <w:sz w:val="24"/>
              </w:rPr>
              <w:t>环评提出，</w:t>
            </w:r>
            <w:r>
              <w:rPr>
                <w:rFonts w:hint="eastAsia"/>
                <w:bCs/>
                <w:color w:val="auto"/>
                <w:kern w:val="0"/>
                <w:sz w:val="24"/>
              </w:rPr>
              <w:t>将</w:t>
            </w:r>
            <w:r>
              <w:rPr>
                <w:rFonts w:hint="eastAsia"/>
                <w:color w:val="auto"/>
                <w:kern w:val="0"/>
                <w:sz w:val="24"/>
              </w:rPr>
              <w:t>废胶</w:t>
            </w:r>
            <w:r>
              <w:rPr>
                <w:rFonts w:hint="eastAsia"/>
                <w:color w:val="auto"/>
                <w:kern w:val="0"/>
                <w:sz w:val="24"/>
                <w:lang w:val="en-US" w:eastAsia="zh-CN"/>
              </w:rPr>
              <w:t>水</w:t>
            </w:r>
            <w:r>
              <w:rPr>
                <w:rFonts w:hint="eastAsia"/>
                <w:color w:val="auto"/>
                <w:kern w:val="0"/>
                <w:sz w:val="24"/>
              </w:rPr>
              <w:t>桶使用专用密闭容器收集、</w:t>
            </w:r>
            <w:r>
              <w:rPr>
                <w:rFonts w:hint="default"/>
                <w:bCs/>
                <w:color w:val="auto"/>
                <w:kern w:val="0"/>
                <w:sz w:val="24"/>
              </w:rPr>
              <w:t>暂存于危险废物暂存间，定期委托</w:t>
            </w:r>
            <w:r>
              <w:rPr>
                <w:rFonts w:hint="eastAsia"/>
                <w:bCs/>
                <w:color w:val="auto"/>
                <w:kern w:val="0"/>
                <w:sz w:val="24"/>
              </w:rPr>
              <w:t>有资质的单位</w:t>
            </w:r>
            <w:r>
              <w:rPr>
                <w:rFonts w:hint="default"/>
                <w:bCs/>
                <w:color w:val="auto"/>
                <w:kern w:val="0"/>
                <w:sz w:val="24"/>
              </w:rPr>
              <w:t>清运处置</w:t>
            </w:r>
            <w:r>
              <w:rPr>
                <w:rFonts w:hint="eastAsia"/>
                <w:bCs/>
                <w:color w:val="auto"/>
                <w:kern w:val="0"/>
                <w:sz w:val="24"/>
              </w:rPr>
              <w:t>。</w:t>
            </w:r>
          </w:p>
          <w:p w14:paraId="01E6519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8"/>
                <w:highlight w:val="none"/>
                <w:lang w:val="en-US" w:eastAsia="zh-CN"/>
              </w:rPr>
            </w:pPr>
            <w:r>
              <w:rPr>
                <w:rFonts w:hint="eastAsia" w:cs="Times New Roman"/>
                <w:color w:val="auto"/>
                <w:sz w:val="24"/>
                <w:szCs w:val="28"/>
                <w:highlight w:val="none"/>
                <w:lang w:val="en-US" w:eastAsia="zh-CN"/>
              </w:rPr>
              <w:t>②</w:t>
            </w:r>
            <w:r>
              <w:rPr>
                <w:rFonts w:hint="eastAsia" w:ascii="Times New Roman" w:hAnsi="Times New Roman" w:cs="Times New Roman"/>
                <w:color w:val="auto"/>
                <w:sz w:val="24"/>
                <w:szCs w:val="28"/>
                <w:highlight w:val="none"/>
                <w:lang w:val="en-US" w:eastAsia="zh-CN"/>
              </w:rPr>
              <w:t>废活性炭</w:t>
            </w:r>
          </w:p>
          <w:p w14:paraId="32D1394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8"/>
                <w:highlight w:val="none"/>
                <w:lang w:val="en-US" w:eastAsia="zh-CN"/>
              </w:rPr>
            </w:pPr>
            <w:r>
              <w:rPr>
                <w:rFonts w:hint="default"/>
                <w:color w:val="auto"/>
                <w:kern w:val="2"/>
                <w:sz w:val="24"/>
                <w:szCs w:val="24"/>
              </w:rPr>
              <w:t>项目有机废气处理设置</w:t>
            </w:r>
            <w:r>
              <w:rPr>
                <w:rFonts w:hint="eastAsia"/>
                <w:color w:val="auto"/>
                <w:kern w:val="2"/>
                <w:sz w:val="24"/>
                <w:szCs w:val="24"/>
              </w:rPr>
              <w:t>UV光氧+</w:t>
            </w:r>
            <w:r>
              <w:rPr>
                <w:rFonts w:hint="default"/>
                <w:color w:val="auto"/>
                <w:kern w:val="2"/>
                <w:sz w:val="24"/>
                <w:szCs w:val="24"/>
              </w:rPr>
              <w:t>活性炭吸附。每三个月更换一次，更换量为50kg，则项目废活性炭产生量为0.2t/a</w:t>
            </w:r>
            <w:r>
              <w:rPr>
                <w:rFonts w:hint="default"/>
                <w:color w:val="auto"/>
                <w:sz w:val="24"/>
                <w:szCs w:val="24"/>
              </w:rPr>
              <w:t>。根据《国家危险废物名录》(</w:t>
            </w:r>
            <w:r>
              <w:rPr>
                <w:rFonts w:hint="eastAsia"/>
                <w:color w:val="auto"/>
                <w:sz w:val="24"/>
                <w:szCs w:val="24"/>
              </w:rPr>
              <w:t>2021年</w:t>
            </w:r>
            <w:r>
              <w:rPr>
                <w:rFonts w:hint="default"/>
                <w:color w:val="auto"/>
                <w:sz w:val="24"/>
                <w:szCs w:val="24"/>
              </w:rPr>
              <w:t>版)，</w:t>
            </w:r>
            <w:r>
              <w:rPr>
                <w:rFonts w:hint="eastAsia"/>
                <w:color w:val="auto"/>
                <w:sz w:val="24"/>
                <w:szCs w:val="24"/>
              </w:rPr>
              <w:t>废活性炭属于危险废物，废物类别</w:t>
            </w:r>
            <w:r>
              <w:rPr>
                <w:rFonts w:hint="default"/>
                <w:color w:val="auto"/>
                <w:sz w:val="24"/>
                <w:szCs w:val="24"/>
              </w:rPr>
              <w:t>为HW49</w:t>
            </w:r>
            <w:r>
              <w:rPr>
                <w:rFonts w:hint="eastAsia"/>
                <w:color w:val="auto"/>
                <w:sz w:val="24"/>
                <w:szCs w:val="24"/>
              </w:rPr>
              <w:t>，废物代码为</w:t>
            </w:r>
            <w:r>
              <w:rPr>
                <w:rFonts w:hint="default"/>
                <w:color w:val="auto"/>
                <w:sz w:val="24"/>
                <w:szCs w:val="24"/>
              </w:rPr>
              <w:t>900-</w:t>
            </w:r>
            <w:r>
              <w:rPr>
                <w:rFonts w:hint="eastAsia"/>
                <w:color w:val="auto"/>
                <w:sz w:val="24"/>
                <w:szCs w:val="24"/>
              </w:rPr>
              <w:t>039</w:t>
            </w:r>
            <w:r>
              <w:rPr>
                <w:rFonts w:hint="default"/>
                <w:color w:val="auto"/>
                <w:sz w:val="24"/>
                <w:szCs w:val="24"/>
              </w:rPr>
              <w:t>-49</w:t>
            </w:r>
            <w:r>
              <w:rPr>
                <w:rFonts w:hint="eastAsia"/>
                <w:color w:val="auto"/>
                <w:sz w:val="24"/>
                <w:szCs w:val="24"/>
              </w:rPr>
              <w:t>“VOCs治理过程产生的废活性炭”</w:t>
            </w:r>
            <w:r>
              <w:rPr>
                <w:rFonts w:hint="default"/>
                <w:color w:val="auto"/>
                <w:sz w:val="24"/>
                <w:szCs w:val="24"/>
              </w:rPr>
              <w:t>。经收集后暂存于危废暂存间，委托</w:t>
            </w:r>
            <w:r>
              <w:rPr>
                <w:rFonts w:hint="eastAsia"/>
                <w:color w:val="auto"/>
                <w:sz w:val="24"/>
                <w:szCs w:val="24"/>
              </w:rPr>
              <w:t>有资质的单位</w:t>
            </w:r>
            <w:r>
              <w:rPr>
                <w:rFonts w:hint="default"/>
                <w:color w:val="auto"/>
                <w:sz w:val="24"/>
                <w:szCs w:val="24"/>
              </w:rPr>
              <w:t>定期清运处置</w:t>
            </w:r>
            <w:r>
              <w:rPr>
                <w:rFonts w:hint="eastAsia"/>
                <w:color w:val="auto"/>
                <w:sz w:val="24"/>
                <w:szCs w:val="24"/>
              </w:rPr>
              <w:t>，</w:t>
            </w:r>
            <w:r>
              <w:rPr>
                <w:rFonts w:hint="eastAsia"/>
                <w:color w:val="auto"/>
                <w:kern w:val="2"/>
                <w:sz w:val="24"/>
                <w:szCs w:val="24"/>
              </w:rPr>
              <w:t>对环境影响较小</w:t>
            </w:r>
            <w:r>
              <w:rPr>
                <w:rFonts w:hint="default"/>
                <w:color w:val="auto"/>
                <w:kern w:val="2"/>
                <w:sz w:val="24"/>
                <w:szCs w:val="24"/>
              </w:rPr>
              <w:t>。</w:t>
            </w:r>
          </w:p>
          <w:p w14:paraId="1ED20785">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②废UV灯管</w:t>
            </w:r>
          </w:p>
          <w:p w14:paraId="3C7DAFE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sz w:val="24"/>
                <w:szCs w:val="28"/>
                <w:highlight w:val="none"/>
                <w:lang w:val="en-US" w:eastAsia="zh-CN"/>
              </w:rPr>
            </w:pPr>
            <w:r>
              <w:rPr>
                <w:rFonts w:hint="default"/>
                <w:bCs/>
                <w:color w:val="auto"/>
                <w:kern w:val="0"/>
                <w:sz w:val="24"/>
              </w:rPr>
              <w:t>项目有机废气采用UV光解装置处理，UV光解装置运行过程中会产生废UV灯管，为保证处理效率，平均</w:t>
            </w:r>
            <w:r>
              <w:rPr>
                <w:rFonts w:hint="eastAsia"/>
                <w:bCs/>
                <w:color w:val="auto"/>
                <w:kern w:val="0"/>
                <w:sz w:val="24"/>
              </w:rPr>
              <w:t>半</w:t>
            </w:r>
            <w:r>
              <w:rPr>
                <w:rFonts w:hint="default"/>
                <w:bCs/>
                <w:color w:val="auto"/>
                <w:kern w:val="0"/>
                <w:sz w:val="24"/>
              </w:rPr>
              <w:t>年</w:t>
            </w:r>
            <w:r>
              <w:rPr>
                <w:rFonts w:hint="eastAsia"/>
                <w:bCs/>
                <w:color w:val="auto"/>
                <w:kern w:val="0"/>
                <w:sz w:val="24"/>
              </w:rPr>
              <w:t>更</w:t>
            </w:r>
            <w:r>
              <w:rPr>
                <w:rFonts w:hint="default"/>
                <w:bCs/>
                <w:color w:val="auto"/>
                <w:kern w:val="0"/>
                <w:sz w:val="24"/>
              </w:rPr>
              <w:t>换一次，</w:t>
            </w:r>
            <w:r>
              <w:rPr>
                <w:rFonts w:hint="eastAsia"/>
                <w:bCs/>
                <w:color w:val="auto"/>
                <w:kern w:val="0"/>
                <w:sz w:val="24"/>
              </w:rPr>
              <w:t>更换一次</w:t>
            </w:r>
            <w:r>
              <w:rPr>
                <w:rFonts w:hint="default"/>
                <w:bCs/>
                <w:color w:val="auto"/>
                <w:kern w:val="0"/>
                <w:sz w:val="24"/>
              </w:rPr>
              <w:t>废UV灯管产生量约为</w:t>
            </w:r>
            <w:r>
              <w:rPr>
                <w:rFonts w:hint="eastAsia"/>
                <w:bCs/>
                <w:color w:val="auto"/>
                <w:kern w:val="0"/>
                <w:sz w:val="24"/>
              </w:rPr>
              <w:t>40kg，则废UV灯管产生量为0.08t/a。</w:t>
            </w:r>
            <w:r>
              <w:rPr>
                <w:rFonts w:hint="default"/>
                <w:bCs/>
                <w:color w:val="auto"/>
                <w:kern w:val="0"/>
                <w:sz w:val="24"/>
              </w:rPr>
              <w:t>根据《国家危险废物名录（2021年版）》，</w:t>
            </w:r>
            <w:r>
              <w:rPr>
                <w:rFonts w:hint="eastAsia"/>
                <w:color w:val="auto"/>
                <w:kern w:val="0"/>
                <w:sz w:val="24"/>
              </w:rPr>
              <w:t>废UV灯管</w:t>
            </w:r>
            <w:r>
              <w:rPr>
                <w:rFonts w:hint="default"/>
                <w:bCs/>
                <w:color w:val="auto"/>
                <w:kern w:val="0"/>
                <w:sz w:val="24"/>
              </w:rPr>
              <w:t>属HW</w:t>
            </w:r>
            <w:r>
              <w:rPr>
                <w:rFonts w:hint="eastAsia"/>
                <w:bCs/>
                <w:color w:val="auto"/>
                <w:kern w:val="0"/>
                <w:sz w:val="24"/>
              </w:rPr>
              <w:t>29含汞废物</w:t>
            </w:r>
            <w:r>
              <w:rPr>
                <w:rFonts w:hint="default"/>
                <w:bCs/>
                <w:color w:val="auto"/>
                <w:kern w:val="0"/>
                <w:sz w:val="24"/>
              </w:rPr>
              <w:t>中的900-</w:t>
            </w:r>
            <w:r>
              <w:rPr>
                <w:rFonts w:hint="eastAsia"/>
                <w:bCs/>
                <w:color w:val="auto"/>
                <w:kern w:val="0"/>
                <w:sz w:val="24"/>
              </w:rPr>
              <w:t>023</w:t>
            </w:r>
            <w:r>
              <w:rPr>
                <w:rFonts w:hint="default"/>
                <w:bCs/>
                <w:color w:val="auto"/>
                <w:kern w:val="0"/>
                <w:sz w:val="24"/>
              </w:rPr>
              <w:t>-</w:t>
            </w:r>
            <w:r>
              <w:rPr>
                <w:rFonts w:hint="eastAsia"/>
                <w:bCs/>
                <w:color w:val="auto"/>
                <w:kern w:val="0"/>
                <w:sz w:val="24"/>
              </w:rPr>
              <w:t>29。</w:t>
            </w:r>
            <w:r>
              <w:rPr>
                <w:rFonts w:hint="default"/>
                <w:bCs/>
                <w:color w:val="auto"/>
                <w:kern w:val="0"/>
                <w:sz w:val="24"/>
              </w:rPr>
              <w:t>环评提出，</w:t>
            </w:r>
            <w:r>
              <w:rPr>
                <w:rFonts w:hint="eastAsia"/>
                <w:bCs/>
                <w:color w:val="auto"/>
                <w:kern w:val="0"/>
                <w:sz w:val="24"/>
              </w:rPr>
              <w:t>将</w:t>
            </w:r>
            <w:r>
              <w:rPr>
                <w:rFonts w:hint="eastAsia"/>
                <w:color w:val="auto"/>
                <w:kern w:val="0"/>
                <w:sz w:val="24"/>
              </w:rPr>
              <w:t>废UV灯管使用专用密闭容器收集、</w:t>
            </w:r>
            <w:r>
              <w:rPr>
                <w:rFonts w:hint="default"/>
                <w:bCs/>
                <w:color w:val="auto"/>
                <w:kern w:val="0"/>
                <w:sz w:val="24"/>
              </w:rPr>
              <w:t>暂存于危险废物暂存间，定期委托</w:t>
            </w:r>
            <w:r>
              <w:rPr>
                <w:rFonts w:hint="eastAsia"/>
                <w:bCs/>
                <w:color w:val="auto"/>
                <w:kern w:val="0"/>
                <w:sz w:val="24"/>
              </w:rPr>
              <w:t>有资质的单位</w:t>
            </w:r>
            <w:r>
              <w:rPr>
                <w:rFonts w:hint="default"/>
                <w:bCs/>
                <w:color w:val="auto"/>
                <w:kern w:val="0"/>
                <w:sz w:val="24"/>
              </w:rPr>
              <w:t>清运处置</w:t>
            </w:r>
            <w:r>
              <w:rPr>
                <w:rFonts w:hint="eastAsia"/>
                <w:bCs/>
                <w:color w:val="auto"/>
                <w:kern w:val="0"/>
                <w:sz w:val="24"/>
              </w:rPr>
              <w:t>。</w:t>
            </w:r>
          </w:p>
          <w:p w14:paraId="7DB6C7E6">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fldChar w:fldCharType="begin"/>
            </w:r>
            <w:r>
              <w:rPr>
                <w:rFonts w:hint="eastAsia" w:ascii="Times New Roman" w:hAnsi="Times New Roman" w:cs="Times New Roman"/>
                <w:color w:val="auto"/>
                <w:sz w:val="24"/>
                <w:szCs w:val="28"/>
                <w:highlight w:val="none"/>
                <w:lang w:val="en-US" w:eastAsia="zh-CN"/>
              </w:rPr>
              <w:instrText xml:space="preserve"> = 3 \* GB3 \* MERGEFORMAT </w:instrText>
            </w:r>
            <w:r>
              <w:rPr>
                <w:rFonts w:hint="eastAsia" w:ascii="Times New Roman" w:hAnsi="Times New Roman" w:cs="Times New Roman"/>
                <w:color w:val="auto"/>
                <w:sz w:val="24"/>
                <w:szCs w:val="28"/>
                <w:highlight w:val="none"/>
                <w:lang w:val="en-US" w:eastAsia="zh-CN"/>
              </w:rPr>
              <w:fldChar w:fldCharType="separate"/>
            </w:r>
            <w:r>
              <w:rPr>
                <w:rFonts w:hint="default"/>
                <w:color w:val="auto"/>
                <w:highlight w:val="none"/>
              </w:rPr>
              <w:t>③</w:t>
            </w:r>
            <w:r>
              <w:rPr>
                <w:rFonts w:hint="eastAsia" w:ascii="Times New Roman" w:hAnsi="Times New Roman" w:cs="Times New Roman"/>
                <w:color w:val="auto"/>
                <w:sz w:val="24"/>
                <w:szCs w:val="28"/>
                <w:highlight w:val="none"/>
                <w:lang w:val="en-US" w:eastAsia="zh-CN"/>
              </w:rPr>
              <w:fldChar w:fldCharType="end"/>
            </w:r>
            <w:r>
              <w:rPr>
                <w:rFonts w:hint="eastAsia" w:cs="Times New Roman"/>
                <w:color w:val="auto"/>
                <w:sz w:val="24"/>
                <w:szCs w:val="28"/>
                <w:highlight w:val="none"/>
                <w:lang w:val="en-US" w:eastAsia="zh-CN"/>
              </w:rPr>
              <w:t>废矿物油</w:t>
            </w:r>
          </w:p>
          <w:p w14:paraId="25256ED6">
            <w:pPr>
              <w:keepNext w:val="0"/>
              <w:keepLines w:val="0"/>
              <w:suppressLineNumbers w:val="0"/>
              <w:spacing w:before="38" w:beforeAutospacing="0" w:after="0" w:afterAutospacing="0" w:line="390" w:lineRule="auto"/>
              <w:ind w:left="109" w:right="11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zh-CN"/>
              </w:rPr>
              <w:t>项目</w:t>
            </w:r>
            <w:r>
              <w:rPr>
                <w:rFonts w:hint="eastAsia" w:ascii="Times New Roman" w:hAnsi="Times New Roman" w:eastAsia="宋体" w:cs="Times New Roman"/>
                <w:color w:val="auto"/>
                <w:sz w:val="24"/>
                <w:lang w:val="zh-CN"/>
              </w:rPr>
              <w:t>设备维修保养过程产生废机油。</w:t>
            </w:r>
            <w:r>
              <w:rPr>
                <w:rFonts w:hint="default" w:ascii="Times New Roman" w:hAnsi="Times New Roman" w:eastAsia="宋体" w:cs="Times New Roman"/>
                <w:color w:val="auto"/>
                <w:sz w:val="24"/>
                <w:lang w:val="zh-CN"/>
              </w:rPr>
              <w:t>根据建设单位提供资料，</w:t>
            </w:r>
            <w:r>
              <w:rPr>
                <w:rFonts w:hint="eastAsia" w:ascii="Times New Roman" w:hAnsi="Times New Roman" w:eastAsia="宋体" w:cs="Times New Roman"/>
                <w:color w:val="auto"/>
                <w:sz w:val="24"/>
                <w:lang w:val="zh-CN"/>
              </w:rPr>
              <w:t>废机油</w:t>
            </w:r>
            <w:r>
              <w:rPr>
                <w:rFonts w:hint="default" w:ascii="Times New Roman" w:hAnsi="Times New Roman" w:eastAsia="宋体" w:cs="Times New Roman"/>
                <w:color w:val="auto"/>
                <w:sz w:val="24"/>
                <w:lang w:val="zh-CN"/>
              </w:rPr>
              <w:t>产生量约</w:t>
            </w:r>
            <w:r>
              <w:rPr>
                <w:rFonts w:hint="eastAsia" w:ascii="Times New Roman" w:hAnsi="Times New Roman" w:eastAsia="宋体" w:cs="Times New Roman"/>
                <w:color w:val="auto"/>
                <w:sz w:val="24"/>
                <w:lang w:val="zh-CN"/>
              </w:rPr>
              <w:t>为</w:t>
            </w:r>
            <w:r>
              <w:rPr>
                <w:rFonts w:hint="default" w:ascii="Times New Roman" w:hAnsi="Times New Roman" w:eastAsia="宋体" w:cs="Times New Roman"/>
                <w:color w:val="auto"/>
                <w:sz w:val="24"/>
                <w:lang w:val="zh-CN"/>
              </w:rPr>
              <w:t>0.</w:t>
            </w:r>
            <w:r>
              <w:rPr>
                <w:rFonts w:hint="eastAsia" w:ascii="Times New Roman" w:hAnsi="Times New Roman" w:eastAsia="宋体" w:cs="Times New Roman"/>
                <w:color w:val="auto"/>
                <w:sz w:val="24"/>
                <w:lang w:val="zh-CN"/>
              </w:rPr>
              <w:t>1</w:t>
            </w:r>
            <w:r>
              <w:rPr>
                <w:rFonts w:hint="default" w:ascii="Times New Roman" w:hAnsi="Times New Roman" w:eastAsia="宋体" w:cs="Times New Roman"/>
                <w:color w:val="auto"/>
                <w:sz w:val="24"/>
                <w:lang w:val="zh-CN"/>
              </w:rPr>
              <w:t>t/a</w:t>
            </w:r>
            <w:r>
              <w:rPr>
                <w:rFonts w:hint="eastAsia" w:ascii="Times New Roman" w:hAnsi="Times New Roman" w:eastAsia="宋体" w:cs="Times New Roman"/>
                <w:color w:val="auto"/>
                <w:sz w:val="24"/>
                <w:lang w:val="zh-CN" w:eastAsia="zh-CN"/>
              </w:rPr>
              <w:t>；</w:t>
            </w:r>
            <w:r>
              <w:rPr>
                <w:rFonts w:hint="eastAsia" w:ascii="Times New Roman" w:hAnsi="Times New Roman" w:eastAsia="宋体" w:cs="Times New Roman"/>
                <w:color w:val="auto"/>
                <w:sz w:val="24"/>
                <w:lang w:val="zh-CN"/>
              </w:rPr>
              <w:t>项目使用的导热油按每2年更换一次，更换一次产生量为0.5t，则废导热油产生量为0.25t/a。废机油</w:t>
            </w:r>
            <w:r>
              <w:rPr>
                <w:rFonts w:hint="eastAsia" w:ascii="Times New Roman" w:hAnsi="Times New Roman" w:eastAsia="宋体" w:cs="Times New Roman"/>
                <w:color w:val="auto"/>
                <w:sz w:val="24"/>
                <w:lang w:val="en-US" w:eastAsia="zh-CN"/>
              </w:rPr>
              <w:t>和废导热油均</w:t>
            </w:r>
            <w:r>
              <w:rPr>
                <w:rFonts w:hint="eastAsia" w:ascii="Times New Roman" w:hAnsi="Times New Roman" w:eastAsia="宋体" w:cs="Times New Roman"/>
                <w:color w:val="auto"/>
                <w:sz w:val="24"/>
                <w:lang w:val="zh-CN"/>
              </w:rPr>
              <w:t>属于废矿物油，</w:t>
            </w:r>
            <w:r>
              <w:rPr>
                <w:rFonts w:hint="default" w:ascii="Times New Roman" w:hAnsi="Times New Roman" w:eastAsia="宋体" w:cs="Times New Roman"/>
                <w:color w:val="auto"/>
                <w:sz w:val="24"/>
                <w:lang w:val="zh-CN"/>
              </w:rPr>
              <w:t>根据《国家危险废物名录（2021年版）》，</w:t>
            </w:r>
            <w:r>
              <w:rPr>
                <w:rFonts w:hint="eastAsia" w:ascii="Times New Roman" w:hAnsi="Times New Roman" w:eastAsia="宋体" w:cs="Times New Roman"/>
                <w:color w:val="auto"/>
                <w:sz w:val="24"/>
                <w:lang w:val="zh-CN"/>
              </w:rPr>
              <w:t>废矿物油</w:t>
            </w:r>
            <w:r>
              <w:rPr>
                <w:rFonts w:hint="default" w:ascii="Times New Roman" w:hAnsi="Times New Roman" w:eastAsia="宋体" w:cs="Times New Roman"/>
                <w:color w:val="auto"/>
                <w:sz w:val="24"/>
                <w:lang w:val="zh-CN"/>
              </w:rPr>
              <w:t>属HW</w:t>
            </w:r>
            <w:r>
              <w:rPr>
                <w:rFonts w:hint="eastAsia" w:ascii="Times New Roman" w:hAnsi="Times New Roman" w:eastAsia="宋体" w:cs="Times New Roman"/>
                <w:color w:val="auto"/>
                <w:sz w:val="24"/>
                <w:lang w:val="zh-CN"/>
              </w:rPr>
              <w:t>08废矿物油与含矿物油废物</w:t>
            </w:r>
            <w:r>
              <w:rPr>
                <w:rFonts w:hint="default" w:ascii="Times New Roman" w:hAnsi="Times New Roman" w:eastAsia="宋体" w:cs="Times New Roman"/>
                <w:color w:val="auto"/>
                <w:sz w:val="24"/>
                <w:lang w:val="zh-CN"/>
              </w:rPr>
              <w:t>中的900-</w:t>
            </w:r>
            <w:r>
              <w:rPr>
                <w:rFonts w:hint="eastAsia" w:ascii="Times New Roman" w:hAnsi="Times New Roman" w:eastAsia="宋体" w:cs="Times New Roman"/>
                <w:color w:val="auto"/>
                <w:sz w:val="24"/>
                <w:lang w:val="zh-CN"/>
              </w:rPr>
              <w:t>249</w:t>
            </w:r>
            <w:r>
              <w:rPr>
                <w:rFonts w:hint="default"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zh-CN"/>
              </w:rPr>
              <w:t>08。</w:t>
            </w:r>
            <w:r>
              <w:rPr>
                <w:rFonts w:hint="default" w:ascii="Times New Roman" w:hAnsi="Times New Roman" w:eastAsia="宋体" w:cs="Times New Roman"/>
                <w:color w:val="auto"/>
                <w:sz w:val="24"/>
                <w:lang w:val="zh-CN"/>
              </w:rPr>
              <w:t>环评提出，</w:t>
            </w:r>
            <w:r>
              <w:rPr>
                <w:rFonts w:hint="eastAsia" w:ascii="Times New Roman" w:hAnsi="Times New Roman" w:eastAsia="宋体" w:cs="Times New Roman"/>
                <w:color w:val="auto"/>
                <w:sz w:val="24"/>
                <w:lang w:val="zh-CN"/>
              </w:rPr>
              <w:t>将废矿物油使用专用密闭容器收集、</w:t>
            </w:r>
            <w:r>
              <w:rPr>
                <w:rFonts w:hint="default" w:ascii="Times New Roman" w:hAnsi="Times New Roman" w:eastAsia="宋体" w:cs="Times New Roman"/>
                <w:color w:val="auto"/>
                <w:sz w:val="24"/>
                <w:lang w:val="zh-CN"/>
              </w:rPr>
              <w:t>暂存于危险废物暂存间，定期委托</w:t>
            </w:r>
            <w:r>
              <w:rPr>
                <w:rFonts w:hint="eastAsia" w:ascii="Times New Roman" w:hAnsi="Times New Roman" w:eastAsia="宋体" w:cs="Times New Roman"/>
                <w:color w:val="auto"/>
                <w:sz w:val="24"/>
                <w:lang w:val="zh-CN"/>
              </w:rPr>
              <w:t>有资质的单位</w:t>
            </w:r>
            <w:r>
              <w:rPr>
                <w:rFonts w:hint="default" w:ascii="Times New Roman" w:hAnsi="Times New Roman" w:eastAsia="宋体" w:cs="Times New Roman"/>
                <w:color w:val="auto"/>
                <w:sz w:val="24"/>
                <w:lang w:val="zh-CN"/>
              </w:rPr>
              <w:t>清运处置</w:t>
            </w:r>
            <w:r>
              <w:rPr>
                <w:rFonts w:hint="eastAsia" w:ascii="Times New Roman" w:hAnsi="Times New Roman" w:eastAsia="宋体" w:cs="Times New Roman"/>
                <w:color w:val="auto"/>
                <w:sz w:val="24"/>
                <w:lang w:val="zh-CN"/>
              </w:rPr>
              <w:t>。</w:t>
            </w:r>
          </w:p>
          <w:p w14:paraId="01390D94">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ascii="Times New Roman" w:hAnsi="Times New Roman" w:eastAsia="宋体" w:cs="Times New Roman"/>
                <w:b/>
                <w:bCs/>
                <w:color w:val="auto"/>
                <w:sz w:val="24"/>
                <w:szCs w:val="28"/>
                <w:highlight w:val="none"/>
                <w:lang w:val="en-US" w:eastAsia="zh-CN"/>
              </w:rPr>
            </w:pPr>
            <w:r>
              <w:rPr>
                <w:rFonts w:hint="eastAsia" w:ascii="Times New Roman" w:hAnsi="Times New Roman" w:eastAsia="宋体" w:cs="Times New Roman"/>
                <w:b/>
                <w:bCs/>
                <w:color w:val="auto"/>
                <w:sz w:val="24"/>
                <w:szCs w:val="28"/>
                <w:highlight w:val="none"/>
                <w:lang w:val="en-US" w:eastAsia="zh-CN"/>
              </w:rPr>
              <w:t>（2）固体废物环境影响分析</w:t>
            </w:r>
          </w:p>
          <w:p w14:paraId="728A34E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本项目主要固废包括</w:t>
            </w:r>
            <w:r>
              <w:rPr>
                <w:rFonts w:hint="eastAsia" w:cs="Times New Roman"/>
                <w:color w:val="auto"/>
                <w:sz w:val="24"/>
                <w:szCs w:val="28"/>
                <w:highlight w:val="none"/>
                <w:lang w:val="en-US" w:eastAsia="zh-CN"/>
              </w:rPr>
              <w:t>不合格品、废边角料、废包装材料、生活垃圾、化粪池及污水处理站污泥、废活性炭、废胶水桶、</w:t>
            </w:r>
            <w:r>
              <w:rPr>
                <w:rFonts w:hint="eastAsia" w:ascii="Times New Roman" w:hAnsi="Times New Roman" w:cs="Times New Roman"/>
                <w:color w:val="auto"/>
                <w:sz w:val="24"/>
                <w:szCs w:val="28"/>
                <w:highlight w:val="none"/>
                <w:lang w:val="en-US" w:eastAsia="zh-CN"/>
              </w:rPr>
              <w:t>废UV灯管、</w:t>
            </w:r>
            <w:r>
              <w:rPr>
                <w:rFonts w:hint="eastAsia" w:cs="Times New Roman"/>
                <w:color w:val="auto"/>
                <w:sz w:val="24"/>
                <w:szCs w:val="28"/>
                <w:highlight w:val="none"/>
                <w:lang w:val="en-US" w:eastAsia="zh-CN"/>
              </w:rPr>
              <w:t>废矿物油</w:t>
            </w:r>
            <w:r>
              <w:rPr>
                <w:rFonts w:hint="default" w:ascii="Times New Roman" w:hAnsi="Times New Roman" w:cs="Times New Roman"/>
                <w:color w:val="auto"/>
                <w:sz w:val="24"/>
                <w:szCs w:val="28"/>
                <w:highlight w:val="none"/>
                <w:lang w:val="en-US" w:eastAsia="zh-CN"/>
              </w:rPr>
              <w:t>。</w:t>
            </w:r>
          </w:p>
          <w:p w14:paraId="1761B82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s="Times New Roman"/>
                <w:color w:val="auto"/>
                <w:sz w:val="24"/>
                <w:szCs w:val="28"/>
                <w:highlight w:val="none"/>
                <w:lang w:val="en-US" w:eastAsia="zh-CN"/>
              </w:rPr>
            </w:pPr>
            <w:r>
              <w:rPr>
                <w:rFonts w:hint="eastAsia" w:cs="Times New Roman"/>
                <w:color w:val="auto"/>
                <w:kern w:val="2"/>
                <w:sz w:val="24"/>
                <w:szCs w:val="30"/>
                <w:highlight w:val="none"/>
                <w:shd w:val="clear" w:color="auto" w:fill="auto"/>
                <w:lang w:val="en-US" w:eastAsia="zh-CN" w:bidi="ar-SA"/>
              </w:rPr>
              <w:t>项目</w:t>
            </w:r>
            <w:r>
              <w:rPr>
                <w:rFonts w:hint="eastAsia" w:cs="Times New Roman"/>
                <w:color w:val="auto"/>
                <w:sz w:val="24"/>
                <w:szCs w:val="28"/>
                <w:highlight w:val="none"/>
                <w:lang w:val="en-US" w:eastAsia="zh-CN"/>
              </w:rPr>
              <w:t>不合格品、废三聚氰胺纸</w:t>
            </w:r>
            <w:r>
              <w:rPr>
                <w:rFonts w:hint="eastAsia" w:ascii="Times New Roman" w:hAnsi="Times New Roman" w:eastAsia="宋体" w:cs="Times New Roman"/>
                <w:color w:val="auto"/>
                <w:kern w:val="2"/>
                <w:sz w:val="24"/>
                <w:szCs w:val="30"/>
                <w:highlight w:val="none"/>
                <w:shd w:val="clear" w:color="auto" w:fill="auto"/>
                <w:lang w:val="en-US" w:eastAsia="zh-CN" w:bidi="ar-SA"/>
              </w:rPr>
              <w:t>收集</w:t>
            </w:r>
            <w:r>
              <w:rPr>
                <w:rFonts w:hint="eastAsia" w:cs="Times New Roman"/>
                <w:color w:val="auto"/>
                <w:kern w:val="2"/>
                <w:sz w:val="24"/>
                <w:szCs w:val="30"/>
                <w:highlight w:val="none"/>
                <w:shd w:val="clear" w:color="auto" w:fill="auto"/>
                <w:lang w:val="en-US" w:eastAsia="zh-CN" w:bidi="ar-SA"/>
              </w:rPr>
              <w:t>于垃圾桶内，与生活垃圾一并委托环卫部门清运处置</w:t>
            </w:r>
            <w:r>
              <w:rPr>
                <w:rFonts w:hint="eastAsia" w:ascii="Times New Roman" w:hAnsi="Times New Roman" w:eastAsia="宋体" w:cs="Times New Roman"/>
                <w:color w:val="auto"/>
                <w:sz w:val="24"/>
                <w:highlight w:val="none"/>
                <w:shd w:val="clear" w:color="auto" w:fill="auto"/>
                <w:lang w:val="en-US" w:eastAsia="zh-CN"/>
              </w:rPr>
              <w:t>。</w:t>
            </w:r>
            <w:r>
              <w:rPr>
                <w:rFonts w:hint="eastAsia" w:cs="Times New Roman"/>
                <w:color w:val="auto"/>
                <w:sz w:val="24"/>
                <w:szCs w:val="28"/>
                <w:highlight w:val="none"/>
                <w:lang w:val="en-US" w:eastAsia="zh-CN"/>
              </w:rPr>
              <w:t>废包装材料</w:t>
            </w:r>
            <w:r>
              <w:rPr>
                <w:rFonts w:hint="eastAsia" w:ascii="Times New Roman" w:hAnsi="Times New Roman" w:cs="Times New Roman"/>
                <w:color w:val="auto"/>
                <w:kern w:val="2"/>
                <w:sz w:val="24"/>
                <w:szCs w:val="30"/>
                <w:highlight w:val="none"/>
                <w:shd w:val="clear" w:color="auto" w:fill="auto"/>
                <w:lang w:val="en-US" w:eastAsia="zh-CN" w:bidi="ar-SA"/>
              </w:rPr>
              <w:t>收集</w:t>
            </w:r>
            <w:r>
              <w:rPr>
                <w:rFonts w:hint="eastAsia" w:ascii="Times New Roman" w:hAnsi="Times New Roman" w:eastAsia="宋体" w:cs="Times New Roman"/>
                <w:color w:val="auto"/>
                <w:kern w:val="2"/>
                <w:sz w:val="24"/>
                <w:szCs w:val="30"/>
                <w:highlight w:val="none"/>
                <w:shd w:val="clear" w:color="auto" w:fill="auto"/>
                <w:lang w:val="en-US" w:eastAsia="zh-CN" w:bidi="ar-SA"/>
              </w:rPr>
              <w:t>暂存于一般固废暂存间，定期出售给废品收购商</w:t>
            </w:r>
            <w:r>
              <w:rPr>
                <w:rFonts w:hint="eastAsia"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cs="Times New Roman"/>
                <w:color w:val="auto"/>
                <w:sz w:val="24"/>
                <w:szCs w:val="28"/>
                <w:highlight w:val="none"/>
                <w:lang w:val="en-US" w:eastAsia="zh-CN"/>
              </w:rPr>
              <w:t>化粪池及污水处理站污泥</w:t>
            </w:r>
            <w:r>
              <w:rPr>
                <w:rFonts w:hint="default" w:ascii="Times New Roman" w:hAnsi="Times New Roman" w:eastAsia="宋体" w:cs="Times New Roman"/>
                <w:bCs/>
                <w:color w:val="auto"/>
                <w:kern w:val="0"/>
                <w:sz w:val="24"/>
                <w:szCs w:val="24"/>
                <w:highlight w:val="none"/>
              </w:rPr>
              <w:t>委托当地环卫部门清掏清运处置。</w:t>
            </w:r>
            <w:r>
              <w:rPr>
                <w:rFonts w:hint="eastAsia" w:cs="Times New Roman"/>
                <w:b w:val="0"/>
                <w:bCs w:val="0"/>
                <w:color w:val="auto"/>
                <w:kern w:val="2"/>
                <w:sz w:val="24"/>
                <w:szCs w:val="30"/>
                <w:highlight w:val="none"/>
                <w:shd w:val="clear" w:color="auto" w:fill="auto"/>
                <w:lang w:val="en-US" w:eastAsia="zh-CN" w:bidi="ar-SA"/>
              </w:rPr>
              <w:t>生活垃圾</w:t>
            </w:r>
            <w:r>
              <w:rPr>
                <w:rFonts w:hint="eastAsia" w:ascii="Times New Roman" w:hAnsi="Times New Roman" w:cs="Times New Roman"/>
                <w:color w:val="auto"/>
                <w:sz w:val="24"/>
                <w:szCs w:val="28"/>
                <w:highlight w:val="none"/>
                <w:lang w:val="en-US" w:eastAsia="zh-CN"/>
              </w:rPr>
              <w:t>集中收集于垃圾桶内，定期委托环卫部门清运处置</w:t>
            </w:r>
            <w:r>
              <w:rPr>
                <w:rFonts w:hint="default" w:ascii="Times New Roman" w:hAnsi="Times New Roman" w:eastAsia="宋体" w:cs="Times New Roman"/>
                <w:color w:val="auto"/>
                <w:kern w:val="2"/>
                <w:sz w:val="24"/>
                <w:szCs w:val="30"/>
                <w:highlight w:val="none"/>
                <w:shd w:val="clear" w:color="auto" w:fill="auto"/>
                <w:lang w:val="zh-CN" w:eastAsia="zh-CN" w:bidi="ar-SA"/>
              </w:rPr>
              <w:t>。</w:t>
            </w:r>
            <w:r>
              <w:rPr>
                <w:rFonts w:hint="eastAsia" w:cs="Times New Roman"/>
                <w:color w:val="auto"/>
                <w:sz w:val="24"/>
                <w:szCs w:val="28"/>
                <w:highlight w:val="none"/>
                <w:lang w:val="en-US" w:eastAsia="zh-CN"/>
              </w:rPr>
              <w:t>废活性炭、</w:t>
            </w:r>
            <w:r>
              <w:rPr>
                <w:rFonts w:hint="eastAsia" w:ascii="Times New Roman" w:hAnsi="Times New Roman" w:cs="Times New Roman"/>
                <w:color w:val="auto"/>
                <w:sz w:val="24"/>
                <w:szCs w:val="28"/>
                <w:highlight w:val="none"/>
                <w:lang w:val="en-US" w:eastAsia="zh-CN"/>
              </w:rPr>
              <w:t>废UV灯管、</w:t>
            </w:r>
            <w:r>
              <w:rPr>
                <w:rFonts w:hint="eastAsia" w:cs="Times New Roman"/>
                <w:color w:val="auto"/>
                <w:sz w:val="24"/>
                <w:szCs w:val="28"/>
                <w:highlight w:val="none"/>
                <w:lang w:val="en-US" w:eastAsia="zh-CN"/>
              </w:rPr>
              <w:t>废矿物油分类收集后</w:t>
            </w:r>
            <w:r>
              <w:rPr>
                <w:rFonts w:hint="default" w:ascii="Times New Roman" w:hAnsi="Times New Roman" w:cs="Times New Roman"/>
                <w:color w:val="auto"/>
                <w:sz w:val="24"/>
                <w:szCs w:val="28"/>
                <w:highlight w:val="none"/>
                <w:lang w:val="en-US" w:eastAsia="zh-CN"/>
              </w:rPr>
              <w:t>暂存于</w:t>
            </w:r>
            <w:r>
              <w:rPr>
                <w:rFonts w:hint="eastAsia"/>
                <w:color w:val="auto"/>
                <w:sz w:val="24"/>
                <w:highlight w:val="none"/>
                <w:lang w:val="en-US" w:eastAsia="zh-CN"/>
              </w:rPr>
              <w:t>危险废物暂存间内</w:t>
            </w:r>
            <w:r>
              <w:rPr>
                <w:rFonts w:hint="default" w:ascii="Times New Roman" w:hAnsi="Times New Roman" w:cs="Times New Roman"/>
                <w:color w:val="auto"/>
                <w:sz w:val="24"/>
                <w:szCs w:val="28"/>
                <w:highlight w:val="none"/>
                <w:lang w:val="en-US" w:eastAsia="zh-CN"/>
              </w:rPr>
              <w:t>，定期委托有资质</w:t>
            </w:r>
            <w:r>
              <w:rPr>
                <w:rFonts w:hint="eastAsia" w:cs="Times New Roman"/>
                <w:color w:val="auto"/>
                <w:sz w:val="24"/>
                <w:szCs w:val="28"/>
                <w:highlight w:val="none"/>
                <w:lang w:val="en-US" w:eastAsia="zh-CN"/>
              </w:rPr>
              <w:t>的</w:t>
            </w:r>
            <w:r>
              <w:rPr>
                <w:rFonts w:hint="default" w:ascii="Times New Roman" w:hAnsi="Times New Roman" w:cs="Times New Roman"/>
                <w:color w:val="auto"/>
                <w:sz w:val="24"/>
                <w:szCs w:val="28"/>
                <w:highlight w:val="none"/>
                <w:lang w:val="en-US" w:eastAsia="zh-CN"/>
              </w:rPr>
              <w:t>单位</w:t>
            </w:r>
            <w:r>
              <w:rPr>
                <w:rFonts w:hint="eastAsia" w:cs="Times New Roman"/>
                <w:color w:val="auto"/>
                <w:sz w:val="24"/>
                <w:szCs w:val="28"/>
                <w:highlight w:val="none"/>
                <w:lang w:val="en-US" w:eastAsia="zh-CN"/>
              </w:rPr>
              <w:t>清运处置。</w:t>
            </w:r>
          </w:p>
          <w:p w14:paraId="73B4FFDD">
            <w:pPr>
              <w:keepNext w:val="0"/>
              <w:keepLines w:val="0"/>
              <w:suppressLineNumbers w:val="0"/>
              <w:autoSpaceDE w:val="0"/>
              <w:autoSpaceDN w:val="0"/>
              <w:adjustRightInd w:val="0"/>
              <w:snapToGrid w:val="0"/>
              <w:spacing w:before="0" w:beforeAutospacing="0" w:after="0" w:afterAutospacing="0" w:line="351" w:lineRule="auto"/>
              <w:ind w:left="0" w:right="0" w:firstLine="360" w:firstLineChars="150"/>
              <w:rPr>
                <w:rStyle w:val="68"/>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运营期固体废物处置措施见</w:t>
            </w:r>
            <w:r>
              <w:rPr>
                <w:rFonts w:hint="eastAsia" w:cs="Times New Roman"/>
                <w:color w:val="auto"/>
                <w:sz w:val="24"/>
                <w:highlight w:val="none"/>
                <w:lang w:val="en-US" w:eastAsia="zh-CN"/>
              </w:rPr>
              <w:t>下表</w:t>
            </w:r>
            <w:r>
              <w:rPr>
                <w:rFonts w:hint="default" w:ascii="Times New Roman" w:hAnsi="Times New Roman" w:eastAsia="宋体" w:cs="Times New Roman"/>
                <w:color w:val="auto"/>
                <w:sz w:val="24"/>
                <w:highlight w:val="none"/>
              </w:rPr>
              <w:t>。</w:t>
            </w:r>
          </w:p>
          <w:p w14:paraId="3EBE849B">
            <w:pPr>
              <w:pStyle w:val="6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68"/>
                <w:rFonts w:hint="default" w:ascii="Times New Roman" w:hAnsi="Times New Roman" w:eastAsia="宋体" w:cs="Times New Roman"/>
                <w:b/>
                <w:bCs w:val="0"/>
                <w:color w:val="auto"/>
                <w:sz w:val="21"/>
                <w:szCs w:val="21"/>
                <w:highlight w:val="none"/>
                <w:lang w:val="en-US" w:eastAsia="zh-CN"/>
              </w:rPr>
            </w:pPr>
            <w:r>
              <w:rPr>
                <w:rStyle w:val="68"/>
                <w:rFonts w:hint="default" w:ascii="Times New Roman" w:hAnsi="Times New Roman" w:eastAsia="宋体" w:cs="Times New Roman"/>
                <w:b/>
                <w:bCs w:val="0"/>
                <w:color w:val="auto"/>
                <w:sz w:val="21"/>
                <w:szCs w:val="21"/>
                <w:highlight w:val="none"/>
                <w:lang w:val="en-US" w:eastAsia="zh-CN"/>
              </w:rPr>
              <w:t>表</w:t>
            </w:r>
            <w:r>
              <w:rPr>
                <w:rStyle w:val="68"/>
                <w:rFonts w:hint="eastAsia" w:cs="Times New Roman"/>
                <w:b/>
                <w:bCs w:val="0"/>
                <w:color w:val="auto"/>
                <w:sz w:val="21"/>
                <w:szCs w:val="21"/>
                <w:highlight w:val="none"/>
                <w:lang w:val="en-US" w:eastAsia="zh-CN"/>
              </w:rPr>
              <w:t>4-15</w:t>
            </w:r>
            <w:r>
              <w:rPr>
                <w:rStyle w:val="68"/>
                <w:rFonts w:hint="default" w:ascii="Times New Roman" w:hAnsi="Times New Roman" w:eastAsia="宋体" w:cs="Times New Roman"/>
                <w:b/>
                <w:bCs w:val="0"/>
                <w:color w:val="auto"/>
                <w:sz w:val="21"/>
                <w:szCs w:val="21"/>
                <w:highlight w:val="none"/>
                <w:lang w:val="en-US" w:eastAsia="zh-CN"/>
              </w:rPr>
              <w:t xml:space="preserve">  本项目固体废弃物处置情况</w:t>
            </w:r>
          </w:p>
          <w:tbl>
            <w:tblPr>
              <w:tblStyle w:val="31"/>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267"/>
              <w:gridCol w:w="705"/>
              <w:gridCol w:w="690"/>
              <w:gridCol w:w="615"/>
              <w:gridCol w:w="690"/>
              <w:gridCol w:w="686"/>
              <w:gridCol w:w="1114"/>
              <w:gridCol w:w="1114"/>
              <w:gridCol w:w="1114"/>
              <w:gridCol w:w="1114"/>
            </w:tblGrid>
            <w:tr w14:paraId="5EB0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6FFF1D08">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产污环节</w:t>
                  </w:r>
                </w:p>
              </w:tc>
              <w:tc>
                <w:tcPr>
                  <w:tcW w:w="705" w:type="dxa"/>
                  <w:vAlign w:val="center"/>
                </w:tcPr>
                <w:p w14:paraId="038C0919">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切纸工序</w:t>
                  </w:r>
                </w:p>
                <w:p w14:paraId="0998A8B2">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p>
              </w:tc>
              <w:tc>
                <w:tcPr>
                  <w:tcW w:w="690" w:type="dxa"/>
                  <w:vAlign w:val="center"/>
                </w:tcPr>
                <w:p w14:paraId="401BAE82">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化粪池、污水处理站</w:t>
                  </w:r>
                </w:p>
              </w:tc>
              <w:tc>
                <w:tcPr>
                  <w:tcW w:w="615" w:type="dxa"/>
                  <w:vAlign w:val="center"/>
                </w:tcPr>
                <w:p w14:paraId="2A6EEC84">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员工生活</w:t>
                  </w:r>
                </w:p>
              </w:tc>
              <w:tc>
                <w:tcPr>
                  <w:tcW w:w="690" w:type="dxa"/>
                  <w:vAlign w:val="center"/>
                </w:tcPr>
                <w:p w14:paraId="52CD6393">
                  <w:pPr>
                    <w:pStyle w:val="67"/>
                    <w:keepNext w:val="0"/>
                    <w:keepLines w:val="0"/>
                    <w:suppressLineNumbers w:val="0"/>
                    <w:adjustRightInd w:val="0"/>
                    <w:snapToGrid w:val="0"/>
                    <w:spacing w:before="0" w:beforeAutospacing="0" w:after="0" w:afterAutospacing="0"/>
                    <w:ind w:left="0" w:right="0"/>
                    <w:rPr>
                      <w:rStyle w:val="68"/>
                      <w:rFonts w:hint="eastAsia" w:eastAsia="宋体"/>
                      <w:bCs/>
                      <w:color w:val="auto"/>
                      <w:szCs w:val="21"/>
                      <w:lang w:eastAsia="zh-CN"/>
                    </w:rPr>
                  </w:pPr>
                  <w:r>
                    <w:rPr>
                      <w:rStyle w:val="68"/>
                      <w:rFonts w:hint="eastAsia"/>
                      <w:bCs/>
                      <w:color w:val="auto"/>
                      <w:szCs w:val="21"/>
                      <w:lang w:val="en-US" w:eastAsia="zh-CN"/>
                    </w:rPr>
                    <w:t>检验</w:t>
                  </w:r>
                </w:p>
              </w:tc>
              <w:tc>
                <w:tcPr>
                  <w:tcW w:w="686" w:type="dxa"/>
                  <w:vAlign w:val="center"/>
                </w:tcPr>
                <w:p w14:paraId="0E6216ED">
                  <w:pPr>
                    <w:pStyle w:val="67"/>
                    <w:keepNext w:val="0"/>
                    <w:keepLines w:val="0"/>
                    <w:suppressLineNumbers w:val="0"/>
                    <w:adjustRightInd w:val="0"/>
                    <w:snapToGrid w:val="0"/>
                    <w:spacing w:before="0" w:beforeAutospacing="0" w:after="0" w:afterAutospacing="0"/>
                    <w:ind w:left="0" w:right="0"/>
                    <w:rPr>
                      <w:rStyle w:val="68"/>
                      <w:rFonts w:hint="default" w:eastAsia="宋体"/>
                      <w:bCs/>
                      <w:color w:val="auto"/>
                      <w:szCs w:val="21"/>
                      <w:lang w:val="en-US" w:eastAsia="zh-CN"/>
                    </w:rPr>
                  </w:pPr>
                  <w:r>
                    <w:rPr>
                      <w:rStyle w:val="68"/>
                      <w:rFonts w:hint="eastAsia"/>
                      <w:bCs/>
                      <w:color w:val="auto"/>
                      <w:szCs w:val="21"/>
                      <w:lang w:val="en-US" w:eastAsia="zh-CN"/>
                    </w:rPr>
                    <w:t>拆包和包装</w:t>
                  </w:r>
                </w:p>
              </w:tc>
              <w:tc>
                <w:tcPr>
                  <w:tcW w:w="1114" w:type="dxa"/>
                  <w:vAlign w:val="center"/>
                </w:tcPr>
                <w:p w14:paraId="43944DAA">
                  <w:pPr>
                    <w:pStyle w:val="67"/>
                    <w:keepNext w:val="0"/>
                    <w:keepLines w:val="0"/>
                    <w:suppressLineNumbers w:val="0"/>
                    <w:adjustRightInd w:val="0"/>
                    <w:snapToGrid w:val="0"/>
                    <w:spacing w:before="0" w:beforeAutospacing="0" w:after="0" w:afterAutospacing="0"/>
                    <w:ind w:left="0" w:right="0"/>
                    <w:rPr>
                      <w:rStyle w:val="68"/>
                      <w:rFonts w:hint="eastAsia" w:eastAsia="宋体"/>
                      <w:bCs/>
                      <w:color w:val="auto"/>
                      <w:szCs w:val="21"/>
                      <w:lang w:eastAsia="zh-CN"/>
                    </w:rPr>
                  </w:pPr>
                  <w:r>
                    <w:rPr>
                      <w:rStyle w:val="68"/>
                      <w:rFonts w:hint="eastAsia"/>
                      <w:bCs/>
                      <w:color w:val="auto"/>
                      <w:szCs w:val="21"/>
                      <w:lang w:val="en-US" w:eastAsia="zh-CN"/>
                    </w:rPr>
                    <w:t>调胶</w:t>
                  </w:r>
                </w:p>
              </w:tc>
              <w:tc>
                <w:tcPr>
                  <w:tcW w:w="1114" w:type="dxa"/>
                  <w:vAlign w:val="center"/>
                </w:tcPr>
                <w:p w14:paraId="787CC502">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有机废气处理</w:t>
                  </w:r>
                </w:p>
              </w:tc>
              <w:tc>
                <w:tcPr>
                  <w:tcW w:w="1114" w:type="dxa"/>
                  <w:vAlign w:val="center"/>
                </w:tcPr>
                <w:p w14:paraId="4D6FDFA3">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有机废气处理</w:t>
                  </w:r>
                </w:p>
              </w:tc>
              <w:tc>
                <w:tcPr>
                  <w:tcW w:w="1114" w:type="dxa"/>
                  <w:vAlign w:val="center"/>
                </w:tcPr>
                <w:p w14:paraId="4BBDCD4B">
                  <w:pPr>
                    <w:pStyle w:val="67"/>
                    <w:keepNext w:val="0"/>
                    <w:keepLines w:val="0"/>
                    <w:suppressLineNumbers w:val="0"/>
                    <w:adjustRightInd w:val="0"/>
                    <w:snapToGrid w:val="0"/>
                    <w:spacing w:before="0" w:beforeAutospacing="0" w:after="0" w:afterAutospacing="0"/>
                    <w:ind w:left="0" w:right="0"/>
                    <w:rPr>
                      <w:rStyle w:val="68"/>
                      <w:rFonts w:hint="default" w:eastAsia="宋体"/>
                      <w:bCs/>
                      <w:color w:val="auto"/>
                      <w:szCs w:val="21"/>
                      <w:lang w:val="en-US" w:eastAsia="zh-CN"/>
                    </w:rPr>
                  </w:pPr>
                  <w:r>
                    <w:rPr>
                      <w:rStyle w:val="68"/>
                      <w:rFonts w:hint="eastAsia"/>
                      <w:bCs/>
                      <w:color w:val="auto"/>
                      <w:szCs w:val="21"/>
                    </w:rPr>
                    <w:t>设备维修保养</w:t>
                  </w:r>
                  <w:r>
                    <w:rPr>
                      <w:rStyle w:val="68"/>
                      <w:rFonts w:hint="eastAsia"/>
                      <w:bCs/>
                      <w:color w:val="auto"/>
                      <w:szCs w:val="21"/>
                      <w:lang w:eastAsia="zh-CN"/>
                    </w:rPr>
                    <w:t>、</w:t>
                  </w:r>
                  <w:r>
                    <w:rPr>
                      <w:rStyle w:val="68"/>
                      <w:rFonts w:hint="eastAsia"/>
                      <w:bCs/>
                      <w:color w:val="auto"/>
                      <w:szCs w:val="21"/>
                      <w:lang w:val="en-US" w:eastAsia="zh-CN"/>
                    </w:rPr>
                    <w:t>导热油更换</w:t>
                  </w:r>
                </w:p>
              </w:tc>
            </w:tr>
            <w:tr w14:paraId="1E82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29FC2EE3">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名称</w:t>
                  </w:r>
                </w:p>
              </w:tc>
              <w:tc>
                <w:tcPr>
                  <w:tcW w:w="705" w:type="dxa"/>
                  <w:vAlign w:val="center"/>
                </w:tcPr>
                <w:p w14:paraId="6DBF5E0F">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废边角料</w:t>
                  </w:r>
                </w:p>
                <w:p w14:paraId="0DE9B1DD">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p>
              </w:tc>
              <w:tc>
                <w:tcPr>
                  <w:tcW w:w="690" w:type="dxa"/>
                  <w:vAlign w:val="center"/>
                </w:tcPr>
                <w:p w14:paraId="78292792">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污泥</w:t>
                  </w:r>
                </w:p>
              </w:tc>
              <w:tc>
                <w:tcPr>
                  <w:tcW w:w="615" w:type="dxa"/>
                  <w:vAlign w:val="center"/>
                </w:tcPr>
                <w:p w14:paraId="67D00816">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生活垃圾</w:t>
                  </w:r>
                </w:p>
              </w:tc>
              <w:tc>
                <w:tcPr>
                  <w:tcW w:w="690" w:type="dxa"/>
                  <w:vAlign w:val="center"/>
                </w:tcPr>
                <w:p w14:paraId="648402E6">
                  <w:pPr>
                    <w:pStyle w:val="67"/>
                    <w:keepNext w:val="0"/>
                    <w:keepLines w:val="0"/>
                    <w:suppressLineNumbers w:val="0"/>
                    <w:adjustRightInd w:val="0"/>
                    <w:snapToGrid w:val="0"/>
                    <w:spacing w:before="0" w:beforeAutospacing="0" w:after="0" w:afterAutospacing="0"/>
                    <w:ind w:left="0" w:right="0"/>
                    <w:rPr>
                      <w:rStyle w:val="68"/>
                      <w:rFonts w:hint="default" w:eastAsia="宋体"/>
                      <w:bCs/>
                      <w:color w:val="auto"/>
                      <w:szCs w:val="21"/>
                      <w:lang w:val="en-US" w:eastAsia="zh-CN"/>
                    </w:rPr>
                  </w:pPr>
                  <w:r>
                    <w:rPr>
                      <w:rStyle w:val="68"/>
                      <w:rFonts w:hint="eastAsia"/>
                      <w:bCs/>
                      <w:color w:val="auto"/>
                      <w:szCs w:val="21"/>
                      <w:lang w:val="en-US" w:eastAsia="zh-CN"/>
                    </w:rPr>
                    <w:t>不合格产品</w:t>
                  </w:r>
                </w:p>
              </w:tc>
              <w:tc>
                <w:tcPr>
                  <w:tcW w:w="686" w:type="dxa"/>
                  <w:vAlign w:val="center"/>
                </w:tcPr>
                <w:p w14:paraId="002C0082">
                  <w:pPr>
                    <w:pStyle w:val="67"/>
                    <w:keepNext w:val="0"/>
                    <w:keepLines w:val="0"/>
                    <w:suppressLineNumbers w:val="0"/>
                    <w:adjustRightInd w:val="0"/>
                    <w:snapToGrid w:val="0"/>
                    <w:spacing w:before="0" w:beforeAutospacing="0" w:after="0" w:afterAutospacing="0"/>
                    <w:ind w:left="0" w:right="0"/>
                    <w:rPr>
                      <w:rStyle w:val="68"/>
                      <w:rFonts w:hint="eastAsia" w:eastAsia="宋体"/>
                      <w:bCs/>
                      <w:color w:val="auto"/>
                      <w:szCs w:val="21"/>
                      <w:lang w:eastAsia="zh-CN"/>
                    </w:rPr>
                  </w:pPr>
                  <w:r>
                    <w:rPr>
                      <w:rStyle w:val="68"/>
                      <w:rFonts w:hint="default"/>
                      <w:bCs/>
                      <w:color w:val="auto"/>
                      <w:szCs w:val="21"/>
                    </w:rPr>
                    <w:t>废</w:t>
                  </w:r>
                  <w:r>
                    <w:rPr>
                      <w:rStyle w:val="68"/>
                      <w:rFonts w:hint="eastAsia"/>
                      <w:bCs/>
                      <w:color w:val="auto"/>
                      <w:szCs w:val="21"/>
                      <w:lang w:val="en-US" w:eastAsia="zh-CN"/>
                    </w:rPr>
                    <w:t>包装材料</w:t>
                  </w:r>
                </w:p>
              </w:tc>
              <w:tc>
                <w:tcPr>
                  <w:tcW w:w="1114" w:type="dxa"/>
                  <w:vAlign w:val="center"/>
                </w:tcPr>
                <w:p w14:paraId="787908FC">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废</w:t>
                  </w:r>
                  <w:r>
                    <w:rPr>
                      <w:rStyle w:val="68"/>
                      <w:rFonts w:hint="eastAsia"/>
                      <w:bCs/>
                      <w:color w:val="auto"/>
                      <w:szCs w:val="21"/>
                      <w:lang w:val="en-US" w:eastAsia="zh-CN"/>
                    </w:rPr>
                    <w:t>胶水</w:t>
                  </w:r>
                  <w:r>
                    <w:rPr>
                      <w:rStyle w:val="68"/>
                      <w:rFonts w:hint="eastAsia"/>
                      <w:bCs/>
                      <w:color w:val="auto"/>
                      <w:szCs w:val="21"/>
                    </w:rPr>
                    <w:t>桶</w:t>
                  </w:r>
                </w:p>
              </w:tc>
              <w:tc>
                <w:tcPr>
                  <w:tcW w:w="1114" w:type="dxa"/>
                  <w:vAlign w:val="center"/>
                </w:tcPr>
                <w:p w14:paraId="520051B3">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废活性炭</w:t>
                  </w:r>
                </w:p>
              </w:tc>
              <w:tc>
                <w:tcPr>
                  <w:tcW w:w="1114" w:type="dxa"/>
                  <w:vAlign w:val="center"/>
                </w:tcPr>
                <w:p w14:paraId="175913E9">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废UV灯管</w:t>
                  </w:r>
                </w:p>
              </w:tc>
              <w:tc>
                <w:tcPr>
                  <w:tcW w:w="1114" w:type="dxa"/>
                  <w:vAlign w:val="center"/>
                </w:tcPr>
                <w:p w14:paraId="43A6A3AA">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废矿物油</w:t>
                  </w:r>
                </w:p>
              </w:tc>
            </w:tr>
            <w:tr w14:paraId="1AF4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Merge w:val="restart"/>
                  <w:vAlign w:val="center"/>
                </w:tcPr>
                <w:p w14:paraId="14C20EC3">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属性</w:t>
                  </w:r>
                </w:p>
              </w:tc>
              <w:tc>
                <w:tcPr>
                  <w:tcW w:w="267" w:type="dxa"/>
                  <w:vAlign w:val="center"/>
                </w:tcPr>
                <w:p w14:paraId="6E66B7A8">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属性</w:t>
                  </w:r>
                </w:p>
              </w:tc>
              <w:tc>
                <w:tcPr>
                  <w:tcW w:w="705" w:type="dxa"/>
                  <w:vAlign w:val="center"/>
                </w:tcPr>
                <w:p w14:paraId="40E60965">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default"/>
                      <w:bCs/>
                      <w:color w:val="auto"/>
                      <w:szCs w:val="21"/>
                    </w:rPr>
                    <w:t>一般工业固废</w:t>
                  </w:r>
                </w:p>
                <w:p w14:paraId="5FB71087">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p>
              </w:tc>
              <w:tc>
                <w:tcPr>
                  <w:tcW w:w="690" w:type="dxa"/>
                  <w:vAlign w:val="center"/>
                </w:tcPr>
                <w:p w14:paraId="3BBEB59E">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eastAsia"/>
                      <w:bCs/>
                      <w:color w:val="auto"/>
                      <w:szCs w:val="21"/>
                    </w:rPr>
                    <w:t>生活固废</w:t>
                  </w:r>
                </w:p>
              </w:tc>
              <w:tc>
                <w:tcPr>
                  <w:tcW w:w="615" w:type="dxa"/>
                  <w:vAlign w:val="center"/>
                </w:tcPr>
                <w:p w14:paraId="2C263297">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生活固废</w:t>
                  </w:r>
                </w:p>
              </w:tc>
              <w:tc>
                <w:tcPr>
                  <w:tcW w:w="690" w:type="dxa"/>
                  <w:vAlign w:val="center"/>
                </w:tcPr>
                <w:p w14:paraId="62AF593E">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default"/>
                      <w:bCs/>
                      <w:color w:val="auto"/>
                      <w:szCs w:val="21"/>
                    </w:rPr>
                    <w:t>一般工业固废</w:t>
                  </w:r>
                </w:p>
                <w:p w14:paraId="1FCC34B2">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p>
              </w:tc>
              <w:tc>
                <w:tcPr>
                  <w:tcW w:w="686" w:type="dxa"/>
                  <w:vAlign w:val="center"/>
                </w:tcPr>
                <w:p w14:paraId="07C3C254">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default"/>
                      <w:bCs/>
                      <w:color w:val="auto"/>
                      <w:szCs w:val="21"/>
                    </w:rPr>
                    <w:t>一般工业固废</w:t>
                  </w:r>
                </w:p>
                <w:p w14:paraId="68E92A70">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p>
              </w:tc>
              <w:tc>
                <w:tcPr>
                  <w:tcW w:w="1114" w:type="dxa"/>
                  <w:vAlign w:val="center"/>
                </w:tcPr>
                <w:p w14:paraId="20A0D555">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HW49其他废物</w:t>
                  </w:r>
                </w:p>
              </w:tc>
              <w:tc>
                <w:tcPr>
                  <w:tcW w:w="1114" w:type="dxa"/>
                  <w:vAlign w:val="center"/>
                </w:tcPr>
                <w:p w14:paraId="198C3366">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eastAsia"/>
                      <w:bCs/>
                      <w:color w:val="auto"/>
                      <w:szCs w:val="21"/>
                    </w:rPr>
                    <w:t>HW49其他废物</w:t>
                  </w:r>
                </w:p>
              </w:tc>
              <w:tc>
                <w:tcPr>
                  <w:tcW w:w="1114" w:type="dxa"/>
                  <w:vAlign w:val="center"/>
                </w:tcPr>
                <w:p w14:paraId="6B1E8C7B">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default"/>
                      <w:bCs/>
                      <w:color w:val="auto"/>
                      <w:szCs w:val="21"/>
                    </w:rPr>
                    <w:t>HW29含汞废物</w:t>
                  </w:r>
                </w:p>
              </w:tc>
              <w:tc>
                <w:tcPr>
                  <w:tcW w:w="1114" w:type="dxa"/>
                  <w:vAlign w:val="center"/>
                </w:tcPr>
                <w:p w14:paraId="1C9D3B4E">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eastAsia"/>
                      <w:bCs/>
                      <w:color w:val="auto"/>
                      <w:szCs w:val="21"/>
                    </w:rPr>
                    <w:t>HW08废矿物油及含矿物油废物</w:t>
                  </w:r>
                </w:p>
              </w:tc>
            </w:tr>
            <w:tr w14:paraId="7E63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Merge w:val="continue"/>
                  <w:vAlign w:val="center"/>
                </w:tcPr>
                <w:p w14:paraId="70397D0A">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p>
              </w:tc>
              <w:tc>
                <w:tcPr>
                  <w:tcW w:w="267" w:type="dxa"/>
                  <w:vAlign w:val="center"/>
                </w:tcPr>
                <w:p w14:paraId="292CFE65">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危险废物代码</w:t>
                  </w:r>
                </w:p>
              </w:tc>
              <w:tc>
                <w:tcPr>
                  <w:tcW w:w="705" w:type="dxa"/>
                  <w:vAlign w:val="center"/>
                </w:tcPr>
                <w:p w14:paraId="427BB076">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90" w:type="dxa"/>
                  <w:vAlign w:val="center"/>
                </w:tcPr>
                <w:p w14:paraId="4410F7CB">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15" w:type="dxa"/>
                  <w:vAlign w:val="center"/>
                </w:tcPr>
                <w:p w14:paraId="4CFBD59B">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90" w:type="dxa"/>
                  <w:vAlign w:val="center"/>
                </w:tcPr>
                <w:p w14:paraId="19D32A65">
                  <w:pPr>
                    <w:pStyle w:val="67"/>
                    <w:keepNext w:val="0"/>
                    <w:keepLines w:val="0"/>
                    <w:suppressLineNumbers w:val="0"/>
                    <w:adjustRightInd w:val="0"/>
                    <w:snapToGrid w:val="0"/>
                    <w:spacing w:before="0" w:beforeAutospacing="0" w:after="0" w:afterAutospacing="0"/>
                    <w:ind w:left="0" w:right="0"/>
                    <w:rPr>
                      <w:rFonts w:hint="default"/>
                      <w:bCs/>
                      <w:color w:val="auto"/>
                      <w:szCs w:val="21"/>
                    </w:rPr>
                  </w:pPr>
                  <w:r>
                    <w:rPr>
                      <w:rStyle w:val="68"/>
                      <w:rFonts w:hint="default"/>
                      <w:bCs/>
                      <w:color w:val="auto"/>
                      <w:szCs w:val="21"/>
                    </w:rPr>
                    <w:t>/</w:t>
                  </w:r>
                </w:p>
              </w:tc>
              <w:tc>
                <w:tcPr>
                  <w:tcW w:w="686" w:type="dxa"/>
                  <w:vAlign w:val="center"/>
                </w:tcPr>
                <w:p w14:paraId="538CF0AF">
                  <w:pPr>
                    <w:pStyle w:val="67"/>
                    <w:keepNext w:val="0"/>
                    <w:keepLines w:val="0"/>
                    <w:suppressLineNumbers w:val="0"/>
                    <w:adjustRightInd w:val="0"/>
                    <w:snapToGrid w:val="0"/>
                    <w:spacing w:before="0" w:beforeAutospacing="0" w:after="0" w:afterAutospacing="0"/>
                    <w:ind w:left="0" w:right="0"/>
                    <w:rPr>
                      <w:rFonts w:hint="default"/>
                      <w:bCs/>
                      <w:color w:val="auto"/>
                      <w:szCs w:val="21"/>
                    </w:rPr>
                  </w:pPr>
                  <w:r>
                    <w:rPr>
                      <w:rStyle w:val="68"/>
                      <w:rFonts w:hint="default"/>
                      <w:bCs/>
                      <w:color w:val="auto"/>
                      <w:szCs w:val="21"/>
                    </w:rPr>
                    <w:t>/</w:t>
                  </w:r>
                </w:p>
              </w:tc>
              <w:tc>
                <w:tcPr>
                  <w:tcW w:w="1114" w:type="dxa"/>
                  <w:vAlign w:val="center"/>
                </w:tcPr>
                <w:p w14:paraId="2270D8EC">
                  <w:pPr>
                    <w:pStyle w:val="67"/>
                    <w:keepNext w:val="0"/>
                    <w:keepLines w:val="0"/>
                    <w:suppressLineNumbers w:val="0"/>
                    <w:adjustRightInd w:val="0"/>
                    <w:snapToGrid w:val="0"/>
                    <w:spacing w:before="0" w:beforeAutospacing="0" w:after="0" w:afterAutospacing="0"/>
                    <w:ind w:left="0" w:right="0"/>
                    <w:rPr>
                      <w:rFonts w:hint="default"/>
                      <w:bCs/>
                      <w:color w:val="auto"/>
                      <w:szCs w:val="21"/>
                    </w:rPr>
                  </w:pPr>
                  <w:r>
                    <w:rPr>
                      <w:rFonts w:hint="eastAsia"/>
                      <w:bCs/>
                      <w:color w:val="auto"/>
                      <w:szCs w:val="21"/>
                    </w:rPr>
                    <w:t>900-041-49</w:t>
                  </w:r>
                </w:p>
              </w:tc>
              <w:tc>
                <w:tcPr>
                  <w:tcW w:w="1114" w:type="dxa"/>
                  <w:vAlign w:val="center"/>
                </w:tcPr>
                <w:p w14:paraId="68C49143">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eastAsia"/>
                      <w:bCs/>
                      <w:color w:val="auto"/>
                      <w:szCs w:val="21"/>
                    </w:rPr>
                    <w:t>900-041-49</w:t>
                  </w:r>
                </w:p>
              </w:tc>
              <w:tc>
                <w:tcPr>
                  <w:tcW w:w="1114" w:type="dxa"/>
                  <w:vAlign w:val="center"/>
                </w:tcPr>
                <w:p w14:paraId="27E03756">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szCs w:val="21"/>
                    </w:rPr>
                    <w:t>900-023-29</w:t>
                  </w:r>
                </w:p>
              </w:tc>
              <w:tc>
                <w:tcPr>
                  <w:tcW w:w="1114" w:type="dxa"/>
                  <w:vAlign w:val="center"/>
                </w:tcPr>
                <w:p w14:paraId="054AFA41">
                  <w:pPr>
                    <w:keepNext w:val="0"/>
                    <w:keepLines w:val="0"/>
                    <w:suppressLineNumbers w:val="0"/>
                    <w:adjustRightInd w:val="0"/>
                    <w:snapToGrid w:val="0"/>
                    <w:spacing w:before="0" w:beforeAutospacing="0" w:after="0" w:afterAutospacing="0"/>
                    <w:ind w:left="0" w:right="0"/>
                    <w:jc w:val="center"/>
                    <w:rPr>
                      <w:rFonts w:hint="default"/>
                      <w:bCs/>
                      <w:color w:val="auto"/>
                      <w:szCs w:val="21"/>
                    </w:rPr>
                  </w:pPr>
                  <w:r>
                    <w:rPr>
                      <w:rFonts w:hint="eastAsia"/>
                      <w:bCs/>
                      <w:color w:val="auto"/>
                      <w:szCs w:val="21"/>
                    </w:rPr>
                    <w:t>900-249-08</w:t>
                  </w:r>
                </w:p>
              </w:tc>
            </w:tr>
            <w:tr w14:paraId="2614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41CADA22">
                  <w:pPr>
                    <w:keepNext w:val="0"/>
                    <w:keepLines w:val="0"/>
                    <w:widowControl/>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kern w:val="0"/>
                      <w:szCs w:val="21"/>
                    </w:rPr>
                    <w:t>主要有毒有害物质名称</w:t>
                  </w:r>
                </w:p>
              </w:tc>
              <w:tc>
                <w:tcPr>
                  <w:tcW w:w="705" w:type="dxa"/>
                  <w:vAlign w:val="center"/>
                </w:tcPr>
                <w:p w14:paraId="37C14AA9">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90" w:type="dxa"/>
                  <w:vAlign w:val="center"/>
                </w:tcPr>
                <w:p w14:paraId="7D79F813">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15" w:type="dxa"/>
                  <w:vAlign w:val="center"/>
                </w:tcPr>
                <w:p w14:paraId="645C3778">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90" w:type="dxa"/>
                  <w:vAlign w:val="center"/>
                </w:tcPr>
                <w:p w14:paraId="7FE43EA5">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default"/>
                      <w:bCs/>
                      <w:color w:val="auto"/>
                      <w:szCs w:val="21"/>
                    </w:rPr>
                    <w:t>/</w:t>
                  </w:r>
                </w:p>
              </w:tc>
              <w:tc>
                <w:tcPr>
                  <w:tcW w:w="686" w:type="dxa"/>
                  <w:vAlign w:val="center"/>
                </w:tcPr>
                <w:p w14:paraId="64637830">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default"/>
                      <w:bCs/>
                      <w:color w:val="auto"/>
                      <w:szCs w:val="21"/>
                    </w:rPr>
                    <w:t>/</w:t>
                  </w:r>
                </w:p>
              </w:tc>
              <w:tc>
                <w:tcPr>
                  <w:tcW w:w="1114" w:type="dxa"/>
                  <w:vAlign w:val="center"/>
                </w:tcPr>
                <w:p w14:paraId="4A32F375">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三聚氰</w:t>
                  </w:r>
                </w:p>
                <w:p w14:paraId="42349DA5">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胺胶</w:t>
                  </w:r>
                </w:p>
              </w:tc>
              <w:tc>
                <w:tcPr>
                  <w:tcW w:w="1114" w:type="dxa"/>
                  <w:vAlign w:val="center"/>
                </w:tcPr>
                <w:p w14:paraId="39DD24CF">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活性炭</w:t>
                  </w:r>
                </w:p>
              </w:tc>
              <w:tc>
                <w:tcPr>
                  <w:tcW w:w="1114" w:type="dxa"/>
                  <w:vAlign w:val="center"/>
                </w:tcPr>
                <w:p w14:paraId="593F192F">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UV灯管</w:t>
                  </w:r>
                </w:p>
              </w:tc>
              <w:tc>
                <w:tcPr>
                  <w:tcW w:w="1114" w:type="dxa"/>
                  <w:vAlign w:val="center"/>
                </w:tcPr>
                <w:p w14:paraId="3D0A5463">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废矿物油</w:t>
                  </w:r>
                </w:p>
              </w:tc>
            </w:tr>
            <w:tr w14:paraId="16C7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1E5CB386">
                  <w:pPr>
                    <w:keepNext w:val="0"/>
                    <w:keepLines w:val="0"/>
                    <w:widowControl/>
                    <w:suppressLineNumbers w:val="0"/>
                    <w:adjustRightInd w:val="0"/>
                    <w:snapToGrid w:val="0"/>
                    <w:spacing w:before="0" w:beforeAutospacing="0" w:after="0" w:afterAutospacing="0"/>
                    <w:ind w:left="0" w:right="0"/>
                    <w:jc w:val="center"/>
                    <w:rPr>
                      <w:rFonts w:hint="default"/>
                      <w:bCs/>
                      <w:color w:val="auto"/>
                      <w:szCs w:val="21"/>
                    </w:rPr>
                  </w:pPr>
                  <w:r>
                    <w:rPr>
                      <w:rFonts w:hint="default"/>
                      <w:bCs/>
                      <w:color w:val="auto"/>
                      <w:kern w:val="0"/>
                      <w:szCs w:val="21"/>
                    </w:rPr>
                    <w:t>物理性状</w:t>
                  </w:r>
                </w:p>
              </w:tc>
              <w:tc>
                <w:tcPr>
                  <w:tcW w:w="705" w:type="dxa"/>
                  <w:vAlign w:val="center"/>
                </w:tcPr>
                <w:p w14:paraId="6FC3A343">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固体</w:t>
                  </w:r>
                </w:p>
              </w:tc>
              <w:tc>
                <w:tcPr>
                  <w:tcW w:w="690" w:type="dxa"/>
                  <w:vAlign w:val="center"/>
                </w:tcPr>
                <w:p w14:paraId="585C4649">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固体</w:t>
                  </w:r>
                </w:p>
              </w:tc>
              <w:tc>
                <w:tcPr>
                  <w:tcW w:w="615" w:type="dxa"/>
                  <w:vAlign w:val="center"/>
                </w:tcPr>
                <w:p w14:paraId="6830D8F7">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固体</w:t>
                  </w:r>
                </w:p>
              </w:tc>
              <w:tc>
                <w:tcPr>
                  <w:tcW w:w="690" w:type="dxa"/>
                  <w:vAlign w:val="center"/>
                </w:tcPr>
                <w:p w14:paraId="1618D00D">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固体</w:t>
                  </w:r>
                </w:p>
              </w:tc>
              <w:tc>
                <w:tcPr>
                  <w:tcW w:w="686" w:type="dxa"/>
                  <w:vAlign w:val="center"/>
                </w:tcPr>
                <w:p w14:paraId="6A0A48E4">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固体</w:t>
                  </w:r>
                </w:p>
              </w:tc>
              <w:tc>
                <w:tcPr>
                  <w:tcW w:w="1114" w:type="dxa"/>
                  <w:vAlign w:val="center"/>
                </w:tcPr>
                <w:p w14:paraId="4AC99E40">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固态</w:t>
                  </w:r>
                </w:p>
              </w:tc>
              <w:tc>
                <w:tcPr>
                  <w:tcW w:w="1114" w:type="dxa"/>
                  <w:vAlign w:val="center"/>
                </w:tcPr>
                <w:p w14:paraId="11BD025A">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固态</w:t>
                  </w:r>
                </w:p>
              </w:tc>
              <w:tc>
                <w:tcPr>
                  <w:tcW w:w="1114" w:type="dxa"/>
                  <w:vAlign w:val="center"/>
                </w:tcPr>
                <w:p w14:paraId="48E05027">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固态</w:t>
                  </w:r>
                </w:p>
              </w:tc>
              <w:tc>
                <w:tcPr>
                  <w:tcW w:w="1114" w:type="dxa"/>
                  <w:vAlign w:val="center"/>
                </w:tcPr>
                <w:p w14:paraId="768327B7">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液态</w:t>
                  </w:r>
                </w:p>
              </w:tc>
            </w:tr>
            <w:tr w14:paraId="11C4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1BA61B58">
                  <w:pPr>
                    <w:keepNext w:val="0"/>
                    <w:keepLines w:val="0"/>
                    <w:widowControl/>
                    <w:suppressLineNumbers w:val="0"/>
                    <w:adjustRightInd w:val="0"/>
                    <w:snapToGrid w:val="0"/>
                    <w:spacing w:before="0" w:beforeAutospacing="0" w:after="0" w:afterAutospacing="0"/>
                    <w:ind w:left="0" w:right="0"/>
                    <w:jc w:val="center"/>
                    <w:rPr>
                      <w:rStyle w:val="68"/>
                      <w:rFonts w:hint="default"/>
                      <w:bCs/>
                      <w:color w:val="auto"/>
                      <w:szCs w:val="21"/>
                    </w:rPr>
                  </w:pPr>
                  <w:r>
                    <w:rPr>
                      <w:rFonts w:hint="default"/>
                      <w:bCs/>
                      <w:color w:val="auto"/>
                      <w:kern w:val="0"/>
                      <w:szCs w:val="21"/>
                    </w:rPr>
                    <w:t>环境危险特性</w:t>
                  </w:r>
                </w:p>
              </w:tc>
              <w:tc>
                <w:tcPr>
                  <w:tcW w:w="705" w:type="dxa"/>
                  <w:vAlign w:val="center"/>
                </w:tcPr>
                <w:p w14:paraId="10FC8C05">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90" w:type="dxa"/>
                  <w:vAlign w:val="center"/>
                </w:tcPr>
                <w:p w14:paraId="2251898F">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15" w:type="dxa"/>
                  <w:vAlign w:val="center"/>
                </w:tcPr>
                <w:p w14:paraId="7342117C">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90" w:type="dxa"/>
                  <w:vAlign w:val="center"/>
                </w:tcPr>
                <w:p w14:paraId="2FC6317C">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686" w:type="dxa"/>
                  <w:vAlign w:val="center"/>
                </w:tcPr>
                <w:p w14:paraId="03C905D7">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w:t>
                  </w:r>
                </w:p>
              </w:tc>
              <w:tc>
                <w:tcPr>
                  <w:tcW w:w="1114" w:type="dxa"/>
                  <w:vAlign w:val="center"/>
                </w:tcPr>
                <w:p w14:paraId="12535546">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T/In</w:t>
                  </w:r>
                </w:p>
              </w:tc>
              <w:tc>
                <w:tcPr>
                  <w:tcW w:w="1114" w:type="dxa"/>
                  <w:vAlign w:val="center"/>
                </w:tcPr>
                <w:p w14:paraId="19BEC379">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T/In</w:t>
                  </w:r>
                </w:p>
              </w:tc>
              <w:tc>
                <w:tcPr>
                  <w:tcW w:w="1114" w:type="dxa"/>
                  <w:vAlign w:val="center"/>
                </w:tcPr>
                <w:p w14:paraId="697E0195">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T</w:t>
                  </w:r>
                </w:p>
              </w:tc>
              <w:tc>
                <w:tcPr>
                  <w:tcW w:w="1114" w:type="dxa"/>
                  <w:vAlign w:val="center"/>
                </w:tcPr>
                <w:p w14:paraId="4355AE08">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T，I</w:t>
                  </w:r>
                </w:p>
              </w:tc>
            </w:tr>
            <w:tr w14:paraId="3623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705C40CB">
                  <w:pPr>
                    <w:keepNext w:val="0"/>
                    <w:keepLines w:val="0"/>
                    <w:widowControl/>
                    <w:suppressLineNumbers w:val="0"/>
                    <w:adjustRightInd w:val="0"/>
                    <w:snapToGrid w:val="0"/>
                    <w:spacing w:before="0" w:beforeAutospacing="0" w:after="0" w:afterAutospacing="0"/>
                    <w:ind w:left="0" w:right="0"/>
                    <w:jc w:val="center"/>
                    <w:rPr>
                      <w:rStyle w:val="68"/>
                      <w:rFonts w:hint="default"/>
                      <w:bCs/>
                      <w:color w:val="auto"/>
                      <w:szCs w:val="21"/>
                    </w:rPr>
                  </w:pPr>
                  <w:r>
                    <w:rPr>
                      <w:rFonts w:hint="default"/>
                      <w:bCs/>
                      <w:color w:val="auto"/>
                      <w:kern w:val="0"/>
                      <w:szCs w:val="21"/>
                    </w:rPr>
                    <w:t>年度产生量</w:t>
                  </w:r>
                </w:p>
              </w:tc>
              <w:tc>
                <w:tcPr>
                  <w:tcW w:w="705" w:type="dxa"/>
                  <w:vAlign w:val="center"/>
                </w:tcPr>
                <w:p w14:paraId="31B9862E">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lang w:val="en-US" w:eastAsia="zh-CN"/>
                    </w:rPr>
                    <w:t>2</w:t>
                  </w:r>
                  <w:r>
                    <w:rPr>
                      <w:rStyle w:val="68"/>
                      <w:rFonts w:hint="eastAsia"/>
                      <w:bCs/>
                      <w:color w:val="auto"/>
                      <w:szCs w:val="21"/>
                    </w:rPr>
                    <w:t>t/a</w:t>
                  </w:r>
                </w:p>
              </w:tc>
              <w:tc>
                <w:tcPr>
                  <w:tcW w:w="690" w:type="dxa"/>
                  <w:vAlign w:val="center"/>
                </w:tcPr>
                <w:p w14:paraId="626EEE3F">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lang w:val="en-US" w:eastAsia="zh-CN"/>
                    </w:rPr>
                    <w:t>0.787</w:t>
                  </w:r>
                  <w:r>
                    <w:rPr>
                      <w:rStyle w:val="68"/>
                      <w:rFonts w:hint="eastAsia"/>
                      <w:bCs/>
                      <w:color w:val="auto"/>
                      <w:szCs w:val="21"/>
                    </w:rPr>
                    <w:t>t/a</w:t>
                  </w:r>
                </w:p>
              </w:tc>
              <w:tc>
                <w:tcPr>
                  <w:tcW w:w="615" w:type="dxa"/>
                  <w:vAlign w:val="center"/>
                </w:tcPr>
                <w:p w14:paraId="5BF2E11A">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lang w:val="en-US" w:eastAsia="zh-CN"/>
                    </w:rPr>
                    <w:t>2.4</w:t>
                  </w:r>
                  <w:r>
                    <w:rPr>
                      <w:rStyle w:val="68"/>
                      <w:rFonts w:hint="eastAsia"/>
                      <w:bCs/>
                      <w:color w:val="auto"/>
                      <w:szCs w:val="21"/>
                    </w:rPr>
                    <w:t>t/a</w:t>
                  </w:r>
                </w:p>
              </w:tc>
              <w:tc>
                <w:tcPr>
                  <w:tcW w:w="690" w:type="dxa"/>
                  <w:vAlign w:val="center"/>
                </w:tcPr>
                <w:p w14:paraId="376E5DFB">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0.</w:t>
                  </w:r>
                  <w:r>
                    <w:rPr>
                      <w:rStyle w:val="68"/>
                      <w:rFonts w:hint="eastAsia"/>
                      <w:bCs/>
                      <w:color w:val="auto"/>
                      <w:szCs w:val="21"/>
                      <w:lang w:val="en-US" w:eastAsia="zh-CN"/>
                    </w:rPr>
                    <w:t>061</w:t>
                  </w:r>
                  <w:r>
                    <w:rPr>
                      <w:rStyle w:val="68"/>
                      <w:rFonts w:hint="eastAsia"/>
                      <w:bCs/>
                      <w:color w:val="auto"/>
                      <w:szCs w:val="21"/>
                    </w:rPr>
                    <w:t>t/a</w:t>
                  </w:r>
                </w:p>
              </w:tc>
              <w:tc>
                <w:tcPr>
                  <w:tcW w:w="686" w:type="dxa"/>
                  <w:vAlign w:val="center"/>
                </w:tcPr>
                <w:p w14:paraId="336C9924">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0.</w:t>
                  </w:r>
                  <w:r>
                    <w:rPr>
                      <w:rStyle w:val="68"/>
                      <w:rFonts w:hint="eastAsia"/>
                      <w:bCs/>
                      <w:color w:val="auto"/>
                      <w:szCs w:val="21"/>
                      <w:lang w:val="en-US" w:eastAsia="zh-CN"/>
                    </w:rPr>
                    <w:t>5</w:t>
                  </w:r>
                  <w:r>
                    <w:rPr>
                      <w:rStyle w:val="68"/>
                      <w:rFonts w:hint="eastAsia"/>
                      <w:bCs/>
                      <w:color w:val="auto"/>
                      <w:szCs w:val="21"/>
                    </w:rPr>
                    <w:t>t/a</w:t>
                  </w:r>
                </w:p>
              </w:tc>
              <w:tc>
                <w:tcPr>
                  <w:tcW w:w="1114" w:type="dxa"/>
                  <w:vAlign w:val="center"/>
                </w:tcPr>
                <w:p w14:paraId="10118185">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lang w:val="en-US" w:eastAsia="zh-CN"/>
                    </w:rPr>
                    <w:t>2.835</w:t>
                  </w:r>
                  <w:r>
                    <w:rPr>
                      <w:rStyle w:val="68"/>
                      <w:rFonts w:hint="eastAsia"/>
                      <w:bCs/>
                      <w:color w:val="auto"/>
                      <w:szCs w:val="21"/>
                    </w:rPr>
                    <w:t>t/a</w:t>
                  </w:r>
                </w:p>
              </w:tc>
              <w:tc>
                <w:tcPr>
                  <w:tcW w:w="1114" w:type="dxa"/>
                  <w:vAlign w:val="center"/>
                </w:tcPr>
                <w:p w14:paraId="22E25354">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lang w:val="en-US" w:eastAsia="zh-CN"/>
                    </w:rPr>
                    <w:t>0.2</w:t>
                  </w:r>
                  <w:r>
                    <w:rPr>
                      <w:rStyle w:val="68"/>
                      <w:rFonts w:hint="eastAsia"/>
                      <w:bCs/>
                      <w:color w:val="auto"/>
                      <w:szCs w:val="21"/>
                    </w:rPr>
                    <w:t>t/a</w:t>
                  </w:r>
                </w:p>
              </w:tc>
              <w:tc>
                <w:tcPr>
                  <w:tcW w:w="1114" w:type="dxa"/>
                  <w:vAlign w:val="center"/>
                </w:tcPr>
                <w:p w14:paraId="567AA505">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0.08t/a</w:t>
                  </w:r>
                </w:p>
              </w:tc>
              <w:tc>
                <w:tcPr>
                  <w:tcW w:w="1114" w:type="dxa"/>
                  <w:vAlign w:val="center"/>
                </w:tcPr>
                <w:p w14:paraId="538D6F6B">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0.</w:t>
                  </w:r>
                  <w:r>
                    <w:rPr>
                      <w:rStyle w:val="68"/>
                      <w:rFonts w:hint="eastAsia"/>
                      <w:bCs/>
                      <w:color w:val="auto"/>
                      <w:szCs w:val="21"/>
                      <w:lang w:val="en-US" w:eastAsia="zh-CN"/>
                    </w:rPr>
                    <w:t>35</w:t>
                  </w:r>
                  <w:r>
                    <w:rPr>
                      <w:rStyle w:val="68"/>
                      <w:rFonts w:hint="eastAsia"/>
                      <w:bCs/>
                      <w:color w:val="auto"/>
                      <w:szCs w:val="21"/>
                    </w:rPr>
                    <w:t>t/a</w:t>
                  </w:r>
                </w:p>
              </w:tc>
            </w:tr>
            <w:tr w14:paraId="3FC3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2456D73E">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Fonts w:hint="default"/>
                      <w:bCs/>
                      <w:color w:val="auto"/>
                      <w:szCs w:val="21"/>
                    </w:rPr>
                    <w:t>贮存方式</w:t>
                  </w:r>
                </w:p>
              </w:tc>
              <w:tc>
                <w:tcPr>
                  <w:tcW w:w="705" w:type="dxa"/>
                  <w:vAlign w:val="center"/>
                </w:tcPr>
                <w:p w14:paraId="52B6A99F">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袋装</w:t>
                  </w:r>
                </w:p>
              </w:tc>
              <w:tc>
                <w:tcPr>
                  <w:tcW w:w="690" w:type="dxa"/>
                  <w:vAlign w:val="center"/>
                </w:tcPr>
                <w:p w14:paraId="3B7FCD19">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桶装</w:t>
                  </w:r>
                </w:p>
              </w:tc>
              <w:tc>
                <w:tcPr>
                  <w:tcW w:w="615" w:type="dxa"/>
                  <w:vAlign w:val="center"/>
                </w:tcPr>
                <w:p w14:paraId="5EF2114F">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袋装</w:t>
                  </w:r>
                </w:p>
              </w:tc>
              <w:tc>
                <w:tcPr>
                  <w:tcW w:w="690" w:type="dxa"/>
                  <w:vAlign w:val="center"/>
                </w:tcPr>
                <w:p w14:paraId="065D099B">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袋装</w:t>
                  </w:r>
                </w:p>
              </w:tc>
              <w:tc>
                <w:tcPr>
                  <w:tcW w:w="686" w:type="dxa"/>
                  <w:vAlign w:val="center"/>
                </w:tcPr>
                <w:p w14:paraId="48D8EF1F">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袋装</w:t>
                  </w:r>
                </w:p>
              </w:tc>
              <w:tc>
                <w:tcPr>
                  <w:tcW w:w="4456" w:type="dxa"/>
                  <w:gridSpan w:val="4"/>
                  <w:vAlign w:val="center"/>
                </w:tcPr>
                <w:p w14:paraId="05D7EFF3">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可密闭容器收集，危废暂存间贮存</w:t>
                  </w:r>
                </w:p>
              </w:tc>
            </w:tr>
            <w:tr w14:paraId="1664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6466281D">
                  <w:pPr>
                    <w:keepNext w:val="0"/>
                    <w:keepLines w:val="0"/>
                    <w:widowControl/>
                    <w:suppressLineNumbers w:val="0"/>
                    <w:adjustRightInd w:val="0"/>
                    <w:snapToGrid w:val="0"/>
                    <w:spacing w:before="0" w:beforeAutospacing="0" w:after="0" w:afterAutospacing="0"/>
                    <w:ind w:left="0" w:right="0"/>
                    <w:jc w:val="center"/>
                    <w:rPr>
                      <w:rFonts w:hint="default"/>
                      <w:bCs/>
                      <w:color w:val="auto"/>
                      <w:kern w:val="0"/>
                      <w:szCs w:val="21"/>
                    </w:rPr>
                  </w:pPr>
                  <w:r>
                    <w:rPr>
                      <w:rFonts w:hint="default"/>
                      <w:bCs/>
                      <w:color w:val="auto"/>
                      <w:kern w:val="0"/>
                      <w:szCs w:val="21"/>
                    </w:rPr>
                    <w:t>利用处置方式和去向</w:t>
                  </w:r>
                </w:p>
              </w:tc>
              <w:tc>
                <w:tcPr>
                  <w:tcW w:w="705" w:type="dxa"/>
                  <w:vAlign w:val="center"/>
                </w:tcPr>
                <w:p w14:paraId="178AA31C">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委托环卫部门清运处置</w:t>
                  </w:r>
                </w:p>
              </w:tc>
              <w:tc>
                <w:tcPr>
                  <w:tcW w:w="690" w:type="dxa"/>
                  <w:vAlign w:val="center"/>
                </w:tcPr>
                <w:p w14:paraId="1159F99C">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委托有资质的单位</w:t>
                  </w:r>
                  <w:r>
                    <w:rPr>
                      <w:rStyle w:val="68"/>
                      <w:rFonts w:hint="eastAsia"/>
                      <w:bCs/>
                      <w:color w:val="auto"/>
                      <w:szCs w:val="21"/>
                    </w:rPr>
                    <w:t>清掏</w:t>
                  </w:r>
                  <w:r>
                    <w:rPr>
                      <w:rStyle w:val="68"/>
                      <w:rFonts w:hint="default"/>
                      <w:bCs/>
                      <w:color w:val="auto"/>
                      <w:szCs w:val="21"/>
                    </w:rPr>
                    <w:t>清运处置</w:t>
                  </w:r>
                </w:p>
              </w:tc>
              <w:tc>
                <w:tcPr>
                  <w:tcW w:w="615" w:type="dxa"/>
                  <w:vAlign w:val="center"/>
                </w:tcPr>
                <w:p w14:paraId="3D76546C">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委托环卫部门清运处置</w:t>
                  </w:r>
                </w:p>
              </w:tc>
              <w:tc>
                <w:tcPr>
                  <w:tcW w:w="690" w:type="dxa"/>
                  <w:vAlign w:val="center"/>
                </w:tcPr>
                <w:p w14:paraId="66624316">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委托环卫部门清运处置</w:t>
                  </w:r>
                </w:p>
              </w:tc>
              <w:tc>
                <w:tcPr>
                  <w:tcW w:w="686" w:type="dxa"/>
                  <w:vAlign w:val="center"/>
                </w:tcPr>
                <w:p w14:paraId="4664B303">
                  <w:pPr>
                    <w:pStyle w:val="67"/>
                    <w:keepNext w:val="0"/>
                    <w:keepLines w:val="0"/>
                    <w:suppressLineNumbers w:val="0"/>
                    <w:adjustRightInd w:val="0"/>
                    <w:snapToGrid w:val="0"/>
                    <w:spacing w:before="0" w:beforeAutospacing="0" w:after="0" w:afterAutospacing="0"/>
                    <w:ind w:left="0" w:right="0"/>
                    <w:rPr>
                      <w:rStyle w:val="68"/>
                      <w:rFonts w:hint="default" w:eastAsia="宋体"/>
                      <w:bCs/>
                      <w:color w:val="auto"/>
                      <w:szCs w:val="21"/>
                      <w:lang w:val="en-US" w:eastAsia="zh-CN"/>
                    </w:rPr>
                  </w:pPr>
                  <w:r>
                    <w:rPr>
                      <w:rStyle w:val="68"/>
                      <w:rFonts w:hint="eastAsia"/>
                      <w:bCs/>
                      <w:color w:val="auto"/>
                      <w:szCs w:val="21"/>
                      <w:lang w:val="en-US" w:eastAsia="zh-CN"/>
                    </w:rPr>
                    <w:t>外售给废品收购站</w:t>
                  </w:r>
                </w:p>
              </w:tc>
              <w:tc>
                <w:tcPr>
                  <w:tcW w:w="4456" w:type="dxa"/>
                  <w:gridSpan w:val="4"/>
                  <w:vAlign w:val="center"/>
                </w:tcPr>
                <w:p w14:paraId="217D7257">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委托</w:t>
                  </w:r>
                  <w:r>
                    <w:rPr>
                      <w:rStyle w:val="68"/>
                      <w:rFonts w:hint="eastAsia"/>
                      <w:bCs/>
                      <w:color w:val="auto"/>
                      <w:szCs w:val="21"/>
                    </w:rPr>
                    <w:t>有资质的单位</w:t>
                  </w:r>
                  <w:r>
                    <w:rPr>
                      <w:rStyle w:val="68"/>
                      <w:rFonts w:hint="default"/>
                      <w:bCs/>
                      <w:color w:val="auto"/>
                      <w:szCs w:val="21"/>
                    </w:rPr>
                    <w:t>清运处置</w:t>
                  </w:r>
                </w:p>
              </w:tc>
            </w:tr>
            <w:tr w14:paraId="684D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3C5A962B">
                  <w:pPr>
                    <w:keepNext w:val="0"/>
                    <w:keepLines w:val="0"/>
                    <w:widowControl/>
                    <w:suppressLineNumbers w:val="0"/>
                    <w:adjustRightInd w:val="0"/>
                    <w:snapToGrid w:val="0"/>
                    <w:spacing w:before="0" w:beforeAutospacing="0" w:after="0" w:afterAutospacing="0"/>
                    <w:ind w:left="0" w:right="0"/>
                    <w:jc w:val="center"/>
                    <w:rPr>
                      <w:rFonts w:hint="default"/>
                      <w:bCs/>
                      <w:color w:val="auto"/>
                      <w:kern w:val="0"/>
                      <w:szCs w:val="21"/>
                    </w:rPr>
                  </w:pPr>
                  <w:r>
                    <w:rPr>
                      <w:rFonts w:hint="default"/>
                      <w:bCs/>
                      <w:color w:val="auto"/>
                      <w:kern w:val="0"/>
                      <w:szCs w:val="21"/>
                    </w:rPr>
                    <w:t>利用或处置量</w:t>
                  </w:r>
                </w:p>
              </w:tc>
              <w:tc>
                <w:tcPr>
                  <w:tcW w:w="705" w:type="dxa"/>
                  <w:vAlign w:val="center"/>
                </w:tcPr>
                <w:p w14:paraId="15C707AB">
                  <w:pPr>
                    <w:pStyle w:val="67"/>
                    <w:keepNext w:val="0"/>
                    <w:keepLines w:val="0"/>
                    <w:suppressLineNumbers w:val="0"/>
                    <w:adjustRightInd w:val="0"/>
                    <w:snapToGrid w:val="0"/>
                    <w:spacing w:before="0" w:beforeAutospacing="0" w:after="0" w:afterAutospacing="0"/>
                    <w:ind w:left="0" w:right="0"/>
                    <w:rPr>
                      <w:rFonts w:hint="default"/>
                      <w:bCs/>
                      <w:color w:val="auto"/>
                      <w:szCs w:val="21"/>
                    </w:rPr>
                  </w:pPr>
                  <w:r>
                    <w:rPr>
                      <w:rStyle w:val="68"/>
                      <w:rFonts w:hint="eastAsia"/>
                      <w:bCs/>
                      <w:color w:val="auto"/>
                      <w:szCs w:val="21"/>
                      <w:lang w:val="en-US" w:eastAsia="zh-CN"/>
                    </w:rPr>
                    <w:t>2</w:t>
                  </w:r>
                  <w:r>
                    <w:rPr>
                      <w:rStyle w:val="68"/>
                      <w:rFonts w:hint="eastAsia"/>
                      <w:bCs/>
                      <w:color w:val="auto"/>
                      <w:szCs w:val="21"/>
                    </w:rPr>
                    <w:t>t/a</w:t>
                  </w:r>
                </w:p>
              </w:tc>
              <w:tc>
                <w:tcPr>
                  <w:tcW w:w="690" w:type="dxa"/>
                  <w:vAlign w:val="center"/>
                </w:tcPr>
                <w:p w14:paraId="1D15F2BA">
                  <w:pPr>
                    <w:pStyle w:val="67"/>
                    <w:keepNext w:val="0"/>
                    <w:keepLines w:val="0"/>
                    <w:suppressLineNumbers w:val="0"/>
                    <w:adjustRightInd w:val="0"/>
                    <w:snapToGrid w:val="0"/>
                    <w:spacing w:before="0" w:beforeAutospacing="0" w:after="0" w:afterAutospacing="0"/>
                    <w:ind w:left="0" w:right="0"/>
                    <w:rPr>
                      <w:rFonts w:hint="default"/>
                      <w:bCs/>
                      <w:color w:val="auto"/>
                      <w:szCs w:val="21"/>
                    </w:rPr>
                  </w:pPr>
                  <w:r>
                    <w:rPr>
                      <w:rStyle w:val="68"/>
                      <w:rFonts w:hint="eastAsia"/>
                      <w:bCs/>
                      <w:color w:val="auto"/>
                      <w:szCs w:val="21"/>
                    </w:rPr>
                    <w:t>0.</w:t>
                  </w:r>
                  <w:r>
                    <w:rPr>
                      <w:rStyle w:val="68"/>
                      <w:rFonts w:hint="eastAsia"/>
                      <w:bCs/>
                      <w:color w:val="auto"/>
                      <w:szCs w:val="21"/>
                      <w:lang w:val="en-US" w:eastAsia="zh-CN"/>
                    </w:rPr>
                    <w:t>787</w:t>
                  </w:r>
                  <w:r>
                    <w:rPr>
                      <w:rStyle w:val="68"/>
                      <w:rFonts w:hint="eastAsia"/>
                      <w:bCs/>
                      <w:color w:val="auto"/>
                      <w:szCs w:val="21"/>
                    </w:rPr>
                    <w:t>t/a</w:t>
                  </w:r>
                </w:p>
              </w:tc>
              <w:tc>
                <w:tcPr>
                  <w:tcW w:w="615" w:type="dxa"/>
                  <w:vAlign w:val="center"/>
                </w:tcPr>
                <w:p w14:paraId="0B60B241">
                  <w:pPr>
                    <w:pStyle w:val="67"/>
                    <w:keepNext w:val="0"/>
                    <w:keepLines w:val="0"/>
                    <w:suppressLineNumbers w:val="0"/>
                    <w:adjustRightInd w:val="0"/>
                    <w:snapToGrid w:val="0"/>
                    <w:spacing w:before="0" w:beforeAutospacing="0" w:after="0" w:afterAutospacing="0"/>
                    <w:ind w:left="0" w:right="0"/>
                    <w:rPr>
                      <w:rFonts w:hint="default"/>
                      <w:bCs/>
                      <w:color w:val="auto"/>
                      <w:szCs w:val="21"/>
                    </w:rPr>
                  </w:pPr>
                  <w:r>
                    <w:rPr>
                      <w:rStyle w:val="68"/>
                      <w:rFonts w:hint="eastAsia"/>
                      <w:bCs/>
                      <w:color w:val="auto"/>
                      <w:szCs w:val="21"/>
                      <w:lang w:val="en-US" w:eastAsia="zh-CN"/>
                    </w:rPr>
                    <w:t>2.4</w:t>
                  </w:r>
                  <w:r>
                    <w:rPr>
                      <w:rStyle w:val="68"/>
                      <w:rFonts w:hint="eastAsia"/>
                      <w:bCs/>
                      <w:color w:val="auto"/>
                      <w:szCs w:val="21"/>
                    </w:rPr>
                    <w:t>t/a</w:t>
                  </w:r>
                </w:p>
              </w:tc>
              <w:tc>
                <w:tcPr>
                  <w:tcW w:w="690" w:type="dxa"/>
                  <w:vAlign w:val="center"/>
                </w:tcPr>
                <w:p w14:paraId="19D0BF35">
                  <w:pPr>
                    <w:pStyle w:val="67"/>
                    <w:keepNext w:val="0"/>
                    <w:keepLines w:val="0"/>
                    <w:suppressLineNumbers w:val="0"/>
                    <w:adjustRightInd w:val="0"/>
                    <w:snapToGrid w:val="0"/>
                    <w:spacing w:before="0" w:beforeAutospacing="0" w:after="0" w:afterAutospacing="0"/>
                    <w:ind w:left="0" w:leftChars="0" w:right="0" w:rightChars="0"/>
                    <w:rPr>
                      <w:rFonts w:hint="default"/>
                      <w:bCs/>
                      <w:color w:val="auto"/>
                      <w:szCs w:val="21"/>
                    </w:rPr>
                  </w:pPr>
                  <w:r>
                    <w:rPr>
                      <w:rStyle w:val="68"/>
                      <w:rFonts w:hint="eastAsia"/>
                      <w:bCs/>
                      <w:color w:val="auto"/>
                      <w:szCs w:val="21"/>
                    </w:rPr>
                    <w:t>0.</w:t>
                  </w:r>
                  <w:r>
                    <w:rPr>
                      <w:rStyle w:val="68"/>
                      <w:rFonts w:hint="eastAsia"/>
                      <w:bCs/>
                      <w:color w:val="auto"/>
                      <w:szCs w:val="21"/>
                      <w:lang w:val="en-US" w:eastAsia="zh-CN"/>
                    </w:rPr>
                    <w:t>061</w:t>
                  </w:r>
                  <w:r>
                    <w:rPr>
                      <w:rStyle w:val="68"/>
                      <w:rFonts w:hint="eastAsia"/>
                      <w:bCs/>
                      <w:color w:val="auto"/>
                      <w:szCs w:val="21"/>
                    </w:rPr>
                    <w:t>t/a</w:t>
                  </w:r>
                </w:p>
              </w:tc>
              <w:tc>
                <w:tcPr>
                  <w:tcW w:w="686" w:type="dxa"/>
                  <w:vAlign w:val="center"/>
                </w:tcPr>
                <w:p w14:paraId="0DCA3F92">
                  <w:pPr>
                    <w:pStyle w:val="67"/>
                    <w:keepNext w:val="0"/>
                    <w:keepLines w:val="0"/>
                    <w:suppressLineNumbers w:val="0"/>
                    <w:adjustRightInd w:val="0"/>
                    <w:snapToGrid w:val="0"/>
                    <w:spacing w:before="0" w:beforeAutospacing="0" w:after="0" w:afterAutospacing="0"/>
                    <w:ind w:left="0" w:leftChars="0" w:right="0" w:rightChars="0"/>
                    <w:rPr>
                      <w:rStyle w:val="68"/>
                      <w:rFonts w:hint="default"/>
                      <w:bCs/>
                      <w:color w:val="auto"/>
                      <w:szCs w:val="21"/>
                    </w:rPr>
                  </w:pPr>
                  <w:r>
                    <w:rPr>
                      <w:rStyle w:val="68"/>
                      <w:rFonts w:hint="eastAsia"/>
                      <w:bCs/>
                      <w:color w:val="auto"/>
                      <w:szCs w:val="21"/>
                    </w:rPr>
                    <w:t>0.</w:t>
                  </w:r>
                  <w:r>
                    <w:rPr>
                      <w:rStyle w:val="68"/>
                      <w:rFonts w:hint="eastAsia"/>
                      <w:bCs/>
                      <w:color w:val="auto"/>
                      <w:szCs w:val="21"/>
                      <w:lang w:val="en-US" w:eastAsia="zh-CN"/>
                    </w:rPr>
                    <w:t>5</w:t>
                  </w:r>
                  <w:r>
                    <w:rPr>
                      <w:rStyle w:val="68"/>
                      <w:rFonts w:hint="eastAsia"/>
                      <w:bCs/>
                      <w:color w:val="auto"/>
                      <w:szCs w:val="21"/>
                    </w:rPr>
                    <w:t>t/a</w:t>
                  </w:r>
                </w:p>
              </w:tc>
              <w:tc>
                <w:tcPr>
                  <w:tcW w:w="1114" w:type="dxa"/>
                  <w:vAlign w:val="center"/>
                </w:tcPr>
                <w:p w14:paraId="5867A8BC">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lang w:val="en-US" w:eastAsia="zh-CN"/>
                    </w:rPr>
                    <w:t>2.835</w:t>
                  </w:r>
                  <w:r>
                    <w:rPr>
                      <w:rStyle w:val="68"/>
                      <w:rFonts w:hint="eastAsia"/>
                      <w:bCs/>
                      <w:color w:val="auto"/>
                      <w:szCs w:val="21"/>
                    </w:rPr>
                    <w:t>t/a</w:t>
                  </w:r>
                </w:p>
              </w:tc>
              <w:tc>
                <w:tcPr>
                  <w:tcW w:w="1114" w:type="dxa"/>
                  <w:vAlign w:val="center"/>
                </w:tcPr>
                <w:p w14:paraId="0DCE6033">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lang w:val="en-US" w:eastAsia="zh-CN"/>
                    </w:rPr>
                    <w:t>0.2</w:t>
                  </w:r>
                  <w:r>
                    <w:rPr>
                      <w:rStyle w:val="68"/>
                      <w:rFonts w:hint="eastAsia"/>
                      <w:bCs/>
                      <w:color w:val="auto"/>
                      <w:szCs w:val="21"/>
                    </w:rPr>
                    <w:t>t/a</w:t>
                  </w:r>
                </w:p>
              </w:tc>
              <w:tc>
                <w:tcPr>
                  <w:tcW w:w="1114" w:type="dxa"/>
                  <w:vAlign w:val="center"/>
                </w:tcPr>
                <w:p w14:paraId="5F7F0774">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0.08t/a</w:t>
                  </w:r>
                </w:p>
              </w:tc>
              <w:tc>
                <w:tcPr>
                  <w:tcW w:w="1114" w:type="dxa"/>
                  <w:vAlign w:val="center"/>
                </w:tcPr>
                <w:p w14:paraId="7DD64676">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eastAsia"/>
                      <w:bCs/>
                      <w:color w:val="auto"/>
                      <w:szCs w:val="21"/>
                    </w:rPr>
                    <w:t>0.</w:t>
                  </w:r>
                  <w:r>
                    <w:rPr>
                      <w:rStyle w:val="68"/>
                      <w:rFonts w:hint="eastAsia"/>
                      <w:bCs/>
                      <w:color w:val="auto"/>
                      <w:szCs w:val="21"/>
                      <w:lang w:val="en-US" w:eastAsia="zh-CN"/>
                    </w:rPr>
                    <w:t>35</w:t>
                  </w:r>
                  <w:r>
                    <w:rPr>
                      <w:rStyle w:val="68"/>
                      <w:rFonts w:hint="eastAsia"/>
                      <w:bCs/>
                      <w:color w:val="auto"/>
                      <w:szCs w:val="21"/>
                    </w:rPr>
                    <w:t>t/a</w:t>
                  </w:r>
                </w:p>
              </w:tc>
            </w:tr>
            <w:tr w14:paraId="69EA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gridSpan w:val="2"/>
                  <w:vAlign w:val="center"/>
                </w:tcPr>
                <w:p w14:paraId="36AA011A">
                  <w:pPr>
                    <w:keepNext w:val="0"/>
                    <w:keepLines w:val="0"/>
                    <w:widowControl/>
                    <w:suppressLineNumbers w:val="0"/>
                    <w:adjustRightInd w:val="0"/>
                    <w:snapToGrid w:val="0"/>
                    <w:spacing w:before="0" w:beforeAutospacing="0" w:after="0" w:afterAutospacing="0"/>
                    <w:ind w:left="0" w:right="0"/>
                    <w:jc w:val="center"/>
                    <w:rPr>
                      <w:rFonts w:hint="default"/>
                      <w:bCs/>
                      <w:color w:val="auto"/>
                      <w:kern w:val="0"/>
                      <w:szCs w:val="21"/>
                    </w:rPr>
                  </w:pPr>
                  <w:r>
                    <w:rPr>
                      <w:rStyle w:val="68"/>
                      <w:rFonts w:hint="default"/>
                      <w:bCs/>
                      <w:color w:val="auto"/>
                      <w:szCs w:val="21"/>
                    </w:rPr>
                    <w:t>环境管理要求</w:t>
                  </w:r>
                </w:p>
              </w:tc>
              <w:tc>
                <w:tcPr>
                  <w:tcW w:w="3386" w:type="dxa"/>
                  <w:gridSpan w:val="5"/>
                  <w:vAlign w:val="center"/>
                </w:tcPr>
                <w:p w14:paraId="00CE0750">
                  <w:pPr>
                    <w:keepNext w:val="0"/>
                    <w:keepLines w:val="0"/>
                    <w:suppressLineNumbers w:val="0"/>
                    <w:adjustRightInd w:val="0"/>
                    <w:snapToGrid w:val="0"/>
                    <w:spacing w:before="0" w:beforeAutospacing="0" w:after="0" w:afterAutospacing="0"/>
                    <w:ind w:left="0" w:right="0"/>
                    <w:jc w:val="center"/>
                    <w:rPr>
                      <w:rStyle w:val="68"/>
                      <w:rFonts w:hint="default"/>
                      <w:bCs/>
                      <w:color w:val="auto"/>
                      <w:szCs w:val="21"/>
                    </w:rPr>
                  </w:pPr>
                  <w:r>
                    <w:rPr>
                      <w:rStyle w:val="68"/>
                      <w:rFonts w:hint="default"/>
                      <w:bCs/>
                      <w:color w:val="auto"/>
                      <w:szCs w:val="21"/>
                    </w:rPr>
                    <w:t>100%处置</w:t>
                  </w:r>
                </w:p>
              </w:tc>
              <w:tc>
                <w:tcPr>
                  <w:tcW w:w="4456" w:type="dxa"/>
                  <w:gridSpan w:val="4"/>
                  <w:vAlign w:val="center"/>
                </w:tcPr>
                <w:p w14:paraId="7E2B9ABE">
                  <w:pPr>
                    <w:pStyle w:val="67"/>
                    <w:keepNext w:val="0"/>
                    <w:keepLines w:val="0"/>
                    <w:suppressLineNumbers w:val="0"/>
                    <w:adjustRightInd w:val="0"/>
                    <w:snapToGrid w:val="0"/>
                    <w:spacing w:before="0" w:beforeAutospacing="0" w:after="0" w:afterAutospacing="0"/>
                    <w:ind w:left="0" w:right="0"/>
                    <w:rPr>
                      <w:rStyle w:val="68"/>
                      <w:rFonts w:hint="default"/>
                      <w:bCs/>
                      <w:color w:val="auto"/>
                      <w:szCs w:val="21"/>
                    </w:rPr>
                  </w:pPr>
                  <w:r>
                    <w:rPr>
                      <w:rStyle w:val="68"/>
                      <w:rFonts w:hint="default"/>
                      <w:bCs/>
                      <w:color w:val="auto"/>
                      <w:szCs w:val="21"/>
                    </w:rPr>
                    <w:t>100%处置，并建立台账、转移联单制</w:t>
                  </w:r>
                </w:p>
              </w:tc>
            </w:tr>
          </w:tbl>
          <w:p w14:paraId="1BE46F29">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建设单位</w:t>
            </w:r>
            <w:r>
              <w:rPr>
                <w:rFonts w:hint="default"/>
                <w:color w:val="auto"/>
                <w:sz w:val="24"/>
                <w:highlight w:val="none"/>
              </w:rPr>
              <w:t>应严格按照《危险废物贮存污染控制标准》（GB18597-20</w:t>
            </w:r>
            <w:r>
              <w:rPr>
                <w:rFonts w:hint="eastAsia"/>
                <w:color w:val="auto"/>
                <w:sz w:val="24"/>
                <w:highlight w:val="none"/>
              </w:rPr>
              <w:t>23</w:t>
            </w:r>
            <w:r>
              <w:rPr>
                <w:rFonts w:hint="default"/>
                <w:color w:val="auto"/>
                <w:sz w:val="24"/>
                <w:highlight w:val="none"/>
              </w:rPr>
              <w:t>）建设危险废物暂存间，</w:t>
            </w:r>
            <w:r>
              <w:rPr>
                <w:rFonts w:hint="eastAsia"/>
                <w:color w:val="auto"/>
                <w:sz w:val="24"/>
                <w:highlight w:val="none"/>
                <w:lang w:val="en-US" w:eastAsia="zh-CN"/>
              </w:rPr>
              <w:t>拟在厂房内东北侧建设1间5m</w:t>
            </w:r>
            <w:r>
              <w:rPr>
                <w:rFonts w:hint="eastAsia"/>
                <w:color w:val="auto"/>
                <w:sz w:val="24"/>
                <w:highlight w:val="none"/>
                <w:vertAlign w:val="superscript"/>
                <w:lang w:val="en-US" w:eastAsia="zh-CN"/>
              </w:rPr>
              <w:t>2</w:t>
            </w:r>
            <w:r>
              <w:rPr>
                <w:rFonts w:hint="eastAsia"/>
                <w:color w:val="auto"/>
                <w:sz w:val="24"/>
                <w:highlight w:val="none"/>
                <w:lang w:val="en-US" w:eastAsia="zh-CN"/>
              </w:rPr>
              <w:t>的危险废物暂存间，</w:t>
            </w:r>
            <w:r>
              <w:rPr>
                <w:rFonts w:hint="default"/>
                <w:color w:val="auto"/>
                <w:sz w:val="24"/>
                <w:highlight w:val="none"/>
              </w:rPr>
              <w:t>将危险废物分类转入容器内，并粘贴危险废物标签，并做好相应的</w:t>
            </w:r>
            <w:r>
              <w:rPr>
                <w:rFonts w:hint="eastAsia"/>
                <w:color w:val="auto"/>
                <w:sz w:val="24"/>
                <w:highlight w:val="none"/>
                <w:lang w:val="en-US" w:eastAsia="zh-CN"/>
              </w:rPr>
              <w:t>记录</w:t>
            </w:r>
            <w:r>
              <w:rPr>
                <w:rFonts w:hint="default"/>
                <w:color w:val="auto"/>
                <w:sz w:val="24"/>
                <w:highlight w:val="none"/>
              </w:rPr>
              <w:t>。对相应的暂存场建设防渗设施、防风、防雨、防晒并配备照明设施等，并与厂区内其它生产单元、办公生活区严格区分、单独隔离。对危险废物的转移处理须严格按照国家环境保护部第5号令《危险废物转移联单管理办法》执行。危险废物暂存间的建设及管理应满足如下要求：</w:t>
            </w:r>
          </w:p>
          <w:p w14:paraId="39B2933F">
            <w:pPr>
              <w:pStyle w:val="17"/>
              <w:keepNext w:val="0"/>
              <w:keepLines w:val="0"/>
              <w:suppressLineNumbers w:val="0"/>
              <w:snapToGrid w:val="0"/>
              <w:spacing w:beforeAutospacing="0" w:after="0" w:afterAutospacing="0" w:line="360" w:lineRule="auto"/>
              <w:ind w:left="0" w:firstLine="480" w:firstLineChars="200"/>
              <w:rPr>
                <w:rFonts w:hint="default"/>
                <w:bCs/>
                <w:color w:val="auto"/>
                <w:kern w:val="0"/>
                <w:highlight w:val="none"/>
              </w:rPr>
            </w:pPr>
            <w:r>
              <w:rPr>
                <w:rFonts w:hint="eastAsia"/>
                <w:bCs/>
                <w:color w:val="auto"/>
                <w:kern w:val="0"/>
                <w:highlight w:val="none"/>
              </w:rPr>
              <w:t>（1）危险废物暂存间的设计及建设要求</w:t>
            </w:r>
          </w:p>
          <w:p w14:paraId="758FB33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宋体"/>
                <w:color w:val="auto"/>
                <w:kern w:val="0"/>
                <w:sz w:val="24"/>
                <w:highlight w:val="none"/>
              </w:rPr>
            </w:pPr>
            <w:r>
              <w:rPr>
                <w:rFonts w:hint="eastAsia" w:ascii="宋体" w:hAnsi="宋体" w:cs="宋体"/>
                <w:color w:val="auto"/>
                <w:kern w:val="0"/>
                <w:sz w:val="24"/>
                <w:highlight w:val="none"/>
              </w:rPr>
              <w:t>①地面与裙脚要用坚固、防渗的材料建造，建筑材料必须与危险废物相容；</w:t>
            </w:r>
          </w:p>
          <w:p w14:paraId="34731E7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ascii="宋体" w:hAnsi="宋体" w:cs="宋体"/>
                <w:color w:val="auto"/>
                <w:kern w:val="0"/>
                <w:sz w:val="24"/>
                <w:highlight w:val="none"/>
              </w:rPr>
              <w:t>②必须有泄漏液体收集装置、气体导出口及气体净化</w:t>
            </w:r>
            <w:r>
              <w:rPr>
                <w:rFonts w:hint="default"/>
                <w:color w:val="auto"/>
                <w:kern w:val="0"/>
                <w:sz w:val="24"/>
                <w:highlight w:val="none"/>
              </w:rPr>
              <w:t>装置</w:t>
            </w:r>
            <w:r>
              <w:rPr>
                <w:rFonts w:hint="eastAsia"/>
                <w:color w:val="auto"/>
                <w:kern w:val="0"/>
                <w:sz w:val="24"/>
                <w:highlight w:val="none"/>
              </w:rPr>
              <w:t>；</w:t>
            </w:r>
          </w:p>
          <w:p w14:paraId="70ED618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ascii="宋体" w:hAnsi="宋体" w:cs="宋体"/>
                <w:color w:val="auto"/>
                <w:kern w:val="0"/>
                <w:sz w:val="24"/>
                <w:highlight w:val="none"/>
              </w:rPr>
              <w:t>③暂存间应设置</w:t>
            </w:r>
            <w:r>
              <w:rPr>
                <w:rFonts w:hint="default"/>
                <w:color w:val="auto"/>
                <w:kern w:val="0"/>
                <w:sz w:val="24"/>
                <w:highlight w:val="none"/>
              </w:rPr>
              <w:t>安全照明设施和观察窗口</w:t>
            </w:r>
            <w:r>
              <w:rPr>
                <w:rFonts w:hint="eastAsia"/>
                <w:color w:val="auto"/>
                <w:kern w:val="0"/>
                <w:sz w:val="24"/>
                <w:highlight w:val="none"/>
              </w:rPr>
              <w:t>；</w:t>
            </w:r>
          </w:p>
          <w:p w14:paraId="439507B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④地面与裙脚所围建的容积不低于堵截最大容器的最大储量或总储量的五分之一</w:t>
            </w:r>
            <w:r>
              <w:rPr>
                <w:rFonts w:hint="eastAsia"/>
                <w:color w:val="auto"/>
                <w:kern w:val="0"/>
                <w:sz w:val="24"/>
                <w:highlight w:val="none"/>
              </w:rPr>
              <w:t>；</w:t>
            </w:r>
          </w:p>
          <w:p w14:paraId="6E8C5A9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⑤危险废物暂存间的设计要防风、防雨、防晒</w:t>
            </w:r>
            <w:r>
              <w:rPr>
                <w:rFonts w:hint="eastAsia"/>
                <w:color w:val="auto"/>
                <w:kern w:val="0"/>
                <w:sz w:val="24"/>
                <w:highlight w:val="none"/>
              </w:rPr>
              <w:t>；</w:t>
            </w:r>
          </w:p>
          <w:p w14:paraId="5B208F4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⑥不相容的危险废物必须分开存放，并设有隔离间隔断</w:t>
            </w:r>
            <w:r>
              <w:rPr>
                <w:rFonts w:hint="eastAsia"/>
                <w:color w:val="auto"/>
                <w:kern w:val="0"/>
                <w:sz w:val="24"/>
                <w:highlight w:val="none"/>
              </w:rPr>
              <w:t>。</w:t>
            </w:r>
          </w:p>
          <w:p w14:paraId="0B0F1F4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rPr>
              <w:t>（2）</w:t>
            </w:r>
            <w:r>
              <w:rPr>
                <w:rFonts w:hint="default"/>
                <w:color w:val="auto"/>
                <w:kern w:val="0"/>
                <w:sz w:val="24"/>
                <w:highlight w:val="none"/>
              </w:rPr>
              <w:t>危险废物贮存容器</w:t>
            </w:r>
            <w:r>
              <w:rPr>
                <w:rFonts w:hint="eastAsia"/>
                <w:color w:val="auto"/>
                <w:kern w:val="0"/>
                <w:sz w:val="24"/>
                <w:highlight w:val="none"/>
              </w:rPr>
              <w:t>的相关要求</w:t>
            </w:r>
          </w:p>
          <w:p w14:paraId="2A940E6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①使用符合标准的容器盛装危险废物；</w:t>
            </w:r>
          </w:p>
          <w:p w14:paraId="3EC6C2D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②装载危险废物的容器及材质要满足相应的强度要求；</w:t>
            </w:r>
          </w:p>
          <w:p w14:paraId="423CE8C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③装载危险废物的容器必须完好无损；</w:t>
            </w:r>
          </w:p>
          <w:p w14:paraId="7D7D8C2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④盛装危险废物的容器材质和衬里要与危险废物相容（不相互反应）。</w:t>
            </w:r>
          </w:p>
          <w:p w14:paraId="5AB558B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（3）危险废物贮存设施的运行与管理要求</w:t>
            </w:r>
          </w:p>
          <w:p w14:paraId="4A6ECB33">
            <w:pPr>
              <w:keepNext w:val="0"/>
              <w:keepLines w:val="0"/>
              <w:suppressLineNumbers w:val="0"/>
              <w:adjustRightInd w:val="0"/>
              <w:snapToGrid w:val="0"/>
              <w:spacing w:before="0" w:beforeAutospacing="0" w:after="0" w:afterAutospacing="0" w:line="360" w:lineRule="auto"/>
              <w:ind w:left="0" w:right="0" w:firstLine="480" w:firstLineChars="200"/>
              <w:rPr>
                <w:rFonts w:hint="default"/>
                <w:smallCaps/>
                <w:color w:val="auto"/>
                <w:kern w:val="0"/>
                <w:sz w:val="24"/>
                <w:highlight w:val="none"/>
              </w:rPr>
            </w:pPr>
            <w:r>
              <w:rPr>
                <w:rFonts w:hint="default"/>
                <w:smallCaps/>
                <w:color w:val="auto"/>
                <w:kern w:val="0"/>
                <w:sz w:val="24"/>
                <w:highlight w:val="none"/>
              </w:rPr>
              <w:t>①危险废物贮存前应进行检验，确保同预定接收的危险废物一致，并登记注册；</w:t>
            </w:r>
          </w:p>
          <w:p w14:paraId="5976DA46">
            <w:pPr>
              <w:keepNext w:val="0"/>
              <w:keepLines w:val="0"/>
              <w:suppressLineNumbers w:val="0"/>
              <w:adjustRightInd w:val="0"/>
              <w:snapToGrid w:val="0"/>
              <w:spacing w:before="0" w:beforeAutospacing="0" w:after="0" w:afterAutospacing="0" w:line="360" w:lineRule="auto"/>
              <w:ind w:left="0" w:right="0" w:firstLine="480" w:firstLineChars="200"/>
              <w:rPr>
                <w:rFonts w:hint="default"/>
                <w:smallCaps/>
                <w:color w:val="auto"/>
                <w:kern w:val="0"/>
                <w:sz w:val="24"/>
                <w:highlight w:val="none"/>
              </w:rPr>
            </w:pPr>
            <w:r>
              <w:rPr>
                <w:rFonts w:hint="default"/>
                <w:smallCaps/>
                <w:color w:val="auto"/>
                <w:kern w:val="0"/>
                <w:sz w:val="24"/>
                <w:highlight w:val="none"/>
              </w:rPr>
              <w:t>②不得将不相容的废物混合或合并存放；</w:t>
            </w:r>
          </w:p>
          <w:p w14:paraId="1BB548D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rPr>
            </w:pPr>
            <w:r>
              <w:rPr>
                <w:rFonts w:hint="default"/>
                <w:smallCaps/>
                <w:color w:val="auto"/>
                <w:kern w:val="0"/>
                <w:sz w:val="24"/>
                <w:highlight w:val="none"/>
              </w:rPr>
              <w:t>③须作好危险废物情况的记录，记录上须注明危险废物的名称、来源、数量、特性和包装容器的类别，入库日期、存放库位、废物出库日期及接受单位名称。危险废物的记录和货单在危险废物回取后应继续保留3年，实行危险废物转移联单管理制度。</w:t>
            </w:r>
          </w:p>
          <w:p w14:paraId="3077C44D">
            <w:pPr>
              <w:pStyle w:val="17"/>
              <w:keepNext w:val="0"/>
              <w:keepLines w:val="0"/>
              <w:suppressLineNumbers w:val="0"/>
              <w:snapToGrid w:val="0"/>
              <w:spacing w:beforeAutospacing="0" w:after="0" w:afterAutospacing="0" w:line="360" w:lineRule="auto"/>
              <w:ind w:left="0" w:firstLine="480" w:firstLineChars="0"/>
              <w:rPr>
                <w:rFonts w:hint="eastAsia" w:cs="Times New Roman"/>
                <w:b/>
                <w:bCs w:val="0"/>
                <w:color w:val="auto"/>
                <w:spacing w:val="-10"/>
                <w:sz w:val="24"/>
                <w:szCs w:val="24"/>
                <w:highlight w:val="none"/>
                <w:shd w:val="clear" w:color="auto" w:fill="auto"/>
                <w:lang w:val="en-US" w:eastAsia="zh-CN"/>
              </w:rPr>
            </w:pPr>
            <w:r>
              <w:rPr>
                <w:rFonts w:hint="default"/>
                <w:color w:val="auto"/>
                <w:highlight w:val="none"/>
              </w:rPr>
              <w:t>项目在严格落实环评提出的各项固体废弃物收集、</w:t>
            </w:r>
            <w:r>
              <w:rPr>
                <w:rFonts w:hint="eastAsia"/>
                <w:color w:val="auto"/>
                <w:highlight w:val="none"/>
                <w:lang w:val="en-US" w:eastAsia="zh-CN"/>
              </w:rPr>
              <w:t>贮存</w:t>
            </w:r>
            <w:r>
              <w:rPr>
                <w:rFonts w:hint="default"/>
                <w:color w:val="auto"/>
                <w:highlight w:val="none"/>
              </w:rPr>
              <w:t>设施确实实施的情况下，一般固体废弃物的</w:t>
            </w:r>
            <w:r>
              <w:rPr>
                <w:rFonts w:hint="eastAsia"/>
                <w:color w:val="auto"/>
                <w:highlight w:val="none"/>
                <w:lang w:val="en-US" w:eastAsia="zh-CN"/>
              </w:rPr>
              <w:t>贮存</w:t>
            </w:r>
            <w:r>
              <w:rPr>
                <w:rFonts w:hint="default"/>
                <w:color w:val="auto"/>
                <w:highlight w:val="none"/>
              </w:rPr>
              <w:t>处置能够达到《一般工业固体废物贮存和填埋污染控制标准》（GB18599-2020）</w:t>
            </w:r>
            <w:r>
              <w:rPr>
                <w:rFonts w:hint="default"/>
                <w:color w:val="auto"/>
                <w:kern w:val="0"/>
                <w:highlight w:val="none"/>
              </w:rPr>
              <w:t>中有关规定</w:t>
            </w:r>
            <w:r>
              <w:rPr>
                <w:rFonts w:hint="default"/>
                <w:color w:val="auto"/>
                <w:highlight w:val="none"/>
              </w:rPr>
              <w:t>，项目所产生的危险废物能够满足</w:t>
            </w:r>
            <w:r>
              <w:rPr>
                <w:rFonts w:hint="default"/>
                <w:color w:val="auto"/>
                <w:sz w:val="24"/>
                <w:highlight w:val="none"/>
              </w:rPr>
              <w:t>《危险废物贮存污染控制标准》（GB18597-20</w:t>
            </w:r>
            <w:r>
              <w:rPr>
                <w:rFonts w:hint="eastAsia"/>
                <w:color w:val="auto"/>
                <w:sz w:val="24"/>
                <w:highlight w:val="none"/>
              </w:rPr>
              <w:t>23</w:t>
            </w:r>
            <w:r>
              <w:rPr>
                <w:rFonts w:hint="default"/>
                <w:color w:val="auto"/>
                <w:sz w:val="24"/>
                <w:highlight w:val="none"/>
              </w:rPr>
              <w:t>）</w:t>
            </w:r>
            <w:r>
              <w:rPr>
                <w:rFonts w:hint="default"/>
                <w:color w:val="auto"/>
                <w:kern w:val="0"/>
                <w:highlight w:val="none"/>
              </w:rPr>
              <w:t>中有关规定</w:t>
            </w:r>
            <w:r>
              <w:rPr>
                <w:rFonts w:hint="default"/>
                <w:color w:val="auto"/>
                <w:highlight w:val="none"/>
              </w:rPr>
              <w:t>，项目所产生的固体废弃物能够得到合理、有效的处置，各固体废弃物去向明确，处置率达到100%，对环境的影响较小。</w:t>
            </w:r>
          </w:p>
          <w:p w14:paraId="2CF207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outlineLvl w:val="9"/>
              <w:rPr>
                <w:rFonts w:hint="eastAsia" w:cs="Times New Roman"/>
                <w:b/>
                <w:bCs w:val="0"/>
                <w:color w:val="auto"/>
                <w:spacing w:val="-10"/>
                <w:sz w:val="24"/>
                <w:szCs w:val="24"/>
                <w:highlight w:val="none"/>
                <w:shd w:val="clear" w:color="auto" w:fill="auto"/>
                <w:lang w:val="en-US" w:eastAsia="zh-CN"/>
              </w:rPr>
            </w:pPr>
            <w:r>
              <w:rPr>
                <w:rFonts w:hint="eastAsia" w:ascii="Times New Roman" w:hAnsi="Times New Roman" w:eastAsia="宋体" w:cs="Times New Roman"/>
                <w:b/>
                <w:bCs/>
                <w:color w:val="auto"/>
                <w:sz w:val="24"/>
                <w:szCs w:val="28"/>
                <w:highlight w:val="none"/>
                <w:lang w:val="en-US" w:eastAsia="zh-CN"/>
              </w:rPr>
              <w:t>五、</w:t>
            </w:r>
            <w:r>
              <w:rPr>
                <w:rFonts w:hint="eastAsia" w:cs="Times New Roman"/>
                <w:b/>
                <w:bCs w:val="0"/>
                <w:color w:val="auto"/>
                <w:spacing w:val="-10"/>
                <w:sz w:val="24"/>
                <w:szCs w:val="24"/>
                <w:highlight w:val="none"/>
                <w:shd w:val="clear" w:color="auto" w:fill="auto"/>
                <w:lang w:val="en-US" w:eastAsia="zh-CN"/>
              </w:rPr>
              <w:t>地下水、土壤</w:t>
            </w:r>
          </w:p>
          <w:p w14:paraId="2FCEFA7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1、影响分析</w:t>
            </w:r>
          </w:p>
          <w:p w14:paraId="0DAE261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污染源分析</w:t>
            </w:r>
          </w:p>
          <w:p w14:paraId="5283322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本项目正常工况下，不会产生地下水、土壤污染，只有在事故状态下，项目内暂存的废矿物油</w:t>
            </w:r>
            <w:r>
              <w:rPr>
                <w:rFonts w:hint="eastAsia" w:cs="Times New Roman"/>
                <w:color w:val="auto"/>
                <w:sz w:val="24"/>
                <w:highlight w:val="none"/>
                <w:lang w:val="zh-CN"/>
              </w:rPr>
              <w:t>、生活污水</w:t>
            </w:r>
            <w:r>
              <w:rPr>
                <w:rFonts w:hint="default" w:ascii="Times New Roman" w:hAnsi="Times New Roman" w:eastAsia="宋体" w:cs="Times New Roman"/>
                <w:color w:val="auto"/>
                <w:sz w:val="24"/>
                <w:highlight w:val="none"/>
                <w:lang w:val="zh-CN"/>
              </w:rPr>
              <w:t>可能会发生</w:t>
            </w:r>
            <w:r>
              <w:rPr>
                <w:rFonts w:hint="eastAsia" w:ascii="Times New Roman" w:hAnsi="Times New Roman" w:cs="Times New Roman"/>
                <w:color w:val="auto"/>
                <w:sz w:val="24"/>
                <w:highlight w:val="none"/>
                <w:lang w:val="en-US" w:eastAsia="zh-CN"/>
              </w:rPr>
              <w:t>泄漏</w:t>
            </w:r>
            <w:r>
              <w:rPr>
                <w:rFonts w:hint="default" w:ascii="Times New Roman" w:hAnsi="Times New Roman" w:eastAsia="宋体" w:cs="Times New Roman"/>
                <w:color w:val="auto"/>
                <w:sz w:val="24"/>
                <w:highlight w:val="none"/>
                <w:lang w:val="zh-CN"/>
              </w:rPr>
              <w:t>等</w:t>
            </w:r>
            <w:r>
              <w:rPr>
                <w:rFonts w:hint="eastAsia" w:ascii="Times New Roman" w:hAnsi="Times New Roman" w:cs="Times New Roman"/>
                <w:color w:val="auto"/>
                <w:sz w:val="24"/>
                <w:highlight w:val="none"/>
                <w:lang w:val="en-US" w:eastAsia="zh-CN"/>
              </w:rPr>
              <w:t>风险</w:t>
            </w:r>
            <w:r>
              <w:rPr>
                <w:rFonts w:hint="default" w:ascii="Times New Roman" w:hAnsi="Times New Roman" w:eastAsia="宋体" w:cs="Times New Roman"/>
                <w:color w:val="auto"/>
                <w:sz w:val="24"/>
                <w:highlight w:val="none"/>
                <w:lang w:val="zh-CN"/>
              </w:rPr>
              <w:t>，可能对周边土壤造成污染，长时间</w:t>
            </w:r>
            <w:r>
              <w:rPr>
                <w:rFonts w:hint="eastAsia" w:ascii="Times New Roman" w:hAnsi="Times New Roman" w:cs="Times New Roman"/>
                <w:color w:val="auto"/>
                <w:sz w:val="24"/>
                <w:highlight w:val="none"/>
                <w:lang w:val="en-US" w:eastAsia="zh-CN"/>
              </w:rPr>
              <w:t>泄漏</w:t>
            </w:r>
            <w:r>
              <w:rPr>
                <w:rFonts w:hint="default" w:ascii="Times New Roman" w:hAnsi="Times New Roman" w:eastAsia="宋体" w:cs="Times New Roman"/>
                <w:color w:val="auto"/>
                <w:sz w:val="24"/>
                <w:highlight w:val="none"/>
                <w:lang w:val="zh-CN"/>
              </w:rPr>
              <w:t>可能深入地下对地下水造成污染。</w:t>
            </w:r>
          </w:p>
          <w:p w14:paraId="78CD0E4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zh-CN"/>
              </w:rPr>
              <w:t>）污染物类型和污染途径识别</w:t>
            </w:r>
          </w:p>
          <w:p w14:paraId="63B7C21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影响类型与影响途径识别</w:t>
            </w:r>
          </w:p>
          <w:p w14:paraId="27A8453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本项目对周边</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土壤环境影响的类型与影响途径见表4-</w:t>
            </w:r>
            <w:r>
              <w:rPr>
                <w:rFonts w:hint="eastAsia"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rPr>
              <w:t>。</w:t>
            </w:r>
          </w:p>
          <w:p w14:paraId="1556C051">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
                <w:color w:val="auto"/>
                <w:szCs w:val="21"/>
                <w:highlight w:val="none"/>
              </w:rPr>
            </w:pPr>
            <w:r>
              <w:rPr>
                <w:rStyle w:val="68"/>
                <w:rFonts w:hint="default" w:ascii="Times New Roman" w:hAnsi="Times New Roman" w:eastAsia="宋体" w:cs="Times New Roman"/>
                <w:b/>
                <w:color w:val="auto"/>
                <w:szCs w:val="21"/>
                <w:highlight w:val="none"/>
              </w:rPr>
              <w:t>表4-</w:t>
            </w:r>
            <w:r>
              <w:rPr>
                <w:rStyle w:val="68"/>
                <w:rFonts w:hint="eastAsia" w:cs="Times New Roman"/>
                <w:b/>
                <w:color w:val="auto"/>
                <w:szCs w:val="21"/>
                <w:highlight w:val="none"/>
                <w:lang w:val="en-US" w:eastAsia="zh-CN"/>
              </w:rPr>
              <w:t>1</w:t>
            </w:r>
            <w:r>
              <w:rPr>
                <w:rStyle w:val="68"/>
                <w:rFonts w:hint="eastAsia" w:ascii="Times New Roman" w:hAnsi="Times New Roman" w:cs="Times New Roman"/>
                <w:b/>
                <w:color w:val="auto"/>
                <w:szCs w:val="21"/>
                <w:highlight w:val="none"/>
                <w:lang w:val="en-US" w:eastAsia="zh-CN"/>
              </w:rPr>
              <w:t>6</w:t>
            </w:r>
            <w:r>
              <w:rPr>
                <w:rStyle w:val="68"/>
                <w:rFonts w:hint="default" w:ascii="Times New Roman" w:hAnsi="Times New Roman" w:eastAsia="宋体" w:cs="Times New Roman"/>
                <w:b/>
                <w:color w:val="auto"/>
                <w:szCs w:val="21"/>
                <w:highlight w:val="none"/>
              </w:rPr>
              <w:t xml:space="preserve"> 项目土壤、地下水环境影响类型与影响途径识别表</w:t>
            </w:r>
          </w:p>
          <w:tbl>
            <w:tblPr>
              <w:tblStyle w:val="31"/>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14:paraId="0E01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14:paraId="2E34E2F2">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时段</w:t>
                  </w:r>
                </w:p>
              </w:tc>
              <w:tc>
                <w:tcPr>
                  <w:tcW w:w="6525" w:type="dxa"/>
                  <w:gridSpan w:val="4"/>
                  <w:vAlign w:val="center"/>
                </w:tcPr>
                <w:p w14:paraId="34F1F371">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污染影响类型</w:t>
                  </w:r>
                </w:p>
              </w:tc>
            </w:tr>
            <w:tr w14:paraId="7132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14:paraId="3DAF98C6">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p>
              </w:tc>
              <w:tc>
                <w:tcPr>
                  <w:tcW w:w="1484" w:type="dxa"/>
                  <w:vAlign w:val="center"/>
                </w:tcPr>
                <w:p w14:paraId="644F7D09">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大气沉降</w:t>
                  </w:r>
                </w:p>
              </w:tc>
              <w:tc>
                <w:tcPr>
                  <w:tcW w:w="1724" w:type="dxa"/>
                  <w:vAlign w:val="center"/>
                </w:tcPr>
                <w:p w14:paraId="43421383">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地面漫流</w:t>
                  </w:r>
                </w:p>
              </w:tc>
              <w:tc>
                <w:tcPr>
                  <w:tcW w:w="1760" w:type="dxa"/>
                  <w:vAlign w:val="center"/>
                </w:tcPr>
                <w:p w14:paraId="2C9E13CA">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垂直入渗</w:t>
                  </w:r>
                </w:p>
              </w:tc>
              <w:tc>
                <w:tcPr>
                  <w:tcW w:w="1557" w:type="dxa"/>
                  <w:vAlign w:val="center"/>
                </w:tcPr>
                <w:p w14:paraId="7C04A556">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其他</w:t>
                  </w:r>
                </w:p>
              </w:tc>
            </w:tr>
            <w:tr w14:paraId="6263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14:paraId="2934B08F">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运营期</w:t>
                  </w:r>
                </w:p>
              </w:tc>
              <w:tc>
                <w:tcPr>
                  <w:tcW w:w="1484" w:type="dxa"/>
                  <w:vAlign w:val="center"/>
                </w:tcPr>
                <w:p w14:paraId="3D1477FC">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w:t>
                  </w:r>
                </w:p>
              </w:tc>
              <w:tc>
                <w:tcPr>
                  <w:tcW w:w="1724" w:type="dxa"/>
                  <w:vAlign w:val="center"/>
                </w:tcPr>
                <w:p w14:paraId="3ABB7777">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w:t>
                  </w:r>
                </w:p>
              </w:tc>
              <w:tc>
                <w:tcPr>
                  <w:tcW w:w="1760" w:type="dxa"/>
                  <w:vAlign w:val="center"/>
                </w:tcPr>
                <w:p w14:paraId="31D71F46">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w:t>
                  </w:r>
                </w:p>
              </w:tc>
              <w:tc>
                <w:tcPr>
                  <w:tcW w:w="1557" w:type="dxa"/>
                  <w:vAlign w:val="center"/>
                </w:tcPr>
                <w:p w14:paraId="31D7BC2C">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w:t>
                  </w:r>
                </w:p>
              </w:tc>
            </w:tr>
          </w:tbl>
          <w:p w14:paraId="2727400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2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w:t>
            </w:r>
            <w:r>
              <w:rPr>
                <w:rFonts w:hint="default" w:ascii="Times New Roman" w:hAnsi="Times New Roman" w:eastAsia="宋体" w:cs="Times New Roman"/>
                <w:color w:val="auto"/>
                <w:sz w:val="24"/>
                <w:highlight w:val="none"/>
              </w:rPr>
              <w:t>源及影响因子</w:t>
            </w:r>
          </w:p>
          <w:p w14:paraId="5CD828D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项目对</w:t>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zh-CN"/>
              </w:rPr>
              <w:t>影响</w:t>
            </w:r>
            <w:r>
              <w:rPr>
                <w:rFonts w:hint="default" w:ascii="Times New Roman" w:hAnsi="Times New Roman" w:eastAsia="宋体" w:cs="Times New Roman"/>
                <w:color w:val="auto"/>
                <w:sz w:val="24"/>
                <w:highlight w:val="none"/>
              </w:rPr>
              <w:t>源及影响因子</w:t>
            </w:r>
            <w:r>
              <w:rPr>
                <w:rFonts w:hint="default" w:ascii="Times New Roman" w:hAnsi="Times New Roman" w:eastAsia="宋体" w:cs="Times New Roman"/>
                <w:color w:val="auto"/>
                <w:sz w:val="24"/>
                <w:highlight w:val="none"/>
                <w:lang w:val="zh-CN"/>
              </w:rPr>
              <w:t>见表4-</w:t>
            </w:r>
            <w:r>
              <w:rPr>
                <w:rFonts w:hint="eastAsia" w:cs="Times New Roman"/>
                <w:color w:val="auto"/>
                <w:sz w:val="24"/>
                <w:highlight w:val="none"/>
                <w:lang w:val="en-US" w:eastAsia="zh-CN"/>
              </w:rPr>
              <w:t>17</w:t>
            </w:r>
            <w:r>
              <w:rPr>
                <w:rFonts w:hint="default" w:ascii="Times New Roman" w:hAnsi="Times New Roman" w:eastAsia="宋体" w:cs="Times New Roman"/>
                <w:color w:val="auto"/>
                <w:sz w:val="24"/>
                <w:highlight w:val="none"/>
                <w:lang w:val="zh-CN"/>
              </w:rPr>
              <w:t>。</w:t>
            </w:r>
          </w:p>
          <w:p w14:paraId="6F4B1289">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
                <w:color w:val="auto"/>
                <w:szCs w:val="21"/>
                <w:highlight w:val="none"/>
              </w:rPr>
            </w:pPr>
            <w:r>
              <w:rPr>
                <w:rStyle w:val="68"/>
                <w:rFonts w:hint="default" w:ascii="Times New Roman" w:hAnsi="Times New Roman" w:eastAsia="宋体" w:cs="Times New Roman"/>
                <w:b/>
                <w:color w:val="auto"/>
                <w:szCs w:val="21"/>
                <w:highlight w:val="none"/>
              </w:rPr>
              <w:t>表4-</w:t>
            </w:r>
            <w:r>
              <w:rPr>
                <w:rStyle w:val="68"/>
                <w:rFonts w:hint="eastAsia" w:cs="Times New Roman"/>
                <w:b/>
                <w:color w:val="auto"/>
                <w:szCs w:val="21"/>
                <w:highlight w:val="none"/>
                <w:lang w:val="en-US" w:eastAsia="zh-CN"/>
              </w:rPr>
              <w:t>17</w:t>
            </w:r>
            <w:r>
              <w:rPr>
                <w:rStyle w:val="68"/>
                <w:rFonts w:hint="default" w:ascii="Times New Roman" w:hAnsi="Times New Roman" w:eastAsia="宋体" w:cs="Times New Roman"/>
                <w:b/>
                <w:color w:val="auto"/>
                <w:szCs w:val="21"/>
                <w:highlight w:val="none"/>
              </w:rPr>
              <w:t xml:space="preserve">  项目土壤、地下水环境影响源及影响因子识别表</w:t>
            </w:r>
          </w:p>
          <w:tbl>
            <w:tblPr>
              <w:tblStyle w:val="31"/>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605"/>
              <w:gridCol w:w="1260"/>
              <w:gridCol w:w="1395"/>
              <w:gridCol w:w="2779"/>
            </w:tblGrid>
            <w:tr w14:paraId="788B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679963BB">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污染源</w:t>
                  </w:r>
                </w:p>
              </w:tc>
              <w:tc>
                <w:tcPr>
                  <w:tcW w:w="1605" w:type="dxa"/>
                  <w:vAlign w:val="center"/>
                </w:tcPr>
                <w:p w14:paraId="3250EEDE">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工艺流程/环节</w:t>
                  </w:r>
                </w:p>
              </w:tc>
              <w:tc>
                <w:tcPr>
                  <w:tcW w:w="1260" w:type="dxa"/>
                  <w:vAlign w:val="center"/>
                </w:tcPr>
                <w:p w14:paraId="2D17E359">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污染途径</w:t>
                  </w:r>
                </w:p>
              </w:tc>
              <w:tc>
                <w:tcPr>
                  <w:tcW w:w="1395" w:type="dxa"/>
                  <w:vAlign w:val="center"/>
                </w:tcPr>
                <w:p w14:paraId="5F506BEB">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污染物</w:t>
                  </w:r>
                </w:p>
              </w:tc>
              <w:tc>
                <w:tcPr>
                  <w:tcW w:w="2779" w:type="dxa"/>
                  <w:vAlign w:val="center"/>
                </w:tcPr>
                <w:p w14:paraId="49ACBD11">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备注</w:t>
                  </w:r>
                </w:p>
              </w:tc>
            </w:tr>
            <w:tr w14:paraId="7801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126975D7">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危险废物暂存间</w:t>
                  </w:r>
                </w:p>
              </w:tc>
              <w:tc>
                <w:tcPr>
                  <w:tcW w:w="1605" w:type="dxa"/>
                  <w:vAlign w:val="center"/>
                </w:tcPr>
                <w:p w14:paraId="3E60CD66">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危险废物暂存</w:t>
                  </w:r>
                </w:p>
              </w:tc>
              <w:tc>
                <w:tcPr>
                  <w:tcW w:w="1260" w:type="dxa"/>
                  <w:vAlign w:val="center"/>
                </w:tcPr>
                <w:p w14:paraId="399DBB6E">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垂直入渗</w:t>
                  </w:r>
                </w:p>
              </w:tc>
              <w:tc>
                <w:tcPr>
                  <w:tcW w:w="1395" w:type="dxa"/>
                  <w:vAlign w:val="center"/>
                </w:tcPr>
                <w:p w14:paraId="35510843">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废矿物油</w:t>
                  </w:r>
                </w:p>
              </w:tc>
              <w:tc>
                <w:tcPr>
                  <w:tcW w:w="2779" w:type="dxa"/>
                  <w:vAlign w:val="center"/>
                </w:tcPr>
                <w:p w14:paraId="23C2ADC9">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危废收集容器损坏，废矿物油泄漏渗入土壤造成污染</w:t>
                  </w:r>
                </w:p>
              </w:tc>
            </w:tr>
            <w:tr w14:paraId="0A66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14:paraId="1C37FB40">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eastAsia" w:ascii="Times New Roman" w:hAnsi="Times New Roman" w:eastAsia="宋体" w:cs="Times New Roman"/>
                      <w:bCs/>
                      <w:color w:val="auto"/>
                      <w:szCs w:val="21"/>
                      <w:highlight w:val="none"/>
                      <w:lang w:val="en-US" w:eastAsia="zh-CN"/>
                    </w:rPr>
                  </w:pPr>
                  <w:r>
                    <w:rPr>
                      <w:rStyle w:val="68"/>
                      <w:rFonts w:hint="eastAsia" w:cs="Times New Roman"/>
                      <w:bCs/>
                      <w:color w:val="auto"/>
                      <w:szCs w:val="21"/>
                      <w:highlight w:val="none"/>
                      <w:lang w:val="en-US" w:eastAsia="zh-CN"/>
                    </w:rPr>
                    <w:t>污水处理站</w:t>
                  </w:r>
                </w:p>
              </w:tc>
              <w:tc>
                <w:tcPr>
                  <w:tcW w:w="1605" w:type="dxa"/>
                  <w:vAlign w:val="center"/>
                </w:tcPr>
                <w:p w14:paraId="2BE5295A">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lang w:val="en-US" w:eastAsia="zh-CN"/>
                    </w:rPr>
                  </w:pPr>
                  <w:r>
                    <w:rPr>
                      <w:rStyle w:val="68"/>
                      <w:rFonts w:hint="eastAsia" w:cs="Times New Roman"/>
                      <w:bCs/>
                      <w:color w:val="auto"/>
                      <w:szCs w:val="21"/>
                      <w:highlight w:val="none"/>
                      <w:lang w:val="en-US" w:eastAsia="zh-CN"/>
                    </w:rPr>
                    <w:t>生活污水处理</w:t>
                  </w:r>
                </w:p>
              </w:tc>
              <w:tc>
                <w:tcPr>
                  <w:tcW w:w="1260" w:type="dxa"/>
                  <w:vAlign w:val="center"/>
                </w:tcPr>
                <w:p w14:paraId="206C574F">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default" w:ascii="Times New Roman" w:hAnsi="Times New Roman" w:eastAsia="宋体" w:cs="Times New Roman"/>
                      <w:bCs/>
                      <w:color w:val="auto"/>
                      <w:szCs w:val="21"/>
                      <w:highlight w:val="none"/>
                    </w:rPr>
                    <w:t>垂直入渗</w:t>
                  </w:r>
                </w:p>
              </w:tc>
              <w:tc>
                <w:tcPr>
                  <w:tcW w:w="1395" w:type="dxa"/>
                  <w:vAlign w:val="center"/>
                </w:tcPr>
                <w:p w14:paraId="6CBA1D37">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lang w:val="en-US"/>
                    </w:rPr>
                  </w:pPr>
                  <w:r>
                    <w:rPr>
                      <w:rStyle w:val="68"/>
                      <w:rFonts w:hint="eastAsia" w:cs="Times New Roman"/>
                      <w:bCs/>
                      <w:color w:val="auto"/>
                      <w:szCs w:val="21"/>
                      <w:highlight w:val="none"/>
                      <w:lang w:val="en-US" w:eastAsia="zh-CN"/>
                    </w:rPr>
                    <w:t>COD、氨氮等</w:t>
                  </w:r>
                </w:p>
              </w:tc>
              <w:tc>
                <w:tcPr>
                  <w:tcW w:w="2779" w:type="dxa"/>
                  <w:vAlign w:val="center"/>
                </w:tcPr>
                <w:p w14:paraId="261B03DE">
                  <w:pPr>
                    <w:pStyle w:val="67"/>
                    <w:keepNext w:val="0"/>
                    <w:keepLines w:val="0"/>
                    <w:pageBreakBefore w:val="0"/>
                    <w:suppressLineNumbers w:val="0"/>
                    <w:kinsoku/>
                    <w:wordWrap/>
                    <w:overflowPunct/>
                    <w:topLinePunct w:val="0"/>
                    <w:bidi w:val="0"/>
                    <w:adjustRightInd w:val="0"/>
                    <w:snapToGrid w:val="0"/>
                    <w:spacing w:before="0" w:beforeAutospacing="0" w:after="0" w:afterAutospacing="0"/>
                    <w:ind w:left="0" w:right="0"/>
                    <w:rPr>
                      <w:rStyle w:val="68"/>
                      <w:rFonts w:hint="default" w:ascii="Times New Roman" w:hAnsi="Times New Roman" w:eastAsia="宋体" w:cs="Times New Roman"/>
                      <w:bCs/>
                      <w:color w:val="auto"/>
                      <w:szCs w:val="21"/>
                      <w:highlight w:val="none"/>
                    </w:rPr>
                  </w:pPr>
                  <w:r>
                    <w:rPr>
                      <w:rStyle w:val="68"/>
                      <w:rFonts w:hint="eastAsia" w:cs="Times New Roman"/>
                      <w:bCs/>
                      <w:color w:val="auto"/>
                      <w:szCs w:val="21"/>
                      <w:highlight w:val="none"/>
                      <w:lang w:val="en-US" w:eastAsia="zh-CN"/>
                    </w:rPr>
                    <w:t>污水处理站事故、破损</w:t>
                  </w:r>
                  <w:r>
                    <w:rPr>
                      <w:rStyle w:val="68"/>
                      <w:rFonts w:hint="default" w:ascii="Times New Roman" w:hAnsi="Times New Roman" w:eastAsia="宋体" w:cs="Times New Roman"/>
                      <w:bCs/>
                      <w:color w:val="auto"/>
                      <w:szCs w:val="21"/>
                      <w:highlight w:val="none"/>
                    </w:rPr>
                    <w:t>，</w:t>
                  </w:r>
                  <w:r>
                    <w:rPr>
                      <w:rStyle w:val="68"/>
                      <w:rFonts w:hint="eastAsia" w:cs="Times New Roman"/>
                      <w:bCs/>
                      <w:color w:val="auto"/>
                      <w:szCs w:val="21"/>
                      <w:highlight w:val="none"/>
                      <w:lang w:val="en-US" w:eastAsia="zh-CN"/>
                    </w:rPr>
                    <w:t>生活污水</w:t>
                  </w:r>
                  <w:r>
                    <w:rPr>
                      <w:rStyle w:val="68"/>
                      <w:rFonts w:hint="default" w:ascii="Times New Roman" w:hAnsi="Times New Roman" w:eastAsia="宋体" w:cs="Times New Roman"/>
                      <w:bCs/>
                      <w:color w:val="auto"/>
                      <w:szCs w:val="21"/>
                      <w:highlight w:val="none"/>
                    </w:rPr>
                    <w:t>泄漏渗入土壤造成污染</w:t>
                  </w:r>
                </w:p>
              </w:tc>
            </w:tr>
          </w:tbl>
          <w:p w14:paraId="5487EB18">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分区防控措施</w:t>
            </w:r>
          </w:p>
          <w:p w14:paraId="4468C40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lang w:eastAsia="zh-CN"/>
              </w:rPr>
            </w:pPr>
            <w:r>
              <w:rPr>
                <w:rFonts w:hint="default" w:ascii="Times New Roman" w:hAnsi="Times New Roman" w:eastAsia="宋体" w:cs="Times New Roman"/>
                <w:color w:val="auto"/>
                <w:sz w:val="24"/>
                <w:highlight w:val="none"/>
                <w:lang w:val="zh-CN"/>
              </w:rPr>
              <w:t>根据以上分析，项目存在土壤、地下水污染源的区域主要为</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w:t>
            </w:r>
            <w:r>
              <w:rPr>
                <w:rFonts w:hint="eastAsia" w:cs="Times New Roman"/>
                <w:color w:val="auto"/>
                <w:sz w:val="24"/>
                <w:highlight w:val="none"/>
                <w:lang w:val="zh-CN"/>
              </w:rPr>
              <w:t>、</w:t>
            </w:r>
            <w:r>
              <w:rPr>
                <w:rFonts w:hint="eastAsia" w:cs="Times New Roman"/>
                <w:color w:val="auto"/>
                <w:sz w:val="24"/>
                <w:highlight w:val="none"/>
                <w:lang w:val="en-US" w:eastAsia="zh-CN"/>
              </w:rPr>
              <w:t>污水处理站</w:t>
            </w:r>
            <w:r>
              <w:rPr>
                <w:rFonts w:hint="default" w:ascii="Times New Roman" w:hAnsi="Times New Roman" w:eastAsia="宋体" w:cs="Times New Roman"/>
                <w:color w:val="auto"/>
                <w:sz w:val="24"/>
                <w:highlight w:val="none"/>
                <w:lang w:val="zh-CN"/>
              </w:rPr>
              <w:t>，项目</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w:t>
            </w:r>
            <w:r>
              <w:rPr>
                <w:rFonts w:hint="default" w:ascii="Times New Roman" w:hAnsi="Times New Roman" w:eastAsia="宋体" w:cs="Times New Roman"/>
                <w:color w:val="auto"/>
                <w:sz w:val="24"/>
                <w:highlight w:val="none"/>
              </w:rPr>
              <w:t>应</w:t>
            </w:r>
            <w:r>
              <w:rPr>
                <w:rFonts w:hint="default" w:ascii="Times New Roman" w:hAnsi="Times New Roman" w:eastAsia="宋体" w:cs="Times New Roman"/>
                <w:color w:val="auto"/>
                <w:sz w:val="24"/>
                <w:highlight w:val="none"/>
                <w:lang w:val="zh-CN"/>
              </w:rPr>
              <w:t>按照</w:t>
            </w:r>
            <w:r>
              <w:rPr>
                <w:rFonts w:hint="default"/>
                <w:color w:val="auto"/>
                <w:sz w:val="24"/>
                <w:highlight w:val="none"/>
              </w:rPr>
              <w:t>《危险废物贮存污染控制标准》（GB18597-20</w:t>
            </w:r>
            <w:r>
              <w:rPr>
                <w:rFonts w:hint="eastAsia"/>
                <w:color w:val="auto"/>
                <w:sz w:val="24"/>
                <w:highlight w:val="none"/>
              </w:rPr>
              <w:t>23</w:t>
            </w:r>
            <w:r>
              <w:rPr>
                <w:rFonts w:hint="default"/>
                <w:color w:val="auto"/>
                <w:sz w:val="24"/>
                <w:highlight w:val="none"/>
              </w:rPr>
              <w:t>）</w:t>
            </w:r>
            <w:r>
              <w:rPr>
                <w:rFonts w:hint="default" w:ascii="Times New Roman" w:hAnsi="Times New Roman" w:eastAsia="宋体" w:cs="Times New Roman"/>
                <w:color w:val="auto"/>
                <w:sz w:val="24"/>
                <w:highlight w:val="none"/>
                <w:lang w:val="zh-CN"/>
              </w:rPr>
              <w:t>中要求</w:t>
            </w:r>
            <w:r>
              <w:rPr>
                <w:rFonts w:hint="default" w:ascii="Times New Roman" w:hAnsi="Times New Roman" w:eastAsia="宋体" w:cs="Times New Roman"/>
                <w:color w:val="auto"/>
                <w:sz w:val="24"/>
                <w:highlight w:val="none"/>
              </w:rPr>
              <w:t>进行重点防渗</w:t>
            </w:r>
            <w:r>
              <w:rPr>
                <w:rFonts w:hint="default" w:ascii="Times New Roman" w:hAnsi="Times New Roman" w:eastAsia="宋体" w:cs="Times New Roman"/>
                <w:color w:val="auto"/>
                <w:sz w:val="24"/>
                <w:highlight w:val="none"/>
                <w:lang w:val="zh-CN"/>
              </w:rPr>
              <w:t>，对地面和裙角进行防渗建设，防渗系数≤10</w:t>
            </w:r>
            <w:r>
              <w:rPr>
                <w:rFonts w:hint="default" w:ascii="Times New Roman" w:hAnsi="Times New Roman" w:eastAsia="宋体" w:cs="Times New Roman"/>
                <w:color w:val="auto"/>
                <w:sz w:val="24"/>
                <w:highlight w:val="none"/>
                <w:vertAlign w:val="superscript"/>
                <w:lang w:val="zh-CN"/>
              </w:rPr>
              <w:t>-10</w:t>
            </w:r>
            <w:r>
              <w:rPr>
                <w:rFonts w:hint="default" w:ascii="Times New Roman" w:hAnsi="Times New Roman" w:eastAsia="宋体" w:cs="Times New Roman"/>
                <w:color w:val="auto"/>
                <w:sz w:val="24"/>
                <w:highlight w:val="none"/>
                <w:lang w:val="zh-CN"/>
              </w:rPr>
              <w:t>cm/s，</w:t>
            </w:r>
            <w:r>
              <w:rPr>
                <w:rFonts w:hint="default" w:ascii="Times New Roman" w:hAnsi="Times New Roman" w:eastAsia="宋体" w:cs="Times New Roman"/>
                <w:color w:val="auto"/>
                <w:sz w:val="24"/>
                <w:highlight w:val="none"/>
              </w:rPr>
              <w:t>并设危险废物备用储存容器，避免废矿物油泄漏污染土壤、地下水</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污水处理站</w:t>
            </w:r>
            <w:r>
              <w:rPr>
                <w:rFonts w:hint="default" w:ascii="Times New Roman" w:hAnsi="Times New Roman" w:eastAsia="宋体" w:cs="Times New Roman"/>
                <w:color w:val="auto"/>
                <w:sz w:val="24"/>
                <w:highlight w:val="none"/>
                <w:lang w:val="zh-CN"/>
              </w:rPr>
              <w:t>按照</w:t>
            </w:r>
            <w:r>
              <w:rPr>
                <w:rFonts w:hint="default"/>
                <w:color w:val="auto"/>
                <w:sz w:val="24"/>
                <w:highlight w:val="none"/>
              </w:rPr>
              <w:t>《</w:t>
            </w:r>
            <w:r>
              <w:rPr>
                <w:rFonts w:hint="eastAsia"/>
                <w:color w:val="auto"/>
                <w:sz w:val="24"/>
                <w:highlight w:val="none"/>
                <w:lang w:val="en-US" w:eastAsia="zh-CN"/>
              </w:rPr>
              <w:t>环境影响评价技术导则 地下水环境</w:t>
            </w:r>
            <w:r>
              <w:rPr>
                <w:rFonts w:hint="default"/>
                <w:color w:val="auto"/>
                <w:sz w:val="24"/>
                <w:highlight w:val="none"/>
              </w:rPr>
              <w:t>》（</w:t>
            </w:r>
            <w:r>
              <w:rPr>
                <w:rFonts w:hint="eastAsia"/>
                <w:color w:val="auto"/>
                <w:sz w:val="24"/>
                <w:highlight w:val="none"/>
                <w:lang w:val="en-US" w:eastAsia="zh-CN"/>
              </w:rPr>
              <w:t>HJ610-2016</w:t>
            </w:r>
            <w:r>
              <w:rPr>
                <w:rFonts w:hint="default"/>
                <w:color w:val="auto"/>
                <w:sz w:val="24"/>
                <w:highlight w:val="none"/>
              </w:rPr>
              <w:t>）</w:t>
            </w:r>
            <w:r>
              <w:rPr>
                <w:rFonts w:hint="default" w:ascii="Times New Roman" w:hAnsi="Times New Roman" w:eastAsia="宋体" w:cs="Times New Roman"/>
                <w:color w:val="auto"/>
                <w:sz w:val="24"/>
                <w:highlight w:val="none"/>
                <w:lang w:val="zh-CN"/>
              </w:rPr>
              <w:t>中要求</w:t>
            </w:r>
            <w:r>
              <w:rPr>
                <w:rFonts w:hint="default" w:ascii="Times New Roman" w:hAnsi="Times New Roman" w:eastAsia="宋体" w:cs="Times New Roman"/>
                <w:color w:val="auto"/>
                <w:sz w:val="24"/>
                <w:highlight w:val="none"/>
              </w:rPr>
              <w:t>进行</w:t>
            </w:r>
            <w:r>
              <w:rPr>
                <w:rFonts w:hint="eastAsia" w:cs="Times New Roman"/>
                <w:color w:val="auto"/>
                <w:sz w:val="24"/>
                <w:highlight w:val="none"/>
                <w:lang w:val="en-US" w:eastAsia="zh-CN"/>
              </w:rPr>
              <w:t>一般防渗，等效黏土防渗层Mb≥1.5m，</w:t>
            </w:r>
            <w:r>
              <w:rPr>
                <w:rFonts w:hint="default" w:ascii="Times New Roman" w:hAnsi="Times New Roman" w:eastAsia="宋体" w:cs="Times New Roman"/>
                <w:color w:val="auto"/>
                <w:sz w:val="24"/>
                <w:highlight w:val="none"/>
                <w:lang w:val="zh-CN"/>
              </w:rPr>
              <w:t>防渗系数≤10</w:t>
            </w:r>
            <w:r>
              <w:rPr>
                <w:rFonts w:hint="default" w:ascii="Times New Roman" w:hAnsi="Times New Roman" w:eastAsia="宋体" w:cs="Times New Roman"/>
                <w:color w:val="auto"/>
                <w:sz w:val="24"/>
                <w:highlight w:val="none"/>
                <w:vertAlign w:val="superscript"/>
                <w:lang w:val="zh-CN"/>
              </w:rPr>
              <w:t>-</w:t>
            </w:r>
            <w:r>
              <w:rPr>
                <w:rFonts w:hint="eastAsia" w:cs="Times New Roman"/>
                <w:color w:val="auto"/>
                <w:sz w:val="24"/>
                <w:highlight w:val="none"/>
                <w:vertAlign w:val="superscript"/>
                <w:lang w:val="en-US" w:eastAsia="zh-CN"/>
              </w:rPr>
              <w:t>7</w:t>
            </w:r>
            <w:r>
              <w:rPr>
                <w:rFonts w:hint="default" w:ascii="Times New Roman" w:hAnsi="Times New Roman" w:eastAsia="宋体" w:cs="Times New Roman"/>
                <w:color w:val="auto"/>
                <w:sz w:val="24"/>
                <w:highlight w:val="none"/>
                <w:lang w:val="zh-CN"/>
              </w:rPr>
              <w:t>cm/s</w:t>
            </w:r>
            <w:r>
              <w:rPr>
                <w:rFonts w:hint="eastAsia" w:cs="Times New Roman"/>
                <w:color w:val="auto"/>
                <w:sz w:val="24"/>
                <w:highlight w:val="none"/>
                <w:lang w:val="zh-CN"/>
              </w:rPr>
              <w:t>。</w:t>
            </w:r>
          </w:p>
          <w:p w14:paraId="0ED89A3B">
            <w:pPr>
              <w:pStyle w:val="13"/>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8"/>
                <w:highlight w:val="none"/>
                <w:lang w:val="en-US" w:eastAsia="zh-CN"/>
              </w:rPr>
              <w:t>综上所述，项目营运期对</w:t>
            </w:r>
            <w:r>
              <w:rPr>
                <w:rFonts w:hint="eastAsia" w:ascii="Times New Roman" w:hAnsi="Times New Roman" w:eastAsia="宋体" w:cs="Times New Roman"/>
                <w:color w:val="auto"/>
                <w:sz w:val="24"/>
                <w:szCs w:val="28"/>
                <w:highlight w:val="none"/>
                <w:lang w:val="en-US" w:eastAsia="zh-CN"/>
              </w:rPr>
              <w:t>地下水及土壤</w:t>
            </w:r>
            <w:r>
              <w:rPr>
                <w:rFonts w:hint="default" w:ascii="Times New Roman" w:hAnsi="Times New Roman" w:eastAsia="宋体" w:cs="Times New Roman"/>
                <w:color w:val="auto"/>
                <w:sz w:val="24"/>
                <w:szCs w:val="28"/>
                <w:highlight w:val="none"/>
                <w:lang w:val="en-US" w:eastAsia="zh-CN"/>
              </w:rPr>
              <w:t>环境影响较小</w:t>
            </w:r>
            <w:r>
              <w:rPr>
                <w:rFonts w:hint="default" w:ascii="Times New Roman" w:hAnsi="Times New Roman" w:eastAsia="宋体" w:cs="Times New Roman"/>
                <w:color w:val="auto"/>
                <w:sz w:val="24"/>
                <w:highlight w:val="none"/>
                <w:lang w:val="zh-CN"/>
              </w:rPr>
              <w:t>。</w:t>
            </w:r>
          </w:p>
          <w:p w14:paraId="4F2AE294">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eastAsia" w:ascii="Times New Roman" w:hAnsi="Times New Roman" w:eastAsia="宋体"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六</w:t>
            </w:r>
            <w:r>
              <w:rPr>
                <w:rFonts w:hint="eastAsia" w:ascii="Times New Roman" w:hAnsi="Times New Roman" w:eastAsia="宋体" w:cs="Times New Roman"/>
                <w:b/>
                <w:bCs/>
                <w:color w:val="auto"/>
                <w:sz w:val="24"/>
                <w:szCs w:val="28"/>
                <w:highlight w:val="none"/>
                <w:lang w:val="en-US" w:eastAsia="zh-CN"/>
              </w:rPr>
              <w:t>、环境风险评价</w:t>
            </w:r>
          </w:p>
          <w:p w14:paraId="02BF00D6">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（1）风险调查</w:t>
            </w:r>
          </w:p>
          <w:p w14:paraId="6B9DCD8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本项目</w:t>
            </w:r>
            <w:r>
              <w:rPr>
                <w:rFonts w:hint="eastAsia" w:cs="Times New Roman"/>
                <w:color w:val="auto"/>
                <w:sz w:val="24"/>
                <w:szCs w:val="28"/>
                <w:highlight w:val="none"/>
                <w:lang w:val="en-US" w:eastAsia="zh-CN"/>
              </w:rPr>
              <w:t>涉及</w:t>
            </w:r>
            <w:r>
              <w:rPr>
                <w:rFonts w:hint="eastAsia" w:ascii="Times New Roman" w:hAnsi="Times New Roman" w:cs="Times New Roman"/>
                <w:color w:val="auto"/>
                <w:sz w:val="24"/>
                <w:szCs w:val="28"/>
                <w:highlight w:val="none"/>
                <w:lang w:val="en-US" w:eastAsia="zh-CN"/>
              </w:rPr>
              <w:t>的</w:t>
            </w:r>
            <w:r>
              <w:rPr>
                <w:rFonts w:hint="eastAsia" w:cs="Times New Roman"/>
                <w:color w:val="auto"/>
                <w:sz w:val="24"/>
                <w:szCs w:val="28"/>
                <w:highlight w:val="none"/>
                <w:lang w:val="en-US" w:eastAsia="zh-CN"/>
              </w:rPr>
              <w:t>危险物质主要为废矿物油、天然气中的主要成分甲烷。废矿物油盛装于专用收集桶内，暂存于危险废物</w:t>
            </w:r>
            <w:r>
              <w:rPr>
                <w:rFonts w:hint="default" w:ascii="Times New Roman" w:hAnsi="Times New Roman" w:cs="Times New Roman"/>
                <w:color w:val="auto"/>
                <w:sz w:val="24"/>
                <w:szCs w:val="28"/>
                <w:highlight w:val="none"/>
                <w:lang w:val="en-US" w:eastAsia="zh-CN"/>
              </w:rPr>
              <w:t>暂存</w:t>
            </w:r>
            <w:r>
              <w:rPr>
                <w:rFonts w:hint="eastAsia" w:cs="Times New Roman"/>
                <w:color w:val="auto"/>
                <w:sz w:val="24"/>
                <w:szCs w:val="28"/>
                <w:highlight w:val="none"/>
                <w:lang w:val="en-US" w:eastAsia="zh-CN"/>
              </w:rPr>
              <w:t>间</w:t>
            </w:r>
            <w:r>
              <w:rPr>
                <w:rFonts w:hint="default" w:ascii="Times New Roman" w:hAnsi="Times New Roman" w:cs="Times New Roman"/>
                <w:color w:val="auto"/>
                <w:sz w:val="24"/>
                <w:szCs w:val="28"/>
                <w:highlight w:val="none"/>
                <w:lang w:val="en-US" w:eastAsia="zh-CN"/>
              </w:rPr>
              <w:t>。</w:t>
            </w:r>
            <w:r>
              <w:rPr>
                <w:rFonts w:hint="eastAsia" w:ascii="Times New Roman" w:hAnsi="Times New Roman" w:cs="Times New Roman"/>
                <w:color w:val="auto"/>
                <w:sz w:val="24"/>
                <w:szCs w:val="28"/>
                <w:highlight w:val="none"/>
                <w:lang w:val="en-US" w:eastAsia="zh-CN"/>
              </w:rPr>
              <w:t>项目使用的天然气为管道天然气。</w:t>
            </w:r>
          </w:p>
          <w:p w14:paraId="239DDE26">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（2）环境风险潜势初判</w:t>
            </w:r>
          </w:p>
          <w:p w14:paraId="0CECE2F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8"/>
                <w:highlight w:val="none"/>
              </w:rPr>
            </w:pPr>
            <w:r>
              <w:rPr>
                <w:rFonts w:hint="eastAsia" w:ascii="Times New Roman" w:hAnsi="Times New Roman" w:cs="Times New Roman"/>
                <w:color w:val="auto"/>
                <w:sz w:val="24"/>
                <w:szCs w:val="28"/>
                <w:highlight w:val="none"/>
                <w:lang w:val="en-US" w:eastAsia="zh-CN"/>
              </w:rPr>
              <w:t>当</w:t>
            </w:r>
            <w:r>
              <w:rPr>
                <w:rFonts w:hint="default" w:ascii="Times New Roman" w:hAnsi="Times New Roman" w:cs="Times New Roman"/>
                <w:color w:val="auto"/>
                <w:sz w:val="24"/>
                <w:szCs w:val="28"/>
                <w:highlight w:val="none"/>
              </w:rPr>
              <w:t>项目涉及多种危险物质，按下式进行计算Q值：</w:t>
            </w:r>
          </w:p>
          <w:p w14:paraId="13413C5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Q=q1/Q1+q2/Q2+…+qn/Qn</w:t>
            </w:r>
          </w:p>
          <w:p w14:paraId="6A5B5C5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式中：q1，q2，…，qn——每种危险物质的最大存在总量，t；</w:t>
            </w:r>
          </w:p>
          <w:p w14:paraId="56955023">
            <w:pPr>
              <w:keepNext w:val="0"/>
              <w:keepLines w:val="0"/>
              <w:suppressLineNumbers w:val="0"/>
              <w:adjustRightInd w:val="0"/>
              <w:snapToGrid w:val="0"/>
              <w:spacing w:before="0" w:beforeAutospacing="0" w:after="0" w:afterAutospacing="0" w:line="360" w:lineRule="auto"/>
              <w:ind w:left="0" w:right="0" w:firstLine="1200" w:firstLineChars="500"/>
              <w:jc w:val="left"/>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Q1，Q2，…，Qn——每种危险物质的临界量，t。</w:t>
            </w:r>
          </w:p>
          <w:p w14:paraId="03FDB40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当Q＜1时，该项目环境风险潜势为</w:t>
            </w:r>
            <w:r>
              <w:rPr>
                <w:rFonts w:hint="default" w:ascii="Times New Roman" w:hAnsi="Times New Roman" w:cs="Times New Roman"/>
                <w:color w:val="auto"/>
                <w:sz w:val="24"/>
                <w:szCs w:val="28"/>
                <w:highlight w:val="none"/>
              </w:rPr>
              <w:fldChar w:fldCharType="begin"/>
            </w:r>
            <w:r>
              <w:rPr>
                <w:rFonts w:hint="default" w:ascii="Times New Roman" w:hAnsi="Times New Roman" w:cs="Times New Roman"/>
                <w:color w:val="auto"/>
                <w:sz w:val="24"/>
                <w:szCs w:val="28"/>
                <w:highlight w:val="none"/>
              </w:rPr>
              <w:instrText xml:space="preserve"> = 1 \* ROMAN \* MERGEFORMAT </w:instrText>
            </w:r>
            <w:r>
              <w:rPr>
                <w:rFonts w:hint="default" w:ascii="Times New Roman" w:hAnsi="Times New Roman" w:cs="Times New Roman"/>
                <w:color w:val="auto"/>
                <w:sz w:val="24"/>
                <w:szCs w:val="28"/>
                <w:highlight w:val="none"/>
              </w:rPr>
              <w:fldChar w:fldCharType="separate"/>
            </w:r>
            <w:r>
              <w:rPr>
                <w:rFonts w:hint="default" w:ascii="Times New Roman" w:hAnsi="Times New Roman" w:cs="Times New Roman"/>
                <w:color w:val="auto"/>
                <w:sz w:val="24"/>
                <w:szCs w:val="28"/>
                <w:highlight w:val="none"/>
              </w:rPr>
              <w:t>I</w:t>
            </w:r>
            <w:r>
              <w:rPr>
                <w:rFonts w:hint="default" w:ascii="Times New Roman" w:hAnsi="Times New Roman" w:cs="Times New Roman"/>
                <w:color w:val="auto"/>
                <w:sz w:val="24"/>
                <w:szCs w:val="28"/>
                <w:highlight w:val="none"/>
              </w:rPr>
              <w:fldChar w:fldCharType="end"/>
            </w:r>
            <w:r>
              <w:rPr>
                <w:rFonts w:hint="default" w:ascii="Times New Roman" w:hAnsi="Times New Roman" w:cs="Times New Roman"/>
                <w:color w:val="auto"/>
                <w:sz w:val="24"/>
                <w:szCs w:val="28"/>
                <w:highlight w:val="none"/>
              </w:rPr>
              <w:t>。</w:t>
            </w:r>
          </w:p>
          <w:p w14:paraId="19FD160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当Q≥1时，将Q值划分为：（1）1≤Q＜10；（2）10≤Q＜100；（3）Q≥100。</w:t>
            </w:r>
          </w:p>
          <w:p w14:paraId="7FA0440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根据项目物质风险识别及储运设施风险识别结果，按照《建设项目环境风险评价技术导则》（HJ169-2018）的规定，以整个厂区为单位对项目环境风险物质最大存在量进行辨识。</w:t>
            </w:r>
            <w:r>
              <w:rPr>
                <w:rFonts w:hint="eastAsia" w:ascii="Times New Roman" w:hAnsi="Times New Roman" w:cs="Times New Roman"/>
                <w:color w:val="auto"/>
                <w:sz w:val="24"/>
                <w:szCs w:val="28"/>
                <w:highlight w:val="none"/>
                <w:lang w:val="en-US" w:eastAsia="zh-CN"/>
              </w:rPr>
              <w:t>项目</w:t>
            </w:r>
            <w:r>
              <w:rPr>
                <w:rFonts w:hint="eastAsia" w:cs="Times New Roman"/>
                <w:color w:val="auto"/>
                <w:sz w:val="24"/>
                <w:szCs w:val="28"/>
                <w:highlight w:val="none"/>
                <w:lang w:val="en-US" w:eastAsia="zh-CN"/>
              </w:rPr>
              <w:t>涉及</w:t>
            </w:r>
            <w:r>
              <w:rPr>
                <w:rFonts w:hint="eastAsia" w:ascii="Times New Roman" w:hAnsi="Times New Roman" w:cs="Times New Roman"/>
                <w:color w:val="auto"/>
                <w:sz w:val="24"/>
                <w:szCs w:val="28"/>
                <w:highlight w:val="none"/>
                <w:lang w:val="en-US" w:eastAsia="zh-CN"/>
              </w:rPr>
              <w:t>的</w:t>
            </w:r>
            <w:r>
              <w:rPr>
                <w:rFonts w:hint="eastAsia" w:cs="Times New Roman"/>
                <w:color w:val="auto"/>
                <w:sz w:val="24"/>
                <w:szCs w:val="28"/>
                <w:highlight w:val="none"/>
                <w:lang w:val="en-US" w:eastAsia="zh-CN"/>
              </w:rPr>
              <w:t>危险物质主要为废矿物油</w:t>
            </w:r>
            <w:r>
              <w:rPr>
                <w:rFonts w:hint="eastAsia" w:cs="Times New Roman"/>
                <w:color w:val="auto"/>
                <w:sz w:val="24"/>
                <w:szCs w:val="24"/>
                <w:highlight w:val="none"/>
                <w:lang w:val="en-US" w:eastAsia="zh-CN"/>
              </w:rPr>
              <w:t>、天然气</w:t>
            </w:r>
            <w:r>
              <w:rPr>
                <w:rFonts w:hint="eastAsia" w:cs="Times New Roman"/>
                <w:color w:val="auto"/>
                <w:sz w:val="24"/>
                <w:szCs w:val="28"/>
                <w:highlight w:val="none"/>
                <w:lang w:val="en-US" w:eastAsia="zh-CN"/>
              </w:rPr>
              <w:t>中的主要成分甲烷，</w:t>
            </w:r>
            <w:r>
              <w:rPr>
                <w:rFonts w:hint="default" w:ascii="Times New Roman" w:hAnsi="Times New Roman" w:cs="Times New Roman"/>
                <w:color w:val="auto"/>
                <w:sz w:val="24"/>
                <w:szCs w:val="28"/>
                <w:highlight w:val="none"/>
              </w:rPr>
              <w:t>项目风险物质与临界量比值Q见表</w:t>
            </w:r>
            <w:r>
              <w:rPr>
                <w:rFonts w:hint="eastAsia" w:ascii="Times New Roman" w:hAnsi="Times New Roman" w:cs="Times New Roman"/>
                <w:color w:val="auto"/>
                <w:sz w:val="24"/>
                <w:szCs w:val="28"/>
                <w:highlight w:val="none"/>
                <w:lang w:val="en-US" w:eastAsia="zh-CN"/>
              </w:rPr>
              <w:t>4</w:t>
            </w:r>
            <w:r>
              <w:rPr>
                <w:rFonts w:hint="default" w:ascii="Times New Roman" w:hAnsi="Times New Roman" w:cs="Times New Roman"/>
                <w:color w:val="auto"/>
                <w:sz w:val="24"/>
                <w:szCs w:val="28"/>
                <w:highlight w:val="none"/>
                <w:lang w:val="en-US" w:eastAsia="zh-CN"/>
              </w:rPr>
              <w:t>-</w:t>
            </w:r>
            <w:r>
              <w:rPr>
                <w:rFonts w:hint="eastAsia" w:cs="Times New Roman"/>
                <w:color w:val="auto"/>
                <w:sz w:val="24"/>
                <w:szCs w:val="28"/>
                <w:highlight w:val="none"/>
                <w:lang w:val="en-US" w:eastAsia="zh-CN"/>
              </w:rPr>
              <w:t>18</w:t>
            </w:r>
            <w:r>
              <w:rPr>
                <w:rFonts w:hint="default" w:ascii="Times New Roman" w:hAnsi="Times New Roman" w:cs="Times New Roman"/>
                <w:color w:val="auto"/>
                <w:sz w:val="24"/>
                <w:szCs w:val="28"/>
                <w:highlight w:val="none"/>
                <w:lang w:val="en-US" w:eastAsia="zh-CN"/>
              </w:rPr>
              <w:t>。</w:t>
            </w:r>
          </w:p>
          <w:p w14:paraId="795655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表4-</w:t>
            </w:r>
            <w:r>
              <w:rPr>
                <w:rFonts w:hint="eastAsia"/>
                <w:b/>
                <w:bCs/>
                <w:color w:val="auto"/>
                <w:sz w:val="21"/>
                <w:szCs w:val="21"/>
                <w:highlight w:val="none"/>
                <w:lang w:val="en-US" w:eastAsia="zh-CN"/>
              </w:rPr>
              <w:t>1</w:t>
            </w:r>
            <w:r>
              <w:rPr>
                <w:rFonts w:hint="eastAsia" w:eastAsia="宋体"/>
                <w:b/>
                <w:bCs/>
                <w:color w:val="auto"/>
                <w:sz w:val="21"/>
                <w:szCs w:val="21"/>
                <w:highlight w:val="none"/>
                <w:lang w:val="en-US" w:eastAsia="zh-CN"/>
              </w:rPr>
              <w:t>8</w:t>
            </w:r>
            <w:r>
              <w:rPr>
                <w:rFonts w:hint="eastAsia" w:ascii="Times New Roman" w:hAnsi="Times New Roman" w:eastAsia="宋体"/>
                <w:b/>
                <w:bCs/>
                <w:color w:val="auto"/>
                <w:sz w:val="21"/>
                <w:szCs w:val="21"/>
                <w:highlight w:val="none"/>
                <w:lang w:val="en-US" w:eastAsia="zh-CN"/>
              </w:rPr>
              <w:t xml:space="preserve">  环境风险物质数量、临界量及其比值(Q)</w:t>
            </w:r>
          </w:p>
          <w:tbl>
            <w:tblPr>
              <w:tblStyle w:val="30"/>
              <w:tblW w:w="85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745"/>
              <w:gridCol w:w="2303"/>
              <w:gridCol w:w="1947"/>
              <w:gridCol w:w="1576"/>
            </w:tblGrid>
            <w:tr w14:paraId="07D2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40" w:type="dxa"/>
                  <w:tcBorders>
                    <w:top w:val="single" w:color="auto" w:sz="4" w:space="0"/>
                    <w:left w:val="single" w:color="auto" w:sz="4" w:space="0"/>
                    <w:bottom w:val="single" w:color="auto" w:sz="4" w:space="0"/>
                    <w:right w:val="single" w:color="auto" w:sz="4" w:space="0"/>
                  </w:tcBorders>
                  <w:vAlign w:val="center"/>
                </w:tcPr>
                <w:p w14:paraId="2F6965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序号</w:t>
                  </w:r>
                </w:p>
              </w:tc>
              <w:tc>
                <w:tcPr>
                  <w:tcW w:w="1745" w:type="dxa"/>
                  <w:tcBorders>
                    <w:top w:val="single" w:color="auto" w:sz="4" w:space="0"/>
                    <w:left w:val="single" w:color="auto" w:sz="4" w:space="0"/>
                    <w:bottom w:val="single" w:color="auto" w:sz="4" w:space="0"/>
                    <w:right w:val="single" w:color="auto" w:sz="4" w:space="0"/>
                  </w:tcBorders>
                  <w:vAlign w:val="center"/>
                </w:tcPr>
                <w:p w14:paraId="1BE227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物质名称</w:t>
                  </w:r>
                </w:p>
              </w:tc>
              <w:tc>
                <w:tcPr>
                  <w:tcW w:w="2303" w:type="dxa"/>
                  <w:tcBorders>
                    <w:top w:val="single" w:color="auto" w:sz="4" w:space="0"/>
                    <w:left w:val="single" w:color="auto" w:sz="4" w:space="0"/>
                    <w:bottom w:val="single" w:color="auto" w:sz="4" w:space="0"/>
                    <w:right w:val="single" w:color="auto" w:sz="4" w:space="0"/>
                  </w:tcBorders>
                  <w:vAlign w:val="center"/>
                </w:tcPr>
                <w:p w14:paraId="4B7936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最大储存量（t）</w:t>
                  </w:r>
                </w:p>
              </w:tc>
              <w:tc>
                <w:tcPr>
                  <w:tcW w:w="1947" w:type="dxa"/>
                  <w:tcBorders>
                    <w:top w:val="single" w:color="auto" w:sz="4" w:space="0"/>
                    <w:left w:val="single" w:color="auto" w:sz="4" w:space="0"/>
                    <w:bottom w:val="single" w:color="auto" w:sz="4" w:space="0"/>
                    <w:right w:val="single" w:color="auto" w:sz="4" w:space="0"/>
                  </w:tcBorders>
                  <w:vAlign w:val="center"/>
                </w:tcPr>
                <w:p w14:paraId="3BFFE3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临界量（t）</w:t>
                  </w:r>
                </w:p>
              </w:tc>
              <w:tc>
                <w:tcPr>
                  <w:tcW w:w="1576" w:type="dxa"/>
                  <w:tcBorders>
                    <w:top w:val="single" w:color="auto" w:sz="4" w:space="0"/>
                    <w:left w:val="single" w:color="auto" w:sz="4" w:space="0"/>
                    <w:bottom w:val="single" w:color="auto" w:sz="4" w:space="0"/>
                    <w:right w:val="single" w:color="auto" w:sz="4" w:space="0"/>
                  </w:tcBorders>
                  <w:vAlign w:val="center"/>
                </w:tcPr>
                <w:p w14:paraId="5CB601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Q值</w:t>
                  </w:r>
                </w:p>
              </w:tc>
            </w:tr>
            <w:tr w14:paraId="40E6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40" w:type="dxa"/>
                  <w:tcBorders>
                    <w:top w:val="single" w:color="auto" w:sz="4" w:space="0"/>
                    <w:left w:val="single" w:color="auto" w:sz="4" w:space="0"/>
                    <w:bottom w:val="single" w:color="auto" w:sz="4" w:space="0"/>
                    <w:right w:val="single" w:color="auto" w:sz="4" w:space="0"/>
                  </w:tcBorders>
                  <w:vAlign w:val="center"/>
                </w:tcPr>
                <w:p w14:paraId="46C20D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745" w:type="dxa"/>
                  <w:tcBorders>
                    <w:top w:val="single" w:color="auto" w:sz="4" w:space="0"/>
                    <w:left w:val="single" w:color="auto" w:sz="4" w:space="0"/>
                    <w:bottom w:val="single" w:color="auto" w:sz="4" w:space="0"/>
                    <w:right w:val="single" w:color="auto" w:sz="4" w:space="0"/>
                  </w:tcBorders>
                  <w:vAlign w:val="center"/>
                </w:tcPr>
                <w:p w14:paraId="7F541C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废矿物油</w:t>
                  </w:r>
                </w:p>
              </w:tc>
              <w:tc>
                <w:tcPr>
                  <w:tcW w:w="2303" w:type="dxa"/>
                  <w:tcBorders>
                    <w:top w:val="single" w:color="auto" w:sz="4" w:space="0"/>
                    <w:left w:val="single" w:color="auto" w:sz="4" w:space="0"/>
                    <w:bottom w:val="single" w:color="auto" w:sz="4" w:space="0"/>
                    <w:right w:val="single" w:color="auto" w:sz="4" w:space="0"/>
                  </w:tcBorders>
                  <w:vAlign w:val="center"/>
                </w:tcPr>
                <w:p w14:paraId="569792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1.25</w:t>
                  </w:r>
                </w:p>
              </w:tc>
              <w:tc>
                <w:tcPr>
                  <w:tcW w:w="1947" w:type="dxa"/>
                  <w:tcBorders>
                    <w:top w:val="single" w:color="auto" w:sz="4" w:space="0"/>
                    <w:left w:val="single" w:color="auto" w:sz="4" w:space="0"/>
                    <w:bottom w:val="single" w:color="auto" w:sz="4" w:space="0"/>
                    <w:right w:val="single" w:color="auto" w:sz="4" w:space="0"/>
                  </w:tcBorders>
                  <w:vAlign w:val="center"/>
                </w:tcPr>
                <w:p w14:paraId="532861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2500</w:t>
                  </w:r>
                </w:p>
              </w:tc>
              <w:tc>
                <w:tcPr>
                  <w:tcW w:w="1576" w:type="dxa"/>
                  <w:tcBorders>
                    <w:top w:val="single" w:color="auto" w:sz="4" w:space="0"/>
                    <w:left w:val="single" w:color="auto" w:sz="4" w:space="0"/>
                    <w:bottom w:val="single" w:color="auto" w:sz="4" w:space="0"/>
                    <w:right w:val="single" w:color="auto" w:sz="4" w:space="0"/>
                  </w:tcBorders>
                  <w:vAlign w:val="center"/>
                </w:tcPr>
                <w:p w14:paraId="1B7C48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0.000</w:t>
                  </w:r>
                  <w:r>
                    <w:rPr>
                      <w:rFonts w:hint="eastAsia" w:cs="Times New Roman"/>
                      <w:color w:val="auto"/>
                      <w:highlight w:val="none"/>
                      <w:lang w:val="en-US" w:eastAsia="zh-CN"/>
                    </w:rPr>
                    <w:t>5</w:t>
                  </w:r>
                </w:p>
              </w:tc>
            </w:tr>
            <w:tr w14:paraId="502A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940" w:type="dxa"/>
                  <w:tcBorders>
                    <w:top w:val="single" w:color="auto" w:sz="4" w:space="0"/>
                    <w:left w:val="single" w:color="auto" w:sz="4" w:space="0"/>
                    <w:bottom w:val="single" w:color="auto" w:sz="4" w:space="0"/>
                    <w:right w:val="single" w:color="auto" w:sz="4" w:space="0"/>
                  </w:tcBorders>
                  <w:vAlign w:val="center"/>
                </w:tcPr>
                <w:p w14:paraId="54DBD1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745" w:type="dxa"/>
                  <w:tcBorders>
                    <w:top w:val="single" w:color="auto" w:sz="4" w:space="0"/>
                    <w:left w:val="single" w:color="auto" w:sz="4" w:space="0"/>
                    <w:bottom w:val="single" w:color="auto" w:sz="4" w:space="0"/>
                    <w:right w:val="single" w:color="auto" w:sz="4" w:space="0"/>
                  </w:tcBorders>
                  <w:vAlign w:val="center"/>
                </w:tcPr>
                <w:p w14:paraId="006106F8">
                  <w:pPr>
                    <w:keepNext w:val="0"/>
                    <w:keepLines w:val="0"/>
                    <w:suppressLineNumbers w:val="0"/>
                    <w:adjustRightInd w:val="0"/>
                    <w:snapToGrid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甲烷</w:t>
                  </w:r>
                </w:p>
              </w:tc>
              <w:tc>
                <w:tcPr>
                  <w:tcW w:w="2303" w:type="dxa"/>
                  <w:tcBorders>
                    <w:top w:val="single" w:color="auto" w:sz="4" w:space="0"/>
                    <w:left w:val="single" w:color="auto" w:sz="4" w:space="0"/>
                    <w:bottom w:val="single" w:color="auto" w:sz="4" w:space="0"/>
                    <w:right w:val="single" w:color="auto" w:sz="4" w:space="0"/>
                  </w:tcBorders>
                  <w:vAlign w:val="center"/>
                </w:tcPr>
                <w:p w14:paraId="537BA87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使用管道天然气</w:t>
                  </w:r>
                </w:p>
              </w:tc>
              <w:tc>
                <w:tcPr>
                  <w:tcW w:w="1947" w:type="dxa"/>
                  <w:tcBorders>
                    <w:top w:val="single" w:color="auto" w:sz="4" w:space="0"/>
                    <w:left w:val="single" w:color="auto" w:sz="4" w:space="0"/>
                    <w:bottom w:val="single" w:color="auto" w:sz="4" w:space="0"/>
                    <w:right w:val="single" w:color="auto" w:sz="4" w:space="0"/>
                  </w:tcBorders>
                  <w:vAlign w:val="center"/>
                </w:tcPr>
                <w:p w14:paraId="5905BC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w:t>
                  </w:r>
                </w:p>
              </w:tc>
              <w:tc>
                <w:tcPr>
                  <w:tcW w:w="1576" w:type="dxa"/>
                  <w:tcBorders>
                    <w:top w:val="single" w:color="auto" w:sz="4" w:space="0"/>
                    <w:left w:val="single" w:color="auto" w:sz="4" w:space="0"/>
                    <w:bottom w:val="single" w:color="auto" w:sz="4" w:space="0"/>
                    <w:right w:val="single" w:color="auto" w:sz="4" w:space="0"/>
                  </w:tcBorders>
                  <w:vAlign w:val="center"/>
                </w:tcPr>
                <w:p w14:paraId="2CF07D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14:paraId="149B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935" w:type="dxa"/>
                  <w:gridSpan w:val="4"/>
                  <w:tcBorders>
                    <w:top w:val="single" w:color="auto" w:sz="4" w:space="0"/>
                    <w:left w:val="single" w:color="auto" w:sz="4" w:space="0"/>
                    <w:bottom w:val="single" w:color="auto" w:sz="4" w:space="0"/>
                    <w:right w:val="single" w:color="auto" w:sz="4" w:space="0"/>
                  </w:tcBorders>
                  <w:vAlign w:val="center"/>
                </w:tcPr>
                <w:p w14:paraId="0961E8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合计</w:t>
                  </w:r>
                </w:p>
              </w:tc>
              <w:tc>
                <w:tcPr>
                  <w:tcW w:w="1576" w:type="dxa"/>
                  <w:tcBorders>
                    <w:top w:val="single" w:color="auto" w:sz="4" w:space="0"/>
                    <w:left w:val="single" w:color="auto" w:sz="4" w:space="0"/>
                    <w:bottom w:val="single" w:color="auto" w:sz="4" w:space="0"/>
                    <w:right w:val="single" w:color="auto" w:sz="4" w:space="0"/>
                  </w:tcBorders>
                  <w:vAlign w:val="center"/>
                </w:tcPr>
                <w:p w14:paraId="7C7B34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0.000</w:t>
                  </w:r>
                  <w:r>
                    <w:rPr>
                      <w:rFonts w:hint="eastAsia" w:cs="Times New Roman"/>
                      <w:color w:val="auto"/>
                      <w:highlight w:val="none"/>
                      <w:lang w:val="en-US" w:eastAsia="zh-CN"/>
                    </w:rPr>
                    <w:t>5</w:t>
                  </w:r>
                </w:p>
              </w:tc>
            </w:tr>
          </w:tbl>
          <w:p w14:paraId="5222B85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本项目Q</w:t>
            </w:r>
            <w:r>
              <w:rPr>
                <w:rFonts w:hint="eastAsia" w:cs="Times New Roman"/>
                <w:color w:val="auto"/>
                <w:sz w:val="24"/>
                <w:szCs w:val="28"/>
                <w:highlight w:val="none"/>
                <w:lang w:val="en-US" w:eastAsia="zh-CN"/>
              </w:rPr>
              <w:t>值为0.0005</w:t>
            </w:r>
            <w:r>
              <w:rPr>
                <w:rFonts w:hint="default" w:ascii="Times New Roman" w:hAnsi="Times New Roman" w:cs="Times New Roman"/>
                <w:color w:val="auto"/>
                <w:sz w:val="24"/>
                <w:szCs w:val="28"/>
                <w:highlight w:val="none"/>
                <w:lang w:val="en-US" w:eastAsia="zh-CN"/>
              </w:rPr>
              <w:t>＜1，因此，项目环境风险潜势判定为</w:t>
            </w:r>
            <w:r>
              <w:rPr>
                <w:rFonts w:hint="default" w:ascii="Times New Roman" w:hAnsi="Times New Roman" w:cs="Times New Roman"/>
                <w:color w:val="auto"/>
                <w:sz w:val="24"/>
                <w:szCs w:val="28"/>
                <w:highlight w:val="none"/>
                <w:lang w:val="en-US" w:eastAsia="zh-CN"/>
              </w:rPr>
              <w:fldChar w:fldCharType="begin"/>
            </w:r>
            <w:r>
              <w:rPr>
                <w:rFonts w:hint="default" w:ascii="Times New Roman" w:hAnsi="Times New Roman" w:cs="Times New Roman"/>
                <w:color w:val="auto"/>
                <w:sz w:val="24"/>
                <w:szCs w:val="28"/>
                <w:highlight w:val="none"/>
                <w:lang w:val="en-US" w:eastAsia="zh-CN"/>
              </w:rPr>
              <w:instrText xml:space="preserve"> = 1 \* ROMAN \* MERGEFORMAT </w:instrText>
            </w:r>
            <w:r>
              <w:rPr>
                <w:rFonts w:hint="default" w:ascii="Times New Roman" w:hAnsi="Times New Roman" w:cs="Times New Roman"/>
                <w:color w:val="auto"/>
                <w:sz w:val="24"/>
                <w:szCs w:val="28"/>
                <w:highlight w:val="none"/>
                <w:lang w:val="en-US" w:eastAsia="zh-CN"/>
              </w:rPr>
              <w:fldChar w:fldCharType="separate"/>
            </w:r>
            <w:r>
              <w:rPr>
                <w:rFonts w:hint="default" w:ascii="Times New Roman" w:hAnsi="Times New Roman" w:cs="Times New Roman"/>
                <w:color w:val="auto"/>
                <w:sz w:val="24"/>
                <w:szCs w:val="28"/>
                <w:highlight w:val="none"/>
                <w:lang w:val="en-US" w:eastAsia="zh-CN"/>
              </w:rPr>
              <w:t>I</w:t>
            </w:r>
            <w:r>
              <w:rPr>
                <w:rFonts w:hint="default" w:ascii="Times New Roman" w:hAnsi="Times New Roman" w:cs="Times New Roman"/>
                <w:color w:val="auto"/>
                <w:sz w:val="24"/>
                <w:szCs w:val="28"/>
                <w:highlight w:val="none"/>
                <w:lang w:val="en-US" w:eastAsia="zh-CN"/>
              </w:rPr>
              <w:fldChar w:fldCharType="end"/>
            </w:r>
            <w:r>
              <w:rPr>
                <w:rFonts w:hint="default" w:ascii="Times New Roman" w:hAnsi="Times New Roman" w:cs="Times New Roman"/>
                <w:color w:val="auto"/>
                <w:sz w:val="24"/>
                <w:szCs w:val="28"/>
                <w:highlight w:val="none"/>
                <w:lang w:val="en-US" w:eastAsia="zh-CN"/>
              </w:rPr>
              <w:t>。</w:t>
            </w:r>
          </w:p>
          <w:p w14:paraId="039120F0">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（3）评价等级</w:t>
            </w:r>
          </w:p>
          <w:p w14:paraId="186E38B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根据《建设项目环境风险评价技术导则》（HJ 169-2018）附录C，项目危险物质及工艺系统危险性（P）由危险物质数量与临界量比值（Q）和行业及生产工艺（M）确定。环境风险评价工作等级见表</w:t>
            </w:r>
            <w:r>
              <w:rPr>
                <w:rFonts w:hint="eastAsia" w:ascii="Times New Roman" w:hAnsi="Times New Roman" w:cs="Times New Roman"/>
                <w:color w:val="auto"/>
                <w:sz w:val="24"/>
                <w:szCs w:val="28"/>
                <w:highlight w:val="none"/>
                <w:lang w:val="en-US" w:eastAsia="zh-CN"/>
              </w:rPr>
              <w:t>4</w:t>
            </w:r>
            <w:r>
              <w:rPr>
                <w:rFonts w:hint="default" w:ascii="Times New Roman" w:hAnsi="Times New Roman" w:cs="Times New Roman"/>
                <w:color w:val="auto"/>
                <w:sz w:val="24"/>
                <w:szCs w:val="28"/>
                <w:highlight w:val="none"/>
                <w:lang w:val="en-US" w:eastAsia="zh-CN"/>
              </w:rPr>
              <w:t>-</w:t>
            </w:r>
            <w:r>
              <w:rPr>
                <w:rFonts w:hint="eastAsia" w:cs="Times New Roman"/>
                <w:color w:val="auto"/>
                <w:sz w:val="24"/>
                <w:szCs w:val="28"/>
                <w:highlight w:val="none"/>
                <w:lang w:val="en-US" w:eastAsia="zh-CN"/>
              </w:rPr>
              <w:t>1</w:t>
            </w:r>
            <w:r>
              <w:rPr>
                <w:rFonts w:hint="eastAsia" w:ascii="Times New Roman" w:hAnsi="Times New Roman" w:cs="Times New Roman"/>
                <w:color w:val="auto"/>
                <w:sz w:val="24"/>
                <w:szCs w:val="28"/>
                <w:highlight w:val="none"/>
                <w:lang w:val="en-US" w:eastAsia="zh-CN"/>
              </w:rPr>
              <w:t>9</w:t>
            </w:r>
            <w:r>
              <w:rPr>
                <w:rFonts w:hint="default" w:ascii="Times New Roman" w:hAnsi="Times New Roman" w:cs="Times New Roman"/>
                <w:color w:val="auto"/>
                <w:sz w:val="24"/>
                <w:szCs w:val="28"/>
                <w:highlight w:val="none"/>
                <w:lang w:val="en-US" w:eastAsia="zh-CN"/>
              </w:rPr>
              <w:t>。</w:t>
            </w:r>
          </w:p>
          <w:p w14:paraId="2F840D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表4-</w:t>
            </w:r>
            <w:r>
              <w:rPr>
                <w:rFonts w:hint="eastAsia"/>
                <w:b/>
                <w:bCs/>
                <w:color w:val="auto"/>
                <w:sz w:val="21"/>
                <w:szCs w:val="21"/>
                <w:highlight w:val="none"/>
                <w:lang w:val="en-US" w:eastAsia="zh-CN"/>
              </w:rPr>
              <w:t>1</w:t>
            </w:r>
            <w:r>
              <w:rPr>
                <w:rFonts w:hint="eastAsia" w:ascii="Times New Roman" w:hAnsi="Times New Roman" w:eastAsia="宋体"/>
                <w:b/>
                <w:bCs/>
                <w:color w:val="auto"/>
                <w:sz w:val="21"/>
                <w:szCs w:val="21"/>
                <w:highlight w:val="none"/>
                <w:lang w:val="en-US" w:eastAsia="zh-CN"/>
              </w:rPr>
              <w:t>9  评价工作等级划分</w:t>
            </w:r>
          </w:p>
          <w:tbl>
            <w:tblPr>
              <w:tblStyle w:val="31"/>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gridCol w:w="1709"/>
            </w:tblGrid>
            <w:tr w14:paraId="0094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01" w:type="dxa"/>
                  <w:vAlign w:val="center"/>
                </w:tcPr>
                <w:p w14:paraId="4821CF12">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环境风险潜势</w:t>
                  </w:r>
                </w:p>
              </w:tc>
              <w:tc>
                <w:tcPr>
                  <w:tcW w:w="1701" w:type="dxa"/>
                  <w:vAlign w:val="center"/>
                </w:tcPr>
                <w:p w14:paraId="3944C750">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Ⅳ、Ⅳ+</w:t>
                  </w:r>
                </w:p>
              </w:tc>
              <w:tc>
                <w:tcPr>
                  <w:tcW w:w="1701" w:type="dxa"/>
                  <w:vAlign w:val="center"/>
                </w:tcPr>
                <w:p w14:paraId="43D0C0EE">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Ⅲ</w:t>
                  </w:r>
                </w:p>
              </w:tc>
              <w:tc>
                <w:tcPr>
                  <w:tcW w:w="1701" w:type="dxa"/>
                  <w:vAlign w:val="center"/>
                </w:tcPr>
                <w:p w14:paraId="2ABCF876">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Ⅱ</w:t>
                  </w:r>
                </w:p>
              </w:tc>
              <w:tc>
                <w:tcPr>
                  <w:tcW w:w="1709" w:type="dxa"/>
                  <w:vAlign w:val="center"/>
                </w:tcPr>
                <w:p w14:paraId="3843F4DD">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Ⅰ</w:t>
                  </w:r>
                </w:p>
              </w:tc>
            </w:tr>
            <w:tr w14:paraId="4261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01" w:type="dxa"/>
                  <w:vAlign w:val="center"/>
                </w:tcPr>
                <w:p w14:paraId="3E17F90F">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w:t>
                  </w:r>
                </w:p>
              </w:tc>
              <w:tc>
                <w:tcPr>
                  <w:tcW w:w="1701" w:type="dxa"/>
                  <w:vAlign w:val="center"/>
                </w:tcPr>
                <w:p w14:paraId="4DA9613C">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1701" w:type="dxa"/>
                  <w:vAlign w:val="center"/>
                </w:tcPr>
                <w:p w14:paraId="6AB1F201">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1701" w:type="dxa"/>
                  <w:vAlign w:val="center"/>
                </w:tcPr>
                <w:p w14:paraId="374885F1">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1709" w:type="dxa"/>
                  <w:vAlign w:val="center"/>
                </w:tcPr>
                <w:p w14:paraId="22399AE9">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简单分析a</w:t>
                  </w:r>
                </w:p>
              </w:tc>
            </w:tr>
            <w:tr w14:paraId="1936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13" w:type="dxa"/>
                  <w:gridSpan w:val="5"/>
                  <w:vAlign w:val="center"/>
                </w:tcPr>
                <w:p w14:paraId="602BB8F3">
                  <w:pPr>
                    <w:keepNext w:val="0"/>
                    <w:keepLines w:val="0"/>
                    <w:suppressLineNumbers w:val="0"/>
                    <w:autoSpaceDE w:val="0"/>
                    <w:autoSpaceDN w:val="0"/>
                    <w:adjustRightInd w:val="0"/>
                    <w:spacing w:before="0" w:beforeAutospacing="0" w:after="0" w:afterAutospacing="0"/>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a 是相对于详细评价工作内容而言，在描述危险物质、环境影响途径、环境危害后果、风险防范措施等方面给出定性的说明</w:t>
                  </w:r>
                </w:p>
              </w:tc>
            </w:tr>
          </w:tbl>
          <w:p w14:paraId="455A58BE">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8"/>
                <w:highlight w:val="none"/>
                <w:lang w:val="en-US" w:eastAsia="zh-CN"/>
              </w:rPr>
              <w:t>项目环境风险潜势为</w:t>
            </w:r>
            <w:r>
              <w:rPr>
                <w:rFonts w:hint="default" w:ascii="Times New Roman" w:hAnsi="Times New Roman" w:cs="Times New Roman"/>
                <w:color w:val="auto"/>
                <w:sz w:val="24"/>
                <w:szCs w:val="28"/>
                <w:highlight w:val="none"/>
                <w:lang w:val="en-US" w:eastAsia="zh-CN"/>
              </w:rPr>
              <w:fldChar w:fldCharType="begin"/>
            </w:r>
            <w:r>
              <w:rPr>
                <w:rFonts w:hint="default" w:ascii="Times New Roman" w:hAnsi="Times New Roman" w:cs="Times New Roman"/>
                <w:color w:val="auto"/>
                <w:sz w:val="24"/>
                <w:szCs w:val="28"/>
                <w:highlight w:val="none"/>
                <w:lang w:val="en-US" w:eastAsia="zh-CN"/>
              </w:rPr>
              <w:instrText xml:space="preserve"> = 1 \* ROMAN \* MERGEFORMAT </w:instrText>
            </w:r>
            <w:r>
              <w:rPr>
                <w:rFonts w:hint="default" w:ascii="Times New Roman" w:hAnsi="Times New Roman" w:cs="Times New Roman"/>
                <w:color w:val="auto"/>
                <w:sz w:val="24"/>
                <w:szCs w:val="28"/>
                <w:highlight w:val="none"/>
                <w:lang w:val="en-US" w:eastAsia="zh-CN"/>
              </w:rPr>
              <w:fldChar w:fldCharType="separate"/>
            </w:r>
            <w:r>
              <w:rPr>
                <w:rFonts w:hint="default" w:ascii="Times New Roman" w:hAnsi="Times New Roman" w:cs="Times New Roman"/>
                <w:color w:val="auto"/>
                <w:sz w:val="24"/>
                <w:szCs w:val="28"/>
                <w:highlight w:val="none"/>
                <w:lang w:val="en-US" w:eastAsia="zh-CN"/>
              </w:rPr>
              <w:t>I</w:t>
            </w:r>
            <w:r>
              <w:rPr>
                <w:rFonts w:hint="default" w:ascii="Times New Roman" w:hAnsi="Times New Roman" w:cs="Times New Roman"/>
                <w:color w:val="auto"/>
                <w:sz w:val="24"/>
                <w:szCs w:val="28"/>
                <w:highlight w:val="none"/>
                <w:lang w:val="en-US" w:eastAsia="zh-CN"/>
              </w:rPr>
              <w:fldChar w:fldCharType="end"/>
            </w:r>
            <w:r>
              <w:rPr>
                <w:rFonts w:hint="eastAsia" w:cs="Times New Roman"/>
                <w:color w:val="auto"/>
                <w:sz w:val="24"/>
                <w:szCs w:val="28"/>
                <w:highlight w:val="none"/>
                <w:lang w:val="en-US" w:eastAsia="zh-CN"/>
              </w:rPr>
              <w:t>，根据上表分析</w:t>
            </w:r>
            <w:r>
              <w:rPr>
                <w:rFonts w:hint="default" w:ascii="Times New Roman" w:hAnsi="Times New Roman" w:cs="Times New Roman"/>
                <w:color w:val="auto"/>
                <w:sz w:val="24"/>
                <w:szCs w:val="28"/>
                <w:highlight w:val="none"/>
                <w:lang w:val="en-US" w:eastAsia="zh-CN"/>
              </w:rPr>
              <w:t>，项目环境风险评价等级为简单分析。</w:t>
            </w:r>
            <w:r>
              <w:rPr>
                <w:rFonts w:hint="default" w:ascii="Times New Roman" w:hAnsi="Times New Roman" w:eastAsia="宋体" w:cs="Times New Roman"/>
                <w:color w:val="auto"/>
                <w:sz w:val="24"/>
                <w:highlight w:val="none"/>
              </w:rPr>
              <w:t>简单分析基本</w:t>
            </w:r>
            <w:r>
              <w:rPr>
                <w:rFonts w:hint="eastAsia" w:cs="Times New Roman"/>
                <w:color w:val="auto"/>
                <w:sz w:val="24"/>
                <w:highlight w:val="none"/>
                <w:lang w:eastAsia="zh-CN"/>
              </w:rPr>
              <w:t>内容</w:t>
            </w:r>
            <w:r>
              <w:rPr>
                <w:rFonts w:hint="default" w:ascii="Times New Roman" w:hAnsi="Times New Roman" w:eastAsia="宋体" w:cs="Times New Roman"/>
                <w:color w:val="auto"/>
                <w:sz w:val="24"/>
                <w:highlight w:val="none"/>
              </w:rPr>
              <w:t>根据《建设项目环境风险评价技术导则》（HJ169-2018）附录A进行分析。</w:t>
            </w:r>
          </w:p>
          <w:p w14:paraId="389A62E1">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（4）环境风险识别</w:t>
            </w:r>
            <w:r>
              <w:rPr>
                <w:rFonts w:hint="eastAsia" w:cs="Times New Roman"/>
                <w:b/>
                <w:bCs/>
                <w:color w:val="auto"/>
                <w:sz w:val="24"/>
                <w:szCs w:val="28"/>
                <w:highlight w:val="none"/>
                <w:lang w:val="en-US" w:eastAsia="zh-CN"/>
              </w:rPr>
              <w:t>及影响分析</w:t>
            </w:r>
          </w:p>
          <w:p w14:paraId="73FEC35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本项目</w:t>
            </w:r>
            <w:r>
              <w:rPr>
                <w:rFonts w:hint="eastAsia" w:cs="Times New Roman"/>
                <w:color w:val="auto"/>
                <w:sz w:val="24"/>
                <w:szCs w:val="28"/>
                <w:highlight w:val="none"/>
                <w:lang w:val="en-US" w:eastAsia="zh-CN"/>
              </w:rPr>
              <w:t>涉及</w:t>
            </w:r>
            <w:r>
              <w:rPr>
                <w:rFonts w:hint="eastAsia" w:ascii="Times New Roman" w:hAnsi="Times New Roman" w:cs="Times New Roman"/>
                <w:color w:val="auto"/>
                <w:sz w:val="24"/>
                <w:szCs w:val="28"/>
                <w:highlight w:val="none"/>
                <w:lang w:val="en-US" w:eastAsia="zh-CN"/>
              </w:rPr>
              <w:t>的</w:t>
            </w:r>
            <w:r>
              <w:rPr>
                <w:rFonts w:hint="eastAsia" w:cs="Times New Roman"/>
                <w:color w:val="auto"/>
                <w:sz w:val="24"/>
                <w:szCs w:val="28"/>
                <w:highlight w:val="none"/>
                <w:lang w:val="en-US" w:eastAsia="zh-CN"/>
              </w:rPr>
              <w:t>危险物质主要为废</w:t>
            </w:r>
            <w:r>
              <w:rPr>
                <w:rFonts w:hint="eastAsia" w:cs="Times New Roman"/>
                <w:color w:val="auto"/>
                <w:sz w:val="24"/>
                <w:szCs w:val="24"/>
                <w:highlight w:val="none"/>
                <w:lang w:val="en-US" w:eastAsia="zh-CN"/>
              </w:rPr>
              <w:t>矿物油、天然气</w:t>
            </w:r>
            <w:r>
              <w:rPr>
                <w:rFonts w:hint="eastAsia" w:cs="Times New Roman"/>
                <w:color w:val="auto"/>
                <w:sz w:val="24"/>
                <w:szCs w:val="28"/>
                <w:highlight w:val="none"/>
                <w:lang w:val="en-US" w:eastAsia="zh-CN"/>
              </w:rPr>
              <w:t>中的主要成分甲烷。废矿物油盛装于专用收集桶内，暂存于危险废物</w:t>
            </w:r>
            <w:r>
              <w:rPr>
                <w:rFonts w:hint="default" w:ascii="Times New Roman" w:hAnsi="Times New Roman" w:cs="Times New Roman"/>
                <w:color w:val="auto"/>
                <w:sz w:val="24"/>
                <w:szCs w:val="28"/>
                <w:highlight w:val="none"/>
                <w:lang w:val="en-US" w:eastAsia="zh-CN"/>
              </w:rPr>
              <w:t>暂存</w:t>
            </w:r>
            <w:r>
              <w:rPr>
                <w:rFonts w:hint="eastAsia" w:cs="Times New Roman"/>
                <w:color w:val="auto"/>
                <w:sz w:val="24"/>
                <w:szCs w:val="28"/>
                <w:highlight w:val="none"/>
                <w:lang w:val="en-US" w:eastAsia="zh-CN"/>
              </w:rPr>
              <w:t>间</w:t>
            </w:r>
            <w:r>
              <w:rPr>
                <w:rFonts w:hint="default" w:ascii="Times New Roman" w:hAnsi="Times New Roman" w:cs="Times New Roman"/>
                <w:color w:val="auto"/>
                <w:sz w:val="24"/>
                <w:szCs w:val="28"/>
                <w:highlight w:val="none"/>
                <w:lang w:val="en-US" w:eastAsia="zh-CN"/>
              </w:rPr>
              <w:t>。</w:t>
            </w:r>
            <w:r>
              <w:rPr>
                <w:rFonts w:hint="eastAsia" w:ascii="Times New Roman" w:hAnsi="Times New Roman" w:cs="Times New Roman"/>
                <w:color w:val="auto"/>
                <w:sz w:val="24"/>
                <w:szCs w:val="28"/>
                <w:highlight w:val="none"/>
                <w:lang w:val="en-US" w:eastAsia="zh-CN"/>
              </w:rPr>
              <w:t>项目使用的天然气为管道天然气。</w:t>
            </w:r>
          </w:p>
          <w:p w14:paraId="3CA6B89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cs="Times New Roman"/>
                <w:color w:val="auto"/>
                <w:sz w:val="24"/>
                <w:szCs w:val="28"/>
                <w:highlight w:val="none"/>
                <w:lang w:val="en-US" w:eastAsia="zh-CN"/>
              </w:rPr>
              <w:t>项目</w:t>
            </w:r>
            <w:r>
              <w:rPr>
                <w:rFonts w:hint="default" w:ascii="Times New Roman" w:hAnsi="Times New Roman" w:eastAsia="宋体" w:cs="Times New Roman"/>
                <w:color w:val="auto"/>
                <w:sz w:val="24"/>
                <w:highlight w:val="none"/>
              </w:rPr>
              <w:t>可能影响环境的途径主要</w:t>
            </w:r>
            <w:r>
              <w:rPr>
                <w:rFonts w:hint="eastAsia" w:ascii="Times New Roman" w:hAnsi="Times New Roman" w:cs="Times New Roman"/>
                <w:color w:val="auto"/>
                <w:sz w:val="24"/>
                <w:highlight w:val="none"/>
                <w:lang w:val="en-US" w:eastAsia="zh-CN"/>
              </w:rPr>
              <w:t>包括：</w:t>
            </w:r>
            <w:r>
              <w:rPr>
                <w:rFonts w:hint="eastAsia" w:cs="Times New Roman"/>
                <w:color w:val="auto"/>
                <w:sz w:val="24"/>
                <w:szCs w:val="28"/>
                <w:highlight w:val="none"/>
                <w:lang w:val="en-US" w:eastAsia="zh-CN"/>
              </w:rPr>
              <w:t>废矿物油</w:t>
            </w:r>
            <w:r>
              <w:rPr>
                <w:rFonts w:hint="default" w:ascii="Times New Roman" w:hAnsi="Times New Roman" w:eastAsia="宋体" w:cs="Times New Roman"/>
                <w:color w:val="auto"/>
                <w:sz w:val="24"/>
                <w:highlight w:val="none"/>
              </w:rPr>
              <w:t>发生大量泄漏处理不及时</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进入土壤、地下水及地表水造成污染</w:t>
            </w:r>
            <w:r>
              <w:rPr>
                <w:rFonts w:hint="default" w:ascii="Times New Roman" w:hAnsi="Times New Roman" w:eastAsia="宋体" w:cs="Times New Roman"/>
                <w:color w:val="auto"/>
                <w:sz w:val="24"/>
                <w:highlight w:val="none"/>
              </w:rPr>
              <w:t>；</w:t>
            </w:r>
            <w:r>
              <w:rPr>
                <w:rFonts w:hint="eastAsia" w:cs="Times New Roman"/>
                <w:color w:val="auto"/>
                <w:sz w:val="24"/>
                <w:szCs w:val="28"/>
                <w:highlight w:val="none"/>
                <w:lang w:val="en-US" w:eastAsia="zh-CN"/>
              </w:rPr>
              <w:t>废矿物油、</w:t>
            </w:r>
            <w:r>
              <w:rPr>
                <w:rFonts w:hint="eastAsia" w:cs="Times New Roman"/>
                <w:color w:val="auto"/>
                <w:sz w:val="24"/>
                <w:highlight w:val="none"/>
                <w:lang w:eastAsia="zh-CN"/>
              </w:rPr>
              <w:t>管道天然气泄漏，发生</w:t>
            </w:r>
            <w:r>
              <w:rPr>
                <w:rFonts w:hint="default" w:ascii="Times New Roman" w:hAnsi="Times New Roman" w:eastAsia="宋体" w:cs="Times New Roman"/>
                <w:color w:val="auto"/>
                <w:sz w:val="24"/>
                <w:highlight w:val="none"/>
              </w:rPr>
              <w:t>火灾</w:t>
            </w:r>
            <w:r>
              <w:rPr>
                <w:rFonts w:hint="eastAsia" w:cs="Times New Roman"/>
                <w:color w:val="auto"/>
                <w:sz w:val="24"/>
                <w:highlight w:val="none"/>
                <w:lang w:eastAsia="zh-CN"/>
              </w:rPr>
              <w:t>爆炸</w:t>
            </w:r>
            <w:r>
              <w:rPr>
                <w:rFonts w:hint="default" w:ascii="Times New Roman" w:hAnsi="Times New Roman" w:eastAsia="宋体" w:cs="Times New Roman"/>
                <w:color w:val="auto"/>
                <w:sz w:val="24"/>
                <w:highlight w:val="none"/>
              </w:rPr>
              <w:t>产生的</w:t>
            </w:r>
            <w:r>
              <w:rPr>
                <w:rFonts w:hint="eastAsia" w:cs="Times New Roman"/>
                <w:color w:val="auto"/>
                <w:sz w:val="24"/>
                <w:highlight w:val="none"/>
                <w:lang w:eastAsia="zh-CN"/>
              </w:rPr>
              <w:t>废气</w:t>
            </w:r>
            <w:r>
              <w:rPr>
                <w:rFonts w:hint="eastAsia" w:cs="Times New Roman"/>
                <w:color w:val="auto"/>
                <w:sz w:val="24"/>
                <w:highlight w:val="none"/>
                <w:lang w:val="en-US" w:eastAsia="zh-CN"/>
              </w:rPr>
              <w:t>污染物</w:t>
            </w:r>
            <w:r>
              <w:rPr>
                <w:rFonts w:hint="default" w:ascii="Times New Roman" w:hAnsi="Times New Roman" w:eastAsia="宋体" w:cs="Times New Roman"/>
                <w:color w:val="auto"/>
                <w:sz w:val="24"/>
                <w:highlight w:val="none"/>
              </w:rPr>
              <w:t>污染大气环境，火灾</w:t>
            </w:r>
            <w:r>
              <w:rPr>
                <w:rFonts w:hint="eastAsia" w:cs="Times New Roman"/>
                <w:color w:val="auto"/>
                <w:sz w:val="24"/>
                <w:highlight w:val="none"/>
                <w:lang w:eastAsia="zh-CN"/>
              </w:rPr>
              <w:t>爆炸</w:t>
            </w:r>
            <w:r>
              <w:rPr>
                <w:rFonts w:hint="default" w:ascii="Times New Roman" w:hAnsi="Times New Roman" w:eastAsia="宋体" w:cs="Times New Roman"/>
                <w:color w:val="auto"/>
                <w:sz w:val="24"/>
                <w:highlight w:val="none"/>
              </w:rPr>
              <w:t>消防产生的消防废水收集不当污染</w:t>
            </w:r>
            <w:r>
              <w:rPr>
                <w:rFonts w:hint="eastAsia" w:ascii="Times New Roman" w:hAnsi="Times New Roman" w:cs="Times New Roman"/>
                <w:color w:val="auto"/>
                <w:sz w:val="24"/>
                <w:highlight w:val="none"/>
                <w:lang w:val="en-US" w:eastAsia="zh-CN"/>
              </w:rPr>
              <w:t>土壤、地下水及地表水</w:t>
            </w:r>
            <w:r>
              <w:rPr>
                <w:rFonts w:hint="default" w:ascii="Times New Roman" w:hAnsi="Times New Roman" w:eastAsia="宋体" w:cs="Times New Roman"/>
                <w:color w:val="auto"/>
                <w:sz w:val="24"/>
                <w:highlight w:val="none"/>
              </w:rPr>
              <w:t>环境。</w:t>
            </w:r>
          </w:p>
          <w:p w14:paraId="35B4E85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①大气环境风险分析</w:t>
            </w:r>
          </w:p>
          <w:p w14:paraId="16CA3B0F">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cs="Times New Roman"/>
                <w:color w:val="auto"/>
                <w:sz w:val="24"/>
                <w:szCs w:val="28"/>
                <w:highlight w:val="none"/>
                <w:lang w:val="en-US" w:eastAsia="zh-CN"/>
              </w:rPr>
              <w:t>废矿物油泄漏的天然气</w:t>
            </w:r>
            <w:r>
              <w:rPr>
                <w:rFonts w:hint="default" w:ascii="Times New Roman" w:hAnsi="Times New Roman" w:eastAsia="宋体" w:cs="Times New Roman"/>
                <w:color w:val="auto"/>
                <w:sz w:val="24"/>
                <w:highlight w:val="none"/>
              </w:rPr>
              <w:t>遇明火发生火灾</w:t>
            </w:r>
            <w:r>
              <w:rPr>
                <w:rFonts w:hint="eastAsia" w:cs="Times New Roman"/>
                <w:color w:val="auto"/>
                <w:sz w:val="24"/>
                <w:highlight w:val="none"/>
                <w:lang w:eastAsia="zh-CN"/>
              </w:rPr>
              <w:t>爆炸</w:t>
            </w:r>
            <w:r>
              <w:rPr>
                <w:rFonts w:hint="default" w:ascii="Times New Roman" w:hAnsi="Times New Roman" w:eastAsia="宋体" w:cs="Times New Roman"/>
                <w:color w:val="auto"/>
                <w:sz w:val="24"/>
                <w:highlight w:val="none"/>
              </w:rPr>
              <w:t>事故，产生CO和CO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等污染物，排放到大气环境中会污染大气环境</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项目区</w:t>
            </w:r>
            <w:r>
              <w:rPr>
                <w:rFonts w:hint="eastAsia" w:cs="Times New Roman"/>
                <w:color w:val="auto"/>
                <w:sz w:val="24"/>
                <w:szCs w:val="28"/>
                <w:highlight w:val="none"/>
                <w:lang w:val="en-US" w:eastAsia="zh-CN"/>
              </w:rPr>
              <w:t>废矿物油</w:t>
            </w:r>
            <w:r>
              <w:rPr>
                <w:rFonts w:hint="eastAsia" w:cs="Times New Roman"/>
                <w:color w:val="auto"/>
                <w:sz w:val="24"/>
                <w:szCs w:val="24"/>
                <w:highlight w:val="none"/>
                <w:lang w:val="en-US" w:eastAsia="zh-CN"/>
              </w:rPr>
              <w:t>最大</w:t>
            </w:r>
            <w:r>
              <w:rPr>
                <w:rFonts w:hint="default" w:ascii="Times New Roman" w:hAnsi="Times New Roman" w:eastAsia="宋体" w:cs="Times New Roman"/>
                <w:color w:val="auto"/>
                <w:sz w:val="24"/>
                <w:highlight w:val="none"/>
              </w:rPr>
              <w:t>存</w:t>
            </w:r>
            <w:r>
              <w:rPr>
                <w:rFonts w:hint="eastAsia" w:cs="Times New Roman"/>
                <w:color w:val="auto"/>
                <w:sz w:val="24"/>
                <w:highlight w:val="none"/>
                <w:lang w:val="en-US" w:eastAsia="zh-CN"/>
              </w:rPr>
              <w:t>在</w:t>
            </w:r>
            <w:r>
              <w:rPr>
                <w:rFonts w:hint="default" w:ascii="Times New Roman" w:hAnsi="Times New Roman" w:eastAsia="宋体" w:cs="Times New Roman"/>
                <w:color w:val="auto"/>
                <w:sz w:val="24"/>
                <w:highlight w:val="none"/>
              </w:rPr>
              <w:t>量较小，</w:t>
            </w:r>
            <w:r>
              <w:rPr>
                <w:rFonts w:hint="eastAsia" w:cs="Times New Roman"/>
                <w:color w:val="auto"/>
                <w:sz w:val="24"/>
                <w:highlight w:val="none"/>
                <w:lang w:eastAsia="zh-CN"/>
              </w:rPr>
              <w:t>天然气使用园区管道天然气，</w:t>
            </w:r>
            <w:r>
              <w:rPr>
                <w:rFonts w:hint="default" w:ascii="Times New Roman" w:hAnsi="Times New Roman" w:eastAsia="宋体" w:cs="Times New Roman"/>
                <w:color w:val="auto"/>
                <w:sz w:val="24"/>
                <w:highlight w:val="none"/>
              </w:rPr>
              <w:t>发生火灾爆炸事故的概率较小，在发生火灾时能够及时采取措施在最短时间内将火扑灭，废气产生量很小，在扑灭后经空气扩散稀释后对大气环境影响较小。</w:t>
            </w:r>
          </w:p>
          <w:p w14:paraId="796D584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②地表水</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地下水、土壤</w:t>
            </w:r>
            <w:r>
              <w:rPr>
                <w:rFonts w:hint="default" w:ascii="Times New Roman" w:hAnsi="Times New Roman" w:eastAsia="宋体" w:cs="Times New Roman"/>
                <w:color w:val="auto"/>
                <w:sz w:val="24"/>
                <w:highlight w:val="none"/>
              </w:rPr>
              <w:t>环境风险分析</w:t>
            </w:r>
          </w:p>
          <w:p w14:paraId="6E381A41">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8"/>
                <w:highlight w:val="none"/>
                <w:lang w:val="en-US" w:eastAsia="zh-CN"/>
              </w:rPr>
              <w:t>当</w:t>
            </w:r>
            <w:r>
              <w:rPr>
                <w:rFonts w:hint="eastAsia" w:cs="Times New Roman"/>
                <w:color w:val="auto"/>
                <w:sz w:val="24"/>
                <w:szCs w:val="28"/>
                <w:highlight w:val="none"/>
                <w:lang w:val="en-US" w:eastAsia="zh-CN"/>
              </w:rPr>
              <w:t>废矿物油</w:t>
            </w:r>
            <w:r>
              <w:rPr>
                <w:rFonts w:hint="default" w:ascii="Times New Roman" w:hAnsi="Times New Roman" w:cs="Times New Roman"/>
                <w:color w:val="auto"/>
                <w:sz w:val="24"/>
                <w:szCs w:val="28"/>
                <w:highlight w:val="none"/>
                <w:lang w:val="en-US" w:eastAsia="zh-CN"/>
              </w:rPr>
              <w:t>发生</w:t>
            </w:r>
            <w:r>
              <w:rPr>
                <w:rFonts w:hint="eastAsia" w:cs="Times New Roman"/>
                <w:color w:val="auto"/>
                <w:sz w:val="24"/>
                <w:szCs w:val="28"/>
                <w:highlight w:val="none"/>
                <w:lang w:val="en-US" w:eastAsia="zh-CN"/>
              </w:rPr>
              <w:t>泄漏</w:t>
            </w:r>
            <w:r>
              <w:rPr>
                <w:rFonts w:hint="default" w:ascii="Times New Roman" w:hAnsi="Times New Roman" w:cs="Times New Roman"/>
                <w:color w:val="auto"/>
                <w:sz w:val="24"/>
                <w:szCs w:val="28"/>
                <w:highlight w:val="none"/>
                <w:lang w:val="en-US" w:eastAsia="zh-CN"/>
              </w:rPr>
              <w:t>后，会通过项目区地表入渗，随着时间的推移，造成区域土壤和地下水的污染。</w:t>
            </w:r>
            <w:r>
              <w:rPr>
                <w:rFonts w:hint="default" w:ascii="Times New Roman" w:hAnsi="Times New Roman" w:eastAsia="宋体" w:cs="Times New Roman"/>
                <w:color w:val="auto"/>
                <w:sz w:val="24"/>
                <w:highlight w:val="none"/>
              </w:rPr>
              <w:t>由于</w:t>
            </w:r>
            <w:r>
              <w:rPr>
                <w:rFonts w:hint="eastAsia" w:cs="Times New Roman"/>
                <w:color w:val="auto"/>
                <w:sz w:val="24"/>
                <w:szCs w:val="28"/>
                <w:highlight w:val="none"/>
                <w:lang w:val="en-US" w:eastAsia="zh-CN"/>
              </w:rPr>
              <w:t>废矿物油</w:t>
            </w:r>
            <w:r>
              <w:rPr>
                <w:rFonts w:hint="default" w:ascii="Times New Roman" w:hAnsi="Times New Roman" w:eastAsia="宋体" w:cs="Times New Roman"/>
                <w:color w:val="auto"/>
                <w:sz w:val="24"/>
                <w:highlight w:val="none"/>
              </w:rPr>
              <w:t>难溶于水，大部分上浮在水层表面，形成一层油膜使空气隔离，造成水中溶解氧浓度降低，逐渐形成死水，致使水中生物死亡</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由于本项目</w:t>
            </w:r>
            <w:r>
              <w:rPr>
                <w:rFonts w:hint="eastAsia" w:cs="Times New Roman"/>
                <w:color w:val="auto"/>
                <w:sz w:val="24"/>
                <w:szCs w:val="28"/>
                <w:highlight w:val="none"/>
                <w:lang w:val="en-US" w:eastAsia="zh-CN"/>
              </w:rPr>
              <w:t>废矿物油</w:t>
            </w:r>
            <w:r>
              <w:rPr>
                <w:rFonts w:hint="eastAsia" w:cs="Times New Roman"/>
                <w:color w:val="auto"/>
                <w:sz w:val="24"/>
                <w:szCs w:val="24"/>
                <w:highlight w:val="none"/>
                <w:lang w:val="en-US" w:eastAsia="zh-CN"/>
              </w:rPr>
              <w:t>最大</w:t>
            </w:r>
            <w:r>
              <w:rPr>
                <w:rFonts w:hint="default" w:ascii="Times New Roman" w:hAnsi="Times New Roman" w:eastAsia="宋体" w:cs="Times New Roman"/>
                <w:color w:val="auto"/>
                <w:sz w:val="24"/>
                <w:highlight w:val="none"/>
              </w:rPr>
              <w:t>储</w:t>
            </w:r>
            <w:r>
              <w:rPr>
                <w:rFonts w:hint="eastAsia" w:cs="Times New Roman"/>
                <w:color w:val="auto"/>
                <w:sz w:val="24"/>
                <w:highlight w:val="none"/>
                <w:lang w:val="en-US" w:eastAsia="zh-CN"/>
              </w:rPr>
              <w:t>存</w:t>
            </w:r>
            <w:r>
              <w:rPr>
                <w:rFonts w:hint="default" w:ascii="Times New Roman" w:hAnsi="Times New Roman" w:eastAsia="宋体" w:cs="Times New Roman"/>
                <w:color w:val="auto"/>
                <w:sz w:val="24"/>
                <w:highlight w:val="none"/>
              </w:rPr>
              <w:t>量不大，一旦发生泄漏能够得到及时有效的处理，尽可能的将泄漏的</w:t>
            </w:r>
            <w:r>
              <w:rPr>
                <w:rFonts w:hint="eastAsia" w:cs="Times New Roman"/>
                <w:color w:val="auto"/>
                <w:sz w:val="24"/>
                <w:szCs w:val="28"/>
                <w:highlight w:val="none"/>
                <w:lang w:val="en-US" w:eastAsia="zh-CN"/>
              </w:rPr>
              <w:t>废矿物油</w:t>
            </w:r>
            <w:r>
              <w:rPr>
                <w:rFonts w:hint="default" w:ascii="Times New Roman" w:hAnsi="Times New Roman" w:eastAsia="宋体" w:cs="Times New Roman"/>
                <w:color w:val="auto"/>
                <w:sz w:val="24"/>
                <w:highlight w:val="none"/>
              </w:rPr>
              <w:t>控制在</w:t>
            </w:r>
            <w:r>
              <w:rPr>
                <w:rFonts w:hint="eastAsia" w:ascii="Times New Roman" w:hAnsi="Times New Roman" w:cs="Times New Roman"/>
                <w:color w:val="auto"/>
                <w:sz w:val="24"/>
                <w:highlight w:val="none"/>
                <w:lang w:val="en-US" w:eastAsia="zh-CN"/>
              </w:rPr>
              <w:t>危险废物暂存间</w:t>
            </w:r>
            <w:r>
              <w:rPr>
                <w:rFonts w:hint="default" w:ascii="Times New Roman" w:hAnsi="Times New Roman" w:eastAsia="宋体" w:cs="Times New Roman"/>
                <w:color w:val="auto"/>
                <w:sz w:val="24"/>
                <w:highlight w:val="none"/>
              </w:rPr>
              <w:t>内，一般不会直接进入表水</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地下水、土壤中</w:t>
            </w:r>
            <w:r>
              <w:rPr>
                <w:rFonts w:hint="default" w:ascii="Times New Roman" w:hAnsi="Times New Roman" w:eastAsia="宋体" w:cs="Times New Roman"/>
                <w:color w:val="auto"/>
                <w:sz w:val="24"/>
                <w:highlight w:val="none"/>
              </w:rPr>
              <w:t>。</w:t>
            </w:r>
          </w:p>
          <w:p w14:paraId="79200D6C">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eastAsia="宋体" w:cs="Times New Roman"/>
                <w:color w:val="auto"/>
                <w:sz w:val="24"/>
                <w:highlight w:val="none"/>
                <w:lang w:eastAsia="zh-CN"/>
              </w:rPr>
            </w:pPr>
            <w:r>
              <w:rPr>
                <w:rFonts w:hint="eastAsia" w:cs="Times New Roman"/>
                <w:color w:val="auto"/>
                <w:sz w:val="24"/>
                <w:szCs w:val="28"/>
                <w:highlight w:val="none"/>
                <w:lang w:val="en-US" w:eastAsia="zh-CN"/>
              </w:rPr>
              <w:t>另外，项目废矿物油</w:t>
            </w:r>
            <w:r>
              <w:rPr>
                <w:rFonts w:hint="eastAsia" w:cs="Times New Roman"/>
                <w:color w:val="auto"/>
                <w:sz w:val="24"/>
                <w:szCs w:val="24"/>
                <w:highlight w:val="none"/>
                <w:lang w:val="en-US" w:eastAsia="zh-CN"/>
              </w:rPr>
              <w:t>、</w:t>
            </w:r>
            <w:r>
              <w:rPr>
                <w:rFonts w:hint="eastAsia" w:cs="Times New Roman"/>
                <w:color w:val="auto"/>
                <w:sz w:val="24"/>
                <w:szCs w:val="28"/>
                <w:highlight w:val="none"/>
                <w:lang w:val="en-US" w:eastAsia="zh-CN"/>
              </w:rPr>
              <w:t>泄漏的天然气</w:t>
            </w:r>
            <w:r>
              <w:rPr>
                <w:rFonts w:hint="default" w:ascii="Times New Roman" w:hAnsi="Times New Roman" w:eastAsia="宋体" w:cs="Times New Roman"/>
                <w:color w:val="auto"/>
                <w:sz w:val="24"/>
                <w:highlight w:val="none"/>
              </w:rPr>
              <w:t>遇明火发生火灾</w:t>
            </w:r>
            <w:r>
              <w:rPr>
                <w:rFonts w:hint="eastAsia" w:cs="Times New Roman"/>
                <w:color w:val="auto"/>
                <w:sz w:val="24"/>
                <w:highlight w:val="none"/>
                <w:lang w:eastAsia="zh-CN"/>
              </w:rPr>
              <w:t>爆炸</w:t>
            </w:r>
            <w:r>
              <w:rPr>
                <w:rFonts w:hint="default" w:ascii="Times New Roman" w:hAnsi="Times New Roman" w:eastAsia="宋体" w:cs="Times New Roman"/>
                <w:color w:val="auto"/>
                <w:sz w:val="24"/>
                <w:highlight w:val="none"/>
              </w:rPr>
              <w:t>事故时需使用大量水来灭火，此过程会产生大量消防废水，消防废水一旦进入周边地表水</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地下水、土壤</w:t>
            </w:r>
            <w:r>
              <w:rPr>
                <w:rFonts w:hint="default" w:ascii="Times New Roman" w:hAnsi="Times New Roman" w:eastAsia="宋体" w:cs="Times New Roman"/>
                <w:color w:val="auto"/>
                <w:sz w:val="24"/>
                <w:highlight w:val="none"/>
              </w:rPr>
              <w:t>，将造成地污染。</w:t>
            </w:r>
            <w:r>
              <w:rPr>
                <w:rFonts w:hint="eastAsia" w:cs="Times New Roman"/>
                <w:color w:val="auto"/>
                <w:sz w:val="24"/>
                <w:highlight w:val="none"/>
                <w:lang w:eastAsia="zh-CN"/>
              </w:rPr>
              <w:t>项目区设事故池，</w:t>
            </w:r>
            <w:r>
              <w:rPr>
                <w:rFonts w:hint="default" w:ascii="Times New Roman" w:hAnsi="Times New Roman" w:eastAsia="宋体" w:cs="Times New Roman"/>
                <w:color w:val="auto"/>
                <w:sz w:val="24"/>
                <w:highlight w:val="none"/>
              </w:rPr>
              <w:t>火灾</w:t>
            </w:r>
            <w:r>
              <w:rPr>
                <w:rFonts w:hint="eastAsia" w:cs="Times New Roman"/>
                <w:color w:val="auto"/>
                <w:sz w:val="24"/>
                <w:highlight w:val="none"/>
                <w:lang w:eastAsia="zh-CN"/>
              </w:rPr>
              <w:t>爆炸</w:t>
            </w:r>
            <w:r>
              <w:rPr>
                <w:rFonts w:hint="default" w:ascii="Times New Roman" w:hAnsi="Times New Roman" w:eastAsia="宋体" w:cs="Times New Roman"/>
                <w:color w:val="auto"/>
                <w:sz w:val="24"/>
                <w:highlight w:val="none"/>
              </w:rPr>
              <w:t>事故</w:t>
            </w:r>
            <w:r>
              <w:rPr>
                <w:rFonts w:hint="eastAsia" w:ascii="Times New Roman" w:hAnsi="Times New Roman" w:eastAsia="宋体" w:cs="Times New Roman"/>
                <w:color w:val="auto"/>
                <w:sz w:val="24"/>
                <w:highlight w:val="none"/>
                <w:lang w:eastAsia="zh-CN"/>
              </w:rPr>
              <w:t>产生的</w:t>
            </w:r>
            <w:r>
              <w:rPr>
                <w:rFonts w:hint="default" w:ascii="Times New Roman" w:hAnsi="Times New Roman" w:eastAsia="宋体" w:cs="Times New Roman"/>
                <w:color w:val="auto"/>
                <w:sz w:val="24"/>
                <w:highlight w:val="none"/>
              </w:rPr>
              <w:t>消防废水</w:t>
            </w:r>
            <w:r>
              <w:rPr>
                <w:rFonts w:hint="eastAsia" w:ascii="Times New Roman" w:hAnsi="Times New Roman" w:eastAsia="宋体" w:cs="Times New Roman"/>
                <w:color w:val="auto"/>
                <w:sz w:val="24"/>
                <w:highlight w:val="none"/>
                <w:lang w:eastAsia="zh-CN"/>
              </w:rPr>
              <w:t>可得到有效收集。</w:t>
            </w:r>
          </w:p>
          <w:p w14:paraId="3CE72056">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w:t>
            </w:r>
            <w:r>
              <w:rPr>
                <w:rFonts w:hint="eastAsia" w:cs="Times New Roman"/>
                <w:b/>
                <w:bCs/>
                <w:color w:val="auto"/>
                <w:sz w:val="24"/>
                <w:szCs w:val="28"/>
                <w:highlight w:val="none"/>
                <w:lang w:val="en-US" w:eastAsia="zh-CN"/>
              </w:rPr>
              <w:t>5</w:t>
            </w:r>
            <w:r>
              <w:rPr>
                <w:rFonts w:hint="default" w:ascii="Times New Roman" w:hAnsi="Times New Roman" w:eastAsia="宋体" w:cs="Times New Roman"/>
                <w:b/>
                <w:bCs/>
                <w:color w:val="auto"/>
                <w:sz w:val="24"/>
                <w:szCs w:val="28"/>
                <w:highlight w:val="none"/>
                <w:lang w:val="en-US" w:eastAsia="zh-CN"/>
              </w:rPr>
              <w:t>）环境风险防范措施及应急要求</w:t>
            </w:r>
          </w:p>
          <w:p w14:paraId="3698C4D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1）环境风险防范措施</w:t>
            </w:r>
          </w:p>
          <w:p w14:paraId="4B62C1F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①项目区按照《建筑灭火器配置设计规范》（GB50140-2010）的要求设置消防设施及灭火器材，灭火器材应放在明显、易取的地方，应定期对消防设施及灭火器材进行检查、维护。</w:t>
            </w:r>
          </w:p>
          <w:p w14:paraId="5ADD9DC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8"/>
                <w:highlight w:val="none"/>
                <w:lang w:val="zh-CN"/>
              </w:rPr>
            </w:pPr>
            <w:r>
              <w:rPr>
                <w:rFonts w:hint="default"/>
                <w:color w:val="auto"/>
                <w:sz w:val="24"/>
                <w:szCs w:val="28"/>
                <w:highlight w:val="none"/>
                <w:lang w:val="zh-CN"/>
              </w:rPr>
              <w:t>②严禁动用明火、各种电热器和能引起电火花的电气设备，室外门上应挂“严禁烟火”的警告牌，定期检查完好性。</w:t>
            </w:r>
          </w:p>
          <w:p w14:paraId="16D440D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8"/>
                <w:highlight w:val="none"/>
                <w:lang w:val="en-US" w:eastAsia="zh-CN"/>
              </w:rPr>
            </w:pPr>
            <w:r>
              <w:rPr>
                <w:rFonts w:hint="default"/>
                <w:color w:val="auto"/>
                <w:sz w:val="24"/>
                <w:szCs w:val="28"/>
                <w:highlight w:val="none"/>
                <w:lang w:val="zh-CN"/>
              </w:rPr>
              <w:t>③</w:t>
            </w:r>
            <w:r>
              <w:rPr>
                <w:rFonts w:hint="default"/>
                <w:color w:val="auto"/>
                <w:sz w:val="24"/>
                <w:szCs w:val="28"/>
                <w:highlight w:val="none"/>
              </w:rPr>
              <w:t>加强设备电线及接头的检修及维护，防止因线路老化、接触不良等原因造成火灾事故</w:t>
            </w:r>
            <w:r>
              <w:rPr>
                <w:rFonts w:hint="default" w:ascii="Times New Roman" w:hAnsi="Times New Roman" w:cs="Times New Roman"/>
                <w:color w:val="auto"/>
                <w:sz w:val="24"/>
                <w:szCs w:val="28"/>
                <w:highlight w:val="none"/>
                <w:lang w:val="en-US" w:eastAsia="zh-CN"/>
              </w:rPr>
              <w:t>。</w:t>
            </w:r>
          </w:p>
          <w:p w14:paraId="182D49E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④搬运</w:t>
            </w:r>
            <w:r>
              <w:rPr>
                <w:rFonts w:hint="eastAsia" w:cs="Times New Roman"/>
                <w:color w:val="auto"/>
                <w:sz w:val="24"/>
                <w:szCs w:val="28"/>
                <w:highlight w:val="none"/>
                <w:lang w:val="en-US" w:eastAsia="zh-CN"/>
              </w:rPr>
              <w:t>废矿物油</w:t>
            </w:r>
            <w:r>
              <w:rPr>
                <w:rFonts w:hint="default" w:ascii="Times New Roman" w:hAnsi="Times New Roman" w:eastAsia="宋体" w:cs="Times New Roman"/>
                <w:color w:val="auto"/>
                <w:sz w:val="24"/>
                <w:highlight w:val="none"/>
              </w:rPr>
              <w:t>时要轻装轻卸，包装桶应确保无破损，若发现破损应立即更换，避免</w:t>
            </w:r>
            <w:r>
              <w:rPr>
                <w:rFonts w:hint="eastAsia" w:cs="Times New Roman"/>
                <w:color w:val="auto"/>
                <w:sz w:val="24"/>
                <w:szCs w:val="28"/>
                <w:highlight w:val="none"/>
                <w:lang w:val="en-US" w:eastAsia="zh-CN"/>
              </w:rPr>
              <w:t>废矿物油</w:t>
            </w:r>
            <w:r>
              <w:rPr>
                <w:rFonts w:hint="default" w:ascii="Times New Roman" w:hAnsi="Times New Roman" w:eastAsia="宋体" w:cs="Times New Roman"/>
                <w:color w:val="auto"/>
                <w:sz w:val="24"/>
                <w:highlight w:val="none"/>
              </w:rPr>
              <w:t>泄漏，存放于阴凉通风的地方，远离火源。</w:t>
            </w:r>
          </w:p>
          <w:p w14:paraId="4134756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w:t>
            </w:r>
            <w:r>
              <w:rPr>
                <w:rFonts w:hint="eastAsia" w:ascii="Times New Roman" w:hAnsi="Times New Roman" w:cs="Times New Roman"/>
                <w:color w:val="auto"/>
                <w:sz w:val="24"/>
                <w:szCs w:val="28"/>
                <w:highlight w:val="none"/>
                <w:lang w:val="en-US" w:eastAsia="zh-CN"/>
              </w:rPr>
              <w:t>危险废物</w:t>
            </w:r>
            <w:r>
              <w:rPr>
                <w:rFonts w:hint="default"/>
                <w:color w:val="auto"/>
                <w:sz w:val="24"/>
                <w:szCs w:val="28"/>
                <w:highlight w:val="none"/>
              </w:rPr>
              <w:t>暂存间严格按照</w:t>
            </w:r>
            <w:r>
              <w:rPr>
                <w:rFonts w:hint="default"/>
                <w:color w:val="auto"/>
                <w:sz w:val="24"/>
                <w:highlight w:val="none"/>
              </w:rPr>
              <w:t>《危险废物贮存污染控制标准》（GB18597-20</w:t>
            </w:r>
            <w:r>
              <w:rPr>
                <w:rFonts w:hint="eastAsia"/>
                <w:color w:val="auto"/>
                <w:sz w:val="24"/>
                <w:highlight w:val="none"/>
              </w:rPr>
              <w:t>23</w:t>
            </w:r>
            <w:r>
              <w:rPr>
                <w:rFonts w:hint="default"/>
                <w:color w:val="auto"/>
                <w:sz w:val="24"/>
                <w:highlight w:val="none"/>
              </w:rPr>
              <w:t>）</w:t>
            </w:r>
            <w:r>
              <w:rPr>
                <w:rFonts w:hint="default"/>
                <w:color w:val="auto"/>
                <w:sz w:val="24"/>
                <w:szCs w:val="28"/>
                <w:highlight w:val="none"/>
              </w:rPr>
              <w:t>中的相关要求</w:t>
            </w:r>
            <w:r>
              <w:rPr>
                <w:rFonts w:hint="eastAsia"/>
                <w:color w:val="auto"/>
                <w:sz w:val="24"/>
                <w:szCs w:val="28"/>
                <w:highlight w:val="none"/>
                <w:lang w:val="en-US" w:eastAsia="zh-CN"/>
              </w:rPr>
              <w:t>进行建设</w:t>
            </w:r>
            <w:r>
              <w:rPr>
                <w:rFonts w:hint="default" w:ascii="Times New Roman" w:hAnsi="Times New Roman" w:eastAsia="宋体" w:cs="Times New Roman"/>
                <w:color w:val="auto"/>
                <w:sz w:val="24"/>
                <w:highlight w:val="none"/>
              </w:rPr>
              <w:t>。</w:t>
            </w:r>
          </w:p>
          <w:p w14:paraId="693FBCA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8"/>
                <w:highlight w:val="none"/>
                <w:lang w:val="zh-CN"/>
              </w:rPr>
            </w:pPr>
            <w:r>
              <w:rPr>
                <w:rFonts w:hint="default" w:ascii="Times New Roman" w:hAnsi="Times New Roman" w:eastAsia="宋体" w:cs="Times New Roman"/>
                <w:color w:val="auto"/>
                <w:sz w:val="24"/>
                <w:highlight w:val="none"/>
              </w:rPr>
              <w:t>⑥</w:t>
            </w:r>
            <w:r>
              <w:rPr>
                <w:rFonts w:hint="eastAsia" w:ascii="Times New Roman" w:hAnsi="Times New Roman" w:cs="Times New Roman"/>
                <w:color w:val="auto"/>
                <w:sz w:val="24"/>
                <w:highlight w:val="none"/>
                <w:lang w:val="en-US" w:eastAsia="zh-CN"/>
              </w:rPr>
              <w:t>危险废物暂存间内</w:t>
            </w:r>
            <w:r>
              <w:rPr>
                <w:rFonts w:hint="default" w:ascii="Times New Roman" w:hAnsi="Times New Roman" w:eastAsia="宋体" w:cs="Times New Roman"/>
                <w:color w:val="auto"/>
                <w:sz w:val="24"/>
                <w:szCs w:val="28"/>
                <w:highlight w:val="none"/>
                <w:lang w:val="zh-CN"/>
              </w:rPr>
              <w:t>设置一个</w:t>
            </w:r>
            <w:r>
              <w:rPr>
                <w:rFonts w:hint="eastAsia" w:eastAsia="宋体" w:cs="Times New Roman"/>
                <w:color w:val="auto"/>
                <w:sz w:val="24"/>
                <w:szCs w:val="28"/>
                <w:highlight w:val="none"/>
                <w:lang w:val="en-US" w:eastAsia="zh-CN"/>
              </w:rPr>
              <w:t>备用空桶，</w:t>
            </w:r>
            <w:r>
              <w:rPr>
                <w:rFonts w:hint="default" w:ascii="Times New Roman" w:hAnsi="Times New Roman" w:eastAsia="宋体" w:cs="Times New Roman"/>
                <w:color w:val="auto"/>
                <w:sz w:val="24"/>
                <w:szCs w:val="28"/>
                <w:highlight w:val="none"/>
                <w:lang w:val="zh-CN"/>
              </w:rPr>
              <w:t>当</w:t>
            </w:r>
            <w:r>
              <w:rPr>
                <w:rFonts w:hint="eastAsia" w:eastAsia="宋体" w:cs="Times New Roman"/>
                <w:color w:val="auto"/>
                <w:sz w:val="24"/>
                <w:szCs w:val="28"/>
                <w:highlight w:val="none"/>
                <w:lang w:val="en-US" w:eastAsia="zh-CN"/>
              </w:rPr>
              <w:t>发生</w:t>
            </w:r>
            <w:r>
              <w:rPr>
                <w:rFonts w:hint="eastAsia" w:cs="Times New Roman"/>
                <w:color w:val="auto"/>
                <w:sz w:val="24"/>
                <w:szCs w:val="28"/>
                <w:highlight w:val="none"/>
                <w:lang w:val="en-US" w:eastAsia="zh-CN"/>
              </w:rPr>
              <w:t>废矿物油</w:t>
            </w:r>
            <w:r>
              <w:rPr>
                <w:rFonts w:hint="default" w:ascii="Times New Roman" w:hAnsi="Times New Roman" w:eastAsia="宋体" w:cs="Times New Roman"/>
                <w:color w:val="auto"/>
                <w:sz w:val="24"/>
                <w:szCs w:val="28"/>
                <w:highlight w:val="none"/>
                <w:lang w:val="zh-CN"/>
              </w:rPr>
              <w:t>泄漏事故时，</w:t>
            </w:r>
            <w:r>
              <w:rPr>
                <w:rFonts w:hint="eastAsia" w:eastAsia="宋体" w:cs="Times New Roman"/>
                <w:color w:val="auto"/>
                <w:sz w:val="24"/>
                <w:szCs w:val="28"/>
                <w:highlight w:val="none"/>
                <w:lang w:val="en-US" w:eastAsia="zh-CN"/>
              </w:rPr>
              <w:t>泄漏的</w:t>
            </w:r>
            <w:r>
              <w:rPr>
                <w:rFonts w:hint="eastAsia" w:cs="Times New Roman"/>
                <w:color w:val="auto"/>
                <w:sz w:val="24"/>
                <w:szCs w:val="28"/>
                <w:highlight w:val="none"/>
                <w:lang w:val="en-US" w:eastAsia="zh-CN"/>
              </w:rPr>
              <w:t>废矿物油</w:t>
            </w:r>
            <w:r>
              <w:rPr>
                <w:rFonts w:hint="default" w:ascii="Times New Roman" w:hAnsi="Times New Roman" w:eastAsia="宋体" w:cs="Times New Roman"/>
                <w:color w:val="auto"/>
                <w:sz w:val="24"/>
                <w:szCs w:val="28"/>
                <w:highlight w:val="none"/>
                <w:lang w:val="zh-CN"/>
              </w:rPr>
              <w:t>收集至桶内暂存。</w:t>
            </w:r>
          </w:p>
          <w:p w14:paraId="7BD11DF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eastAsia"/>
                <w:color w:val="auto"/>
                <w:sz w:val="24"/>
                <w:szCs w:val="28"/>
                <w:highlight w:val="none"/>
                <w:lang w:eastAsia="zh-CN"/>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7 \* GB3 \* MERGEFORMAT </w:instrText>
            </w:r>
            <w:r>
              <w:rPr>
                <w:rFonts w:hint="default" w:ascii="Times New Roman" w:hAnsi="Times New Roman" w:eastAsia="宋体" w:cs="Times New Roman"/>
                <w:color w:val="auto"/>
                <w:sz w:val="24"/>
                <w:highlight w:val="none"/>
              </w:rPr>
              <w:fldChar w:fldCharType="separate"/>
            </w:r>
            <w:r>
              <w:rPr>
                <w:rFonts w:hint="default"/>
                <w:color w:val="auto"/>
                <w:highlight w:val="none"/>
              </w:rPr>
              <w:t>⑦</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若发生火灾事故，会产生消防废水，消防废水禁止外排，</w:t>
            </w:r>
            <w:r>
              <w:rPr>
                <w:rFonts w:hint="eastAsia" w:ascii="Times New Roman" w:hAnsi="Times New Roman" w:cs="Times New Roman"/>
                <w:color w:val="auto"/>
                <w:sz w:val="24"/>
                <w:highlight w:val="none"/>
                <w:lang w:val="en-US" w:eastAsia="zh-CN"/>
              </w:rPr>
              <w:t>收集</w:t>
            </w:r>
            <w:r>
              <w:rPr>
                <w:rFonts w:hint="eastAsia" w:cs="Times New Roman"/>
                <w:color w:val="auto"/>
                <w:sz w:val="24"/>
                <w:highlight w:val="none"/>
                <w:lang w:val="en-US" w:eastAsia="zh-CN"/>
              </w:rPr>
              <w:t>于</w:t>
            </w:r>
            <w:r>
              <w:rPr>
                <w:rFonts w:hint="eastAsia" w:cs="Times New Roman"/>
                <w:color w:val="auto"/>
                <w:sz w:val="24"/>
                <w:highlight w:val="none"/>
                <w:lang w:eastAsia="zh-CN"/>
              </w:rPr>
              <w:t>事故池（暂存池兼做事故池）</w:t>
            </w:r>
            <w:r>
              <w:rPr>
                <w:rFonts w:hint="eastAsia" w:ascii="Times New Roman" w:hAnsi="Times New Roman" w:cs="Times New Roman"/>
                <w:color w:val="auto"/>
                <w:sz w:val="24"/>
                <w:highlight w:val="none"/>
                <w:lang w:val="en-US" w:eastAsia="zh-CN"/>
              </w:rPr>
              <w:t>后</w:t>
            </w:r>
            <w:r>
              <w:rPr>
                <w:rFonts w:hint="default" w:ascii="Times New Roman" w:hAnsi="Times New Roman" w:eastAsia="宋体" w:cs="Times New Roman"/>
                <w:color w:val="auto"/>
                <w:sz w:val="24"/>
                <w:highlight w:val="none"/>
              </w:rPr>
              <w:t>委托有资质单位进行处置</w:t>
            </w:r>
            <w:r>
              <w:rPr>
                <w:rFonts w:hint="eastAsia"/>
                <w:color w:val="auto"/>
                <w:sz w:val="24"/>
                <w:szCs w:val="28"/>
                <w:highlight w:val="none"/>
                <w:lang w:eastAsia="zh-CN"/>
              </w:rPr>
              <w:t>。</w:t>
            </w:r>
          </w:p>
          <w:p w14:paraId="48978FEB">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8"/>
                <w:highlight w:val="none"/>
                <w:lang w:val="en-US" w:eastAsia="zh-CN"/>
              </w:rPr>
            </w:pPr>
            <w:r>
              <w:rPr>
                <w:rFonts w:hint="eastAsia" w:ascii="Times New Roman" w:hAnsi="Times New Roman" w:eastAsia="宋体" w:cs="Times New Roman"/>
                <w:color w:val="auto"/>
                <w:sz w:val="24"/>
                <w:szCs w:val="28"/>
                <w:highlight w:val="none"/>
                <w:lang w:val="en-US" w:eastAsia="zh-CN"/>
              </w:rPr>
              <w:fldChar w:fldCharType="begin"/>
            </w:r>
            <w:r>
              <w:rPr>
                <w:rFonts w:hint="eastAsia" w:ascii="Times New Roman" w:hAnsi="Times New Roman" w:eastAsia="宋体" w:cs="Times New Roman"/>
                <w:color w:val="auto"/>
                <w:sz w:val="24"/>
                <w:szCs w:val="28"/>
                <w:highlight w:val="none"/>
                <w:lang w:val="en-US" w:eastAsia="zh-CN"/>
              </w:rPr>
              <w:instrText xml:space="preserve"> = 8 \* GB3 \* MERGEFORMAT </w:instrText>
            </w:r>
            <w:r>
              <w:rPr>
                <w:rFonts w:hint="eastAsia" w:ascii="Times New Roman" w:hAnsi="Times New Roman" w:eastAsia="宋体" w:cs="Times New Roman"/>
                <w:color w:val="auto"/>
                <w:sz w:val="24"/>
                <w:szCs w:val="28"/>
                <w:highlight w:val="none"/>
                <w:lang w:val="en-US" w:eastAsia="zh-CN"/>
              </w:rPr>
              <w:fldChar w:fldCharType="separate"/>
            </w:r>
            <w:r>
              <w:rPr>
                <w:rFonts w:hint="eastAsia" w:ascii="Times New Roman" w:hAnsi="Times New Roman" w:eastAsia="宋体" w:cs="Times New Roman"/>
                <w:color w:val="auto"/>
                <w:sz w:val="24"/>
                <w:szCs w:val="28"/>
                <w:highlight w:val="none"/>
                <w:lang w:val="en-US" w:eastAsia="zh-CN"/>
              </w:rPr>
              <w:t>⑧</w:t>
            </w:r>
            <w:r>
              <w:rPr>
                <w:rFonts w:hint="eastAsia" w:ascii="Times New Roman" w:hAnsi="Times New Roman" w:eastAsia="宋体" w:cs="Times New Roman"/>
                <w:color w:val="auto"/>
                <w:sz w:val="24"/>
                <w:szCs w:val="28"/>
                <w:highlight w:val="none"/>
                <w:lang w:val="en-US" w:eastAsia="zh-CN"/>
              </w:rPr>
              <w:fldChar w:fldCharType="end"/>
            </w:r>
            <w:r>
              <w:rPr>
                <w:rFonts w:hint="eastAsia" w:ascii="Times New Roman" w:hAnsi="Times New Roman" w:eastAsia="宋体" w:cs="Times New Roman"/>
                <w:color w:val="auto"/>
                <w:sz w:val="24"/>
                <w:szCs w:val="28"/>
                <w:highlight w:val="none"/>
                <w:lang w:val="en-US" w:eastAsia="zh-CN"/>
              </w:rPr>
              <w:t>项目</w:t>
            </w:r>
            <w:r>
              <w:rPr>
                <w:rFonts w:hint="eastAsia" w:cs="Times New Roman"/>
                <w:color w:val="auto"/>
                <w:sz w:val="24"/>
                <w:highlight w:val="none"/>
                <w:lang w:eastAsia="zh-CN"/>
              </w:rPr>
              <w:t>使用的管道天然气设截断阀，并配套设置天然气泄漏检测设备，加强天然气管道的巡检，及时发现及控制天然气泄漏。</w:t>
            </w:r>
          </w:p>
          <w:p w14:paraId="4D78AFF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auto"/>
                <w:sz w:val="24"/>
                <w:szCs w:val="28"/>
                <w:highlight w:val="none"/>
                <w:lang w:val="en-US" w:eastAsia="zh-CN"/>
              </w:rPr>
            </w:pPr>
            <w:r>
              <w:rPr>
                <w:rFonts w:hint="eastAsia" w:cs="Times New Roman"/>
                <w:b/>
                <w:bCs/>
                <w:color w:val="auto"/>
                <w:sz w:val="24"/>
                <w:szCs w:val="28"/>
                <w:highlight w:val="none"/>
                <w:lang w:val="en-US" w:eastAsia="zh-CN"/>
              </w:rPr>
              <w:t>2）应急预案及应急演练</w:t>
            </w:r>
          </w:p>
          <w:p w14:paraId="73F0B2E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8"/>
                <w:highlight w:val="none"/>
                <w:lang w:val="zh-CN" w:eastAsia="zh-CN"/>
              </w:rPr>
            </w:pPr>
            <w:r>
              <w:rPr>
                <w:rFonts w:hint="default" w:ascii="Times New Roman" w:hAnsi="Times New Roman" w:eastAsia="宋体" w:cs="Times New Roman"/>
                <w:color w:val="auto"/>
                <w:sz w:val="24"/>
                <w:szCs w:val="28"/>
                <w:highlight w:val="none"/>
                <w:lang w:val="en-US" w:eastAsia="zh-CN"/>
              </w:rPr>
              <w:t>本项目应按照《突发环境事件应急预案管理暂行办法(环发[2010]113 号)》和《企业事业单位突发环境事件应急预案备案管理办法（试行）》（环发[2015]4 号）的相关要求编制应急预案，并报昆明市生态环境局</w:t>
            </w:r>
            <w:r>
              <w:rPr>
                <w:rFonts w:hint="eastAsia" w:ascii="Times New Roman" w:hAnsi="Times New Roman" w:eastAsia="宋体" w:cs="Times New Roman"/>
                <w:color w:val="auto"/>
                <w:sz w:val="24"/>
                <w:szCs w:val="28"/>
                <w:highlight w:val="none"/>
                <w:lang w:val="en-US" w:eastAsia="zh-CN"/>
              </w:rPr>
              <w:t>寻甸</w:t>
            </w:r>
            <w:r>
              <w:rPr>
                <w:rFonts w:hint="default" w:ascii="Times New Roman" w:hAnsi="Times New Roman" w:eastAsia="宋体" w:cs="Times New Roman"/>
                <w:color w:val="auto"/>
                <w:sz w:val="24"/>
                <w:szCs w:val="28"/>
                <w:highlight w:val="none"/>
                <w:lang w:val="en-US" w:eastAsia="zh-CN"/>
              </w:rPr>
              <w:t>分局备案</w:t>
            </w:r>
            <w:r>
              <w:rPr>
                <w:rFonts w:hint="eastAsia" w:cs="Times New Roman"/>
                <w:color w:val="auto"/>
                <w:sz w:val="24"/>
                <w:szCs w:val="28"/>
                <w:highlight w:val="none"/>
                <w:lang w:val="en-US" w:eastAsia="zh-CN"/>
              </w:rPr>
              <w:t>，并定期开展应急演练</w:t>
            </w:r>
            <w:r>
              <w:rPr>
                <w:rFonts w:hint="default" w:ascii="Times New Roman" w:hAnsi="Times New Roman" w:eastAsia="宋体" w:cs="Times New Roman"/>
                <w:color w:val="auto"/>
                <w:sz w:val="24"/>
                <w:szCs w:val="28"/>
                <w:highlight w:val="none"/>
                <w:lang w:val="en-US" w:eastAsia="zh-CN"/>
              </w:rPr>
              <w:t>。</w:t>
            </w:r>
          </w:p>
          <w:p w14:paraId="563476F0">
            <w:pPr>
              <w:pStyle w:val="1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420" w:leftChars="200" w:right="0"/>
              <w:textAlignment w:val="auto"/>
              <w:rPr>
                <w:rFonts w:hint="default" w:ascii="Times New Roman" w:hAnsi="Times New Roman" w:eastAsia="宋体" w:cs="Times New Roman"/>
                <w:b/>
                <w:bCs/>
                <w:color w:val="auto"/>
                <w:sz w:val="24"/>
                <w:szCs w:val="28"/>
                <w:highlight w:val="none"/>
                <w:lang w:val="en-US" w:eastAsia="zh-CN"/>
              </w:rPr>
            </w:pPr>
            <w:r>
              <w:rPr>
                <w:rFonts w:hint="default" w:ascii="Times New Roman" w:hAnsi="Times New Roman" w:eastAsia="宋体" w:cs="Times New Roman"/>
                <w:b/>
                <w:bCs/>
                <w:color w:val="auto"/>
                <w:sz w:val="24"/>
                <w:szCs w:val="28"/>
                <w:highlight w:val="none"/>
                <w:lang w:val="en-US" w:eastAsia="zh-CN"/>
              </w:rPr>
              <w:t>（7）分析结论</w:t>
            </w:r>
          </w:p>
          <w:p w14:paraId="5592E00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根据以上分析，本项目环境风险潜势划分为</w:t>
            </w:r>
            <w:r>
              <w:rPr>
                <w:rFonts w:hint="default" w:ascii="Times New Roman" w:hAnsi="Times New Roman" w:cs="Times New Roman"/>
                <w:color w:val="auto"/>
                <w:sz w:val="24"/>
                <w:szCs w:val="28"/>
                <w:highlight w:val="none"/>
                <w:lang w:val="en-US" w:eastAsia="zh-CN"/>
              </w:rPr>
              <w:fldChar w:fldCharType="begin"/>
            </w:r>
            <w:r>
              <w:rPr>
                <w:rFonts w:hint="default" w:ascii="Times New Roman" w:hAnsi="Times New Roman" w:cs="Times New Roman"/>
                <w:color w:val="auto"/>
                <w:sz w:val="24"/>
                <w:szCs w:val="28"/>
                <w:highlight w:val="none"/>
                <w:lang w:val="en-US" w:eastAsia="zh-CN"/>
              </w:rPr>
              <w:instrText xml:space="preserve"> = 1 \* ROMAN \* MERGEFORMAT </w:instrText>
            </w:r>
            <w:r>
              <w:rPr>
                <w:rFonts w:hint="default" w:ascii="Times New Roman" w:hAnsi="Times New Roman" w:cs="Times New Roman"/>
                <w:color w:val="auto"/>
                <w:sz w:val="24"/>
                <w:szCs w:val="28"/>
                <w:highlight w:val="none"/>
                <w:lang w:val="en-US" w:eastAsia="zh-CN"/>
              </w:rPr>
              <w:fldChar w:fldCharType="separate"/>
            </w:r>
            <w:r>
              <w:rPr>
                <w:rFonts w:hint="default" w:ascii="Times New Roman" w:hAnsi="Times New Roman" w:cs="Times New Roman"/>
                <w:color w:val="auto"/>
                <w:sz w:val="24"/>
                <w:szCs w:val="28"/>
                <w:highlight w:val="none"/>
                <w:lang w:val="en-US" w:eastAsia="zh-CN"/>
              </w:rPr>
              <w:t>I</w:t>
            </w:r>
            <w:r>
              <w:rPr>
                <w:rFonts w:hint="default" w:ascii="Times New Roman" w:hAnsi="Times New Roman" w:cs="Times New Roman"/>
                <w:color w:val="auto"/>
                <w:sz w:val="24"/>
                <w:szCs w:val="28"/>
                <w:highlight w:val="none"/>
                <w:lang w:val="en-US" w:eastAsia="zh-CN"/>
              </w:rPr>
              <w:fldChar w:fldCharType="end"/>
            </w:r>
            <w:r>
              <w:rPr>
                <w:rFonts w:hint="default" w:ascii="Times New Roman" w:hAnsi="Times New Roman" w:cs="Times New Roman"/>
                <w:color w:val="auto"/>
                <w:sz w:val="24"/>
                <w:szCs w:val="28"/>
                <w:highlight w:val="none"/>
                <w:lang w:val="en-US" w:eastAsia="zh-CN"/>
              </w:rPr>
              <w:t>，项目环境风险评价等级为简单分析</w:t>
            </w:r>
            <w:r>
              <w:rPr>
                <w:rFonts w:hint="eastAsia" w:cs="Times New Roman"/>
                <w:color w:val="auto"/>
                <w:sz w:val="24"/>
                <w:szCs w:val="28"/>
                <w:highlight w:val="none"/>
                <w:lang w:val="en-US" w:eastAsia="zh-CN"/>
              </w:rPr>
              <w:t>。项目</w:t>
            </w:r>
            <w:r>
              <w:rPr>
                <w:rFonts w:hint="default" w:ascii="Times New Roman" w:hAnsi="Times New Roman" w:eastAsia="宋体" w:cs="Times New Roman"/>
                <w:color w:val="auto"/>
                <w:sz w:val="24"/>
                <w:highlight w:val="none"/>
                <w:lang w:val="zh-CN"/>
              </w:rPr>
              <w:t>通过</w:t>
            </w:r>
            <w:r>
              <w:rPr>
                <w:rFonts w:hint="eastAsia" w:ascii="Times New Roman" w:hAnsi="Times New Roman" w:cs="Times New Roman"/>
                <w:color w:val="auto"/>
                <w:sz w:val="24"/>
                <w:highlight w:val="none"/>
                <w:lang w:val="en-US" w:eastAsia="zh-CN"/>
              </w:rPr>
              <w:t>采取</w:t>
            </w:r>
            <w:r>
              <w:rPr>
                <w:rFonts w:hint="default" w:ascii="Times New Roman" w:hAnsi="Times New Roman" w:eastAsia="宋体" w:cs="Times New Roman"/>
                <w:color w:val="auto"/>
                <w:sz w:val="24"/>
                <w:highlight w:val="none"/>
                <w:lang w:val="zh-CN"/>
              </w:rPr>
              <w:t>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14:paraId="7570A7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b/>
                <w:bCs/>
                <w:color w:val="auto"/>
                <w:sz w:val="21"/>
                <w:szCs w:val="21"/>
                <w:highlight w:val="none"/>
                <w:lang w:val="en-US" w:eastAsia="zh-CN"/>
              </w:rPr>
            </w:pPr>
            <w:r>
              <w:rPr>
                <w:rFonts w:hint="default" w:ascii="Times New Roman" w:hAnsi="Times New Roman" w:cs="Times New Roman"/>
                <w:color w:val="auto"/>
                <w:sz w:val="24"/>
                <w:szCs w:val="28"/>
                <w:highlight w:val="none"/>
                <w:lang w:val="en-US" w:eastAsia="zh-CN"/>
              </w:rPr>
              <w:t>项目环境风险简单分析内容见表</w:t>
            </w:r>
            <w:r>
              <w:rPr>
                <w:rFonts w:hint="eastAsia" w:ascii="Times New Roman" w:hAnsi="Times New Roman" w:cs="Times New Roman"/>
                <w:color w:val="auto"/>
                <w:sz w:val="24"/>
                <w:szCs w:val="28"/>
                <w:highlight w:val="none"/>
                <w:lang w:val="en-US" w:eastAsia="zh-CN"/>
              </w:rPr>
              <w:t>4</w:t>
            </w:r>
            <w:r>
              <w:rPr>
                <w:rFonts w:hint="default" w:ascii="Times New Roman" w:hAnsi="Times New Roman" w:cs="Times New Roman"/>
                <w:color w:val="auto"/>
                <w:sz w:val="24"/>
                <w:szCs w:val="28"/>
                <w:highlight w:val="none"/>
                <w:lang w:val="en-US" w:eastAsia="zh-CN"/>
              </w:rPr>
              <w:t>-</w:t>
            </w:r>
            <w:r>
              <w:rPr>
                <w:rFonts w:hint="eastAsia" w:cs="Times New Roman"/>
                <w:color w:val="auto"/>
                <w:sz w:val="24"/>
                <w:szCs w:val="28"/>
                <w:highlight w:val="none"/>
                <w:lang w:val="en-US" w:eastAsia="zh-CN"/>
              </w:rPr>
              <w:t>10</w:t>
            </w:r>
            <w:r>
              <w:rPr>
                <w:rFonts w:hint="default" w:ascii="Times New Roman" w:hAnsi="Times New Roman" w:cs="Times New Roman"/>
                <w:color w:val="auto"/>
                <w:sz w:val="24"/>
                <w:szCs w:val="28"/>
                <w:highlight w:val="none"/>
                <w:lang w:val="en-US" w:eastAsia="zh-CN"/>
              </w:rPr>
              <w:t>所示。</w:t>
            </w:r>
          </w:p>
          <w:p w14:paraId="316CE6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表4-</w:t>
            </w:r>
            <w:r>
              <w:rPr>
                <w:rFonts w:hint="eastAsia"/>
                <w:b/>
                <w:bCs/>
                <w:color w:val="auto"/>
                <w:sz w:val="21"/>
                <w:szCs w:val="21"/>
                <w:highlight w:val="none"/>
                <w:lang w:val="en-US" w:eastAsia="zh-CN"/>
              </w:rPr>
              <w:t>10</w:t>
            </w:r>
            <w:r>
              <w:rPr>
                <w:rFonts w:hint="eastAsia" w:ascii="Times New Roman" w:hAnsi="Times New Roman" w:eastAsia="宋体"/>
                <w:b/>
                <w:bCs/>
                <w:color w:val="auto"/>
                <w:sz w:val="21"/>
                <w:szCs w:val="21"/>
                <w:highlight w:val="none"/>
                <w:lang w:val="en-US" w:eastAsia="zh-CN"/>
              </w:rPr>
              <w:t xml:space="preserve">  建设项目环境风险简单分析内容表</w:t>
            </w:r>
          </w:p>
          <w:tbl>
            <w:tblPr>
              <w:tblStyle w:val="30"/>
              <w:tblW w:w="8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265"/>
              <w:gridCol w:w="1938"/>
              <w:gridCol w:w="1676"/>
              <w:gridCol w:w="2067"/>
            </w:tblGrid>
            <w:tr w14:paraId="422F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14:paraId="201F3B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7F4E00E3">
                  <w:pPr>
                    <w:keepNext w:val="0"/>
                    <w:keepLines w:val="0"/>
                    <w:suppressLineNumbers w:val="0"/>
                    <w:adjustRightInd w:val="0"/>
                    <w:snapToGrid w:val="0"/>
                    <w:spacing w:before="0" w:beforeAutospacing="0" w:after="0" w:afterAutospacing="0"/>
                    <w:ind w:left="0" w:right="0"/>
                    <w:jc w:val="center"/>
                    <w:rPr>
                      <w:rFonts w:hint="default" w:cs="Times New Roman"/>
                      <w:color w:val="auto"/>
                      <w:highlight w:val="none"/>
                      <w:lang w:val="en-US" w:eastAsia="zh-CN"/>
                    </w:rPr>
                  </w:pPr>
                  <w:r>
                    <w:rPr>
                      <w:rFonts w:hint="eastAsia" w:cs="Times New Roman"/>
                      <w:color w:val="auto"/>
                      <w:highlight w:val="none"/>
                      <w:lang w:val="en-US" w:eastAsia="zh-CN"/>
                    </w:rPr>
                    <w:t>昆明益明天下装饰材料有限责任公司年产450万张三聚氰胺浸渍纸建设项目</w:t>
                  </w:r>
                </w:p>
              </w:tc>
            </w:tr>
            <w:tr w14:paraId="52C1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14:paraId="42C1732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4AF74F4C">
                  <w:pPr>
                    <w:keepNext w:val="0"/>
                    <w:keepLines w:val="0"/>
                    <w:suppressLineNumbers w:val="0"/>
                    <w:adjustRightInd w:val="0"/>
                    <w:snapToGrid w:val="0"/>
                    <w:spacing w:before="0" w:beforeAutospacing="0" w:after="0" w:afterAutospacing="0"/>
                    <w:ind w:left="0" w:right="0"/>
                    <w:jc w:val="left"/>
                    <w:rPr>
                      <w:rFonts w:hint="default" w:cs="Times New Roman"/>
                      <w:color w:val="auto"/>
                      <w:highlight w:val="none"/>
                      <w:lang w:val="en-US" w:eastAsia="zh-CN"/>
                    </w:rPr>
                  </w:pPr>
                  <w:r>
                    <w:rPr>
                      <w:rFonts w:hint="eastAsia" w:cs="Times New Roman"/>
                      <w:color w:val="auto"/>
                      <w:highlight w:val="none"/>
                      <w:lang w:val="en-US" w:eastAsia="zh-CN"/>
                    </w:rPr>
                    <w:t>云南省昆明市寻甸县羊街镇中国昆明国际林业产业园3-12号。</w:t>
                  </w:r>
                </w:p>
              </w:tc>
            </w:tr>
            <w:tr w14:paraId="7929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14:paraId="1E8978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1265" w:type="dxa"/>
                  <w:tcBorders>
                    <w:top w:val="single" w:color="auto" w:sz="4" w:space="0"/>
                    <w:left w:val="single" w:color="auto" w:sz="4" w:space="0"/>
                    <w:bottom w:val="single" w:color="auto" w:sz="4" w:space="0"/>
                    <w:right w:val="single" w:color="auto" w:sz="4" w:space="0"/>
                  </w:tcBorders>
                  <w:vAlign w:val="center"/>
                </w:tcPr>
                <w:p w14:paraId="7768AFEE">
                  <w:pPr>
                    <w:keepNext w:val="0"/>
                    <w:keepLines w:val="0"/>
                    <w:suppressLineNumbers w:val="0"/>
                    <w:adjustRightInd w:val="0"/>
                    <w:snapToGrid w:val="0"/>
                    <w:spacing w:before="0" w:beforeAutospacing="0" w:after="0" w:afterAutospacing="0"/>
                    <w:ind w:left="0" w:right="0"/>
                    <w:jc w:val="left"/>
                    <w:rPr>
                      <w:rFonts w:hint="default" w:cs="Times New Roman"/>
                      <w:color w:val="auto"/>
                      <w:highlight w:val="none"/>
                      <w:lang w:val="en-US" w:eastAsia="zh-CN"/>
                    </w:rPr>
                  </w:pPr>
                  <w:r>
                    <w:rPr>
                      <w:rFonts w:hint="default" w:cs="Times New Roman"/>
                      <w:color w:val="auto"/>
                      <w:highlight w:val="none"/>
                      <w:lang w:val="en-US" w:eastAsia="zh-CN"/>
                    </w:rPr>
                    <w:t>经度</w:t>
                  </w:r>
                </w:p>
              </w:tc>
              <w:tc>
                <w:tcPr>
                  <w:tcW w:w="1938" w:type="dxa"/>
                  <w:tcBorders>
                    <w:top w:val="single" w:color="auto" w:sz="4" w:space="0"/>
                    <w:left w:val="single" w:color="auto" w:sz="4" w:space="0"/>
                    <w:bottom w:val="single" w:color="auto" w:sz="4" w:space="0"/>
                    <w:right w:val="single" w:color="auto" w:sz="4" w:space="0"/>
                  </w:tcBorders>
                  <w:vAlign w:val="center"/>
                </w:tcPr>
                <w:p w14:paraId="701CA15D">
                  <w:pPr>
                    <w:keepNext w:val="0"/>
                    <w:keepLines w:val="0"/>
                    <w:suppressLineNumbers w:val="0"/>
                    <w:adjustRightInd w:val="0"/>
                    <w:snapToGrid w:val="0"/>
                    <w:spacing w:before="0" w:beforeAutospacing="0" w:after="0" w:afterAutospacing="0"/>
                    <w:ind w:left="0" w:right="0"/>
                    <w:jc w:val="left"/>
                    <w:rPr>
                      <w:rFonts w:hint="eastAsia" w:cs="Times New Roman"/>
                      <w:color w:val="auto"/>
                      <w:highlight w:val="none"/>
                      <w:lang w:val="en-US" w:eastAsia="zh-CN"/>
                    </w:rPr>
                  </w:pPr>
                  <w:r>
                    <w:rPr>
                      <w:rFonts w:hint="eastAsia" w:cs="Times New Roman"/>
                      <w:color w:val="auto"/>
                      <w:highlight w:val="none"/>
                      <w:lang w:val="en-US" w:eastAsia="zh-CN"/>
                    </w:rPr>
                    <w:t>103°9′15.350″</w:t>
                  </w:r>
                </w:p>
              </w:tc>
              <w:tc>
                <w:tcPr>
                  <w:tcW w:w="1676" w:type="dxa"/>
                  <w:tcBorders>
                    <w:top w:val="single" w:color="auto" w:sz="4" w:space="0"/>
                    <w:left w:val="single" w:color="auto" w:sz="4" w:space="0"/>
                    <w:bottom w:val="single" w:color="auto" w:sz="4" w:space="0"/>
                    <w:right w:val="single" w:color="auto" w:sz="4" w:space="0"/>
                  </w:tcBorders>
                  <w:vAlign w:val="center"/>
                </w:tcPr>
                <w:p w14:paraId="5B3DB60D">
                  <w:pPr>
                    <w:keepNext w:val="0"/>
                    <w:keepLines w:val="0"/>
                    <w:suppressLineNumbers w:val="0"/>
                    <w:adjustRightInd w:val="0"/>
                    <w:snapToGrid w:val="0"/>
                    <w:spacing w:before="0" w:beforeAutospacing="0" w:after="0" w:afterAutospacing="0"/>
                    <w:ind w:left="0" w:right="0"/>
                    <w:jc w:val="left"/>
                    <w:rPr>
                      <w:rFonts w:hint="default" w:cs="Times New Roman"/>
                      <w:color w:val="auto"/>
                      <w:highlight w:val="none"/>
                      <w:lang w:val="en-US" w:eastAsia="zh-CN"/>
                    </w:rPr>
                  </w:pPr>
                  <w:r>
                    <w:rPr>
                      <w:rFonts w:hint="default" w:cs="Times New Roman"/>
                      <w:color w:val="auto"/>
                      <w:highlight w:val="none"/>
                      <w:lang w:val="en-US" w:eastAsia="zh-CN"/>
                    </w:rPr>
                    <w:t>纬度</w:t>
                  </w:r>
                </w:p>
              </w:tc>
              <w:tc>
                <w:tcPr>
                  <w:tcW w:w="2067" w:type="dxa"/>
                  <w:tcBorders>
                    <w:top w:val="single" w:color="auto" w:sz="4" w:space="0"/>
                    <w:left w:val="single" w:color="auto" w:sz="4" w:space="0"/>
                    <w:bottom w:val="single" w:color="auto" w:sz="4" w:space="0"/>
                    <w:right w:val="single" w:color="auto" w:sz="4" w:space="0"/>
                  </w:tcBorders>
                  <w:vAlign w:val="center"/>
                </w:tcPr>
                <w:p w14:paraId="058586C5">
                  <w:pPr>
                    <w:keepNext w:val="0"/>
                    <w:keepLines w:val="0"/>
                    <w:suppressLineNumbers w:val="0"/>
                    <w:adjustRightInd w:val="0"/>
                    <w:snapToGrid w:val="0"/>
                    <w:spacing w:before="0" w:beforeAutospacing="0" w:after="0" w:afterAutospacing="0"/>
                    <w:ind w:left="0" w:right="0"/>
                    <w:jc w:val="left"/>
                    <w:rPr>
                      <w:rFonts w:hint="eastAsia" w:cs="Times New Roman"/>
                      <w:color w:val="auto"/>
                      <w:highlight w:val="none"/>
                      <w:lang w:val="en-US" w:eastAsia="zh-CN"/>
                    </w:rPr>
                  </w:pPr>
                  <w:r>
                    <w:rPr>
                      <w:rFonts w:hint="eastAsia" w:cs="Times New Roman"/>
                      <w:color w:val="auto"/>
                      <w:highlight w:val="none"/>
                      <w:lang w:val="en-US" w:eastAsia="zh-CN"/>
                    </w:rPr>
                    <w:t>25°27′37.255″</w:t>
                  </w:r>
                </w:p>
              </w:tc>
            </w:tr>
            <w:tr w14:paraId="4CE3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14:paraId="5A0416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主要危险物质及分布</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63336033">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废矿物油</w:t>
                  </w:r>
                  <w:r>
                    <w:rPr>
                      <w:rFonts w:hint="default" w:ascii="Times New Roman" w:hAnsi="Times New Roman" w:cs="Times New Roman"/>
                      <w:color w:val="auto"/>
                      <w:highlight w:val="none"/>
                    </w:rPr>
                    <w:t>—</w:t>
                  </w:r>
                  <w:r>
                    <w:rPr>
                      <w:rFonts w:hint="eastAsia" w:cs="Times New Roman"/>
                      <w:color w:val="auto"/>
                      <w:highlight w:val="none"/>
                      <w:lang w:val="en-US" w:eastAsia="zh-CN"/>
                    </w:rPr>
                    <w:t>危险废物</w:t>
                  </w:r>
                  <w:r>
                    <w:rPr>
                      <w:rFonts w:hint="default" w:ascii="Times New Roman" w:hAnsi="Times New Roman" w:cs="Times New Roman"/>
                      <w:color w:val="auto"/>
                      <w:highlight w:val="none"/>
                    </w:rPr>
                    <w:t>暂存间</w:t>
                  </w:r>
                  <w:r>
                    <w:rPr>
                      <w:rFonts w:hint="eastAsia" w:cs="Times New Roman"/>
                      <w:color w:val="auto"/>
                      <w:highlight w:val="none"/>
                      <w:lang w:eastAsia="zh-CN"/>
                    </w:rPr>
                    <w:t>、</w:t>
                  </w:r>
                  <w:r>
                    <w:rPr>
                      <w:rFonts w:hint="eastAsia" w:ascii="Times New Roman" w:hAnsi="Times New Roman" w:eastAsia="宋体" w:cs="Times New Roman"/>
                      <w:color w:val="auto"/>
                      <w:highlight w:val="none"/>
                      <w:lang w:val="en-US" w:eastAsia="zh-CN"/>
                    </w:rPr>
                    <w:t>天然气中的主要成分甲烷-管道天然气</w:t>
                  </w:r>
                </w:p>
              </w:tc>
            </w:tr>
            <w:tr w14:paraId="1E6C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14:paraId="37481D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环境影响途径及危害后果（大气、地表水、地下水等）</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5E1B39C0">
                  <w:pPr>
                    <w:keepNext w:val="0"/>
                    <w:keepLines w:val="0"/>
                    <w:suppressLineNumbers w:val="0"/>
                    <w:spacing w:before="0" w:beforeAutospacing="0" w:after="0" w:afterAutospacing="0"/>
                    <w:ind w:left="0" w:right="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废矿物油</w:t>
                  </w:r>
                  <w:r>
                    <w:rPr>
                      <w:rFonts w:hint="eastAsia" w:cs="Times New Roman"/>
                      <w:color w:val="auto"/>
                      <w:highlight w:val="none"/>
                      <w:lang w:val="en-US" w:eastAsia="zh-CN"/>
                    </w:rPr>
                    <w:t>泄漏</w:t>
                  </w:r>
                  <w:r>
                    <w:rPr>
                      <w:rFonts w:hint="default" w:ascii="Times New Roman" w:hAnsi="Times New Roman" w:cs="Times New Roman"/>
                      <w:color w:val="auto"/>
                      <w:highlight w:val="none"/>
                    </w:rPr>
                    <w:t>：地下水环境、地表水、土壤环境污染；</w:t>
                  </w:r>
                </w:p>
                <w:p w14:paraId="7464ADC0">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火灾爆炸产生的次生污染物：大气环境、</w:t>
                  </w:r>
                  <w:r>
                    <w:rPr>
                      <w:rFonts w:hint="default" w:ascii="Times New Roman" w:hAnsi="Times New Roman" w:cs="Times New Roman"/>
                      <w:color w:val="auto"/>
                      <w:highlight w:val="none"/>
                    </w:rPr>
                    <w:t>地下水环境、地表水、土壤环境污染</w:t>
                  </w:r>
                  <w:r>
                    <w:rPr>
                      <w:rFonts w:hint="eastAsia" w:cs="Times New Roman"/>
                      <w:color w:val="auto"/>
                      <w:highlight w:val="none"/>
                      <w:lang w:eastAsia="zh-CN"/>
                    </w:rPr>
                    <w:t>；</w:t>
                  </w:r>
                </w:p>
              </w:tc>
            </w:tr>
            <w:tr w14:paraId="2026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68" w:type="dxa"/>
                  <w:tcBorders>
                    <w:top w:val="single" w:color="auto" w:sz="4" w:space="0"/>
                    <w:left w:val="single" w:color="auto" w:sz="4" w:space="0"/>
                    <w:bottom w:val="single" w:color="auto" w:sz="4" w:space="0"/>
                    <w:right w:val="single" w:color="auto" w:sz="4" w:space="0"/>
                  </w:tcBorders>
                  <w:vAlign w:val="center"/>
                </w:tcPr>
                <w:p w14:paraId="430911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风险防范措施要求</w:t>
                  </w:r>
                </w:p>
              </w:tc>
              <w:tc>
                <w:tcPr>
                  <w:tcW w:w="6946" w:type="dxa"/>
                  <w:gridSpan w:val="4"/>
                  <w:tcBorders>
                    <w:top w:val="single" w:color="auto" w:sz="4" w:space="0"/>
                    <w:left w:val="single" w:color="auto" w:sz="4" w:space="0"/>
                    <w:bottom w:val="single" w:color="auto" w:sz="4" w:space="0"/>
                    <w:right w:val="single" w:color="auto" w:sz="4" w:space="0"/>
                  </w:tcBorders>
                  <w:vAlign w:val="center"/>
                </w:tcPr>
                <w:p w14:paraId="3290E19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①项目区按照《建筑灭火器配置设计规范》（GB50140-2010）的要求设置消防设施及灭火器材，灭火器材应放在明显、易取的地方，应定期对消防设施及灭火器材进行检查、维护。</w:t>
                  </w:r>
                </w:p>
                <w:p w14:paraId="2ABA1E1E">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②严禁动用明火、各种电热器和能引起电火花的电气设备，室外门上应挂“严禁烟火”的警告牌，定期检查完好性。</w:t>
                  </w:r>
                </w:p>
                <w:p w14:paraId="0640BF34">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③加强设备电线及接头的检修及维护，防止因线路老化、接触不良等原因造成火灾事故。</w:t>
                  </w:r>
                </w:p>
                <w:p w14:paraId="139BFD50">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④搬运废矿物油时要轻装轻卸，包装桶应确保无破损，若发现破损应立即更换，避免废矿物油泄漏，存放于阴凉通风的地方，远离火源。</w:t>
                  </w:r>
                </w:p>
                <w:p w14:paraId="72E41FFF">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⑤危险废物暂存间严格按照《危险废物贮存污染控制标准》（GB18597-2023）中的相关要求进行建设，地面及裙脚进行重点防渗，渗透系数≤1×10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cm/s。危废间设置规范标识标牌。</w:t>
                  </w:r>
                </w:p>
                <w:p w14:paraId="6C7EA3E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⑥危险废物暂存间内设置一个备用空桶，当发生废矿物油泄漏事故时，泄漏的废矿物油收集至桶内暂存。</w:t>
                  </w:r>
                </w:p>
                <w:p w14:paraId="298E8BD0">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若发生火灾事故，会产生消防废水，消防废水禁止外排，收集于事故池（暂存池兼做事故池）后委托有资质单位进行处置。</w:t>
                  </w:r>
                </w:p>
                <w:p w14:paraId="2B81BF79">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8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⑧</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项目使用的管道天然气设截断阀，并配套设置天然气泄漏检测设备，加强天然气管道的巡检，及时发现及控制天然气泄漏。</w:t>
                  </w:r>
                </w:p>
                <w:p w14:paraId="3F1658B4">
                  <w:pPr>
                    <w:keepNext w:val="0"/>
                    <w:keepLines w:val="0"/>
                    <w:suppressLineNumbers w:val="0"/>
                    <w:spacing w:before="0" w:beforeAutospacing="0" w:after="0" w:afterAutospacing="0"/>
                    <w:ind w:left="0" w:right="0"/>
                    <w:jc w:val="left"/>
                    <w:rPr>
                      <w:rFonts w:hint="default"/>
                      <w:color w:val="auto"/>
                      <w:highlight w:val="none"/>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9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eastAsia" w:ascii="Times New Roman" w:hAnsi="Times New Roman" w:eastAsia="宋体" w:cs="Times New Roman"/>
                      <w:color w:val="auto"/>
                      <w:sz w:val="21"/>
                      <w:szCs w:val="21"/>
                      <w:highlight w:val="none"/>
                      <w:lang w:val="en-US" w:eastAsia="zh-CN"/>
                    </w:rPr>
                    <w:t>⑨</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编制突发环境事件应急预案，并报昆明市生态环境局寻甸分局备案</w:t>
                  </w:r>
                  <w:r>
                    <w:rPr>
                      <w:rFonts w:hint="eastAsia" w:ascii="Times New Roman" w:hAnsi="Times New Roman" w:eastAsia="宋体" w:cs="Times New Roman"/>
                      <w:color w:val="auto"/>
                      <w:highlight w:val="none"/>
                      <w:lang w:val="en-US" w:eastAsia="zh-CN"/>
                    </w:rPr>
                    <w:t>。</w:t>
                  </w:r>
                </w:p>
              </w:tc>
            </w:tr>
            <w:tr w14:paraId="377D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8514" w:type="dxa"/>
                  <w:gridSpan w:val="5"/>
                  <w:tcBorders>
                    <w:top w:val="single" w:color="auto" w:sz="4" w:space="0"/>
                    <w:left w:val="single" w:color="auto" w:sz="4" w:space="0"/>
                    <w:bottom w:val="single" w:color="auto" w:sz="4" w:space="0"/>
                    <w:right w:val="single" w:color="auto" w:sz="4" w:space="0"/>
                  </w:tcBorders>
                  <w:vAlign w:val="center"/>
                </w:tcPr>
                <w:p w14:paraId="600703DE">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填表说明（列出项目相关信息及评价说明）：</w:t>
                  </w:r>
                </w:p>
                <w:p w14:paraId="750A039A">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项目风险主要存在于</w:t>
                  </w:r>
                  <w:r>
                    <w:rPr>
                      <w:rFonts w:hint="default" w:ascii="Times New Roman" w:hAnsi="Times New Roman" w:cs="Times New Roman"/>
                      <w:color w:val="auto"/>
                      <w:highlight w:val="none"/>
                      <w:lang w:val="en-US" w:eastAsia="zh-CN"/>
                    </w:rPr>
                    <w:t>废矿物油</w:t>
                  </w:r>
                  <w:r>
                    <w:rPr>
                      <w:rFonts w:hint="eastAsia" w:ascii="Times New Roman" w:hAnsi="Times New Roman" w:cs="Times New Roman"/>
                      <w:color w:val="auto"/>
                      <w:highlight w:val="none"/>
                      <w:lang w:val="en-US" w:eastAsia="zh-CN"/>
                    </w:rPr>
                    <w:t>泄漏污染环境，</w:t>
                  </w:r>
                  <w:r>
                    <w:rPr>
                      <w:rFonts w:hint="eastAsia" w:cs="Times New Roman"/>
                      <w:color w:val="auto"/>
                      <w:highlight w:val="none"/>
                      <w:lang w:eastAsia="zh-CN"/>
                    </w:rPr>
                    <w:t>火灾爆炸产生的次生</w:t>
                  </w:r>
                  <w:r>
                    <w:rPr>
                      <w:rFonts w:hint="eastAsia" w:cs="Times New Roman"/>
                      <w:color w:val="auto"/>
                      <w:highlight w:val="none"/>
                      <w:lang w:val="en-US" w:eastAsia="zh-CN"/>
                    </w:rPr>
                    <w:t>/伴生污染物污染环境</w:t>
                  </w:r>
                  <w:r>
                    <w:rPr>
                      <w:rFonts w:hint="default" w:ascii="Times New Roman" w:hAnsi="Times New Roman" w:cs="Times New Roman"/>
                      <w:color w:val="auto"/>
                      <w:highlight w:val="none"/>
                    </w:rPr>
                    <w:t>。</w:t>
                  </w:r>
                </w:p>
                <w:p w14:paraId="37B20CAB">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 169-2018）附录C，项目环境综合风险潜势为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，风险评价等级为简单分析。因此不对环境风险进行进一步预测分析。</w:t>
                  </w:r>
                </w:p>
                <w:p w14:paraId="5886CD1C">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项目在做好应急防范措施的基础上，项目的环境风险是可控的，环境风险事故发生的概率可降低到最低。</w:t>
                  </w:r>
                </w:p>
              </w:tc>
            </w:tr>
          </w:tbl>
          <w:p w14:paraId="44459B68">
            <w:pPr>
              <w:pStyle w:val="17"/>
              <w:keepNext w:val="0"/>
              <w:keepLines w:val="0"/>
              <w:suppressLineNumbers w:val="0"/>
              <w:spacing w:beforeAutospacing="0" w:afterAutospacing="0"/>
              <w:ind w:left="0" w:leftChars="0" w:firstLine="0" w:firstLineChars="0"/>
              <w:rPr>
                <w:rFonts w:hint="eastAsia"/>
                <w:color w:val="auto"/>
                <w:highlight w:val="none"/>
                <w:lang w:val="en-US" w:eastAsia="zh-CN"/>
              </w:rPr>
            </w:pPr>
          </w:p>
        </w:tc>
      </w:tr>
    </w:tbl>
    <w:p w14:paraId="531F897B">
      <w:pPr>
        <w:pStyle w:val="28"/>
        <w:jc w:val="center"/>
        <w:outlineLvl w:val="0"/>
        <w:rPr>
          <w:rFonts w:hint="eastAsia" w:ascii="黑体" w:hAnsi="黑体" w:eastAsia="黑体"/>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43A38E7">
      <w:pPr>
        <w:pStyle w:val="28"/>
        <w:jc w:val="center"/>
        <w:outlineLvl w:val="0"/>
        <w:rPr>
          <w:rFonts w:ascii="黑体" w:hAnsi="黑体" w:eastAsia="黑体"/>
          <w:snapToGrid w:val="0"/>
          <w:color w:val="auto"/>
          <w:sz w:val="30"/>
          <w:szCs w:val="30"/>
          <w:highlight w:val="none"/>
        </w:rPr>
      </w:pPr>
      <w:bookmarkStart w:id="37" w:name="_Toc24928"/>
      <w:r>
        <w:rPr>
          <w:rFonts w:hint="eastAsia" w:ascii="黑体" w:hAnsi="黑体" w:eastAsia="黑体"/>
          <w:snapToGrid w:val="0"/>
          <w:color w:val="auto"/>
          <w:sz w:val="30"/>
          <w:szCs w:val="30"/>
          <w:highlight w:val="none"/>
        </w:rPr>
        <w:t>五、</w:t>
      </w:r>
      <w:bookmarkStart w:id="38" w:name="_Hlk54167917"/>
      <w:r>
        <w:rPr>
          <w:rFonts w:hint="eastAsia" w:ascii="黑体" w:hAnsi="黑体" w:eastAsia="黑体"/>
          <w:snapToGrid w:val="0"/>
          <w:color w:val="auto"/>
          <w:sz w:val="30"/>
          <w:szCs w:val="30"/>
          <w:highlight w:val="none"/>
        </w:rPr>
        <w:t>环境保护措施监督检查清单</w:t>
      </w:r>
      <w:bookmarkEnd w:id="37"/>
      <w:bookmarkEnd w:id="38"/>
    </w:p>
    <w:tbl>
      <w:tblPr>
        <w:tblStyle w:val="30"/>
        <w:tblW w:w="92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636"/>
        <w:gridCol w:w="1531"/>
        <w:gridCol w:w="2288"/>
        <w:gridCol w:w="2742"/>
      </w:tblGrid>
      <w:tr w14:paraId="3FB38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7" w:type="dxa"/>
            <w:tcBorders>
              <w:tl2br w:val="single" w:color="auto" w:sz="4" w:space="0"/>
            </w:tcBorders>
            <w:noWrap w:val="0"/>
            <w:vAlign w:val="top"/>
          </w:tcPr>
          <w:p w14:paraId="4091D729">
            <w:pPr>
              <w:keepNext w:val="0"/>
              <w:keepLines w:val="0"/>
              <w:suppressLineNumbers w:val="0"/>
              <w:adjustRightInd w:val="0"/>
              <w:snapToGrid w:val="0"/>
              <w:spacing w:before="0" w:beforeAutospacing="0" w:after="0" w:afterAutospacing="0"/>
              <w:ind w:left="0" w:right="0" w:firstLine="210" w:firstLineChars="1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内容</w:t>
            </w:r>
          </w:p>
          <w:p w14:paraId="2794BC00">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要素</w:t>
            </w:r>
          </w:p>
        </w:tc>
        <w:tc>
          <w:tcPr>
            <w:tcW w:w="1636" w:type="dxa"/>
            <w:noWrap w:val="0"/>
            <w:vAlign w:val="center"/>
          </w:tcPr>
          <w:p w14:paraId="4BC4557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排放口(编号、</w:t>
            </w:r>
          </w:p>
          <w:p w14:paraId="3361DED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名称)/污染源</w:t>
            </w:r>
          </w:p>
        </w:tc>
        <w:tc>
          <w:tcPr>
            <w:tcW w:w="1531" w:type="dxa"/>
            <w:noWrap w:val="0"/>
            <w:vAlign w:val="center"/>
          </w:tcPr>
          <w:p w14:paraId="106082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污染物项目</w:t>
            </w:r>
          </w:p>
        </w:tc>
        <w:tc>
          <w:tcPr>
            <w:tcW w:w="2288" w:type="dxa"/>
            <w:noWrap w:val="0"/>
            <w:vAlign w:val="center"/>
          </w:tcPr>
          <w:p w14:paraId="4BBA18E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环境保护措施</w:t>
            </w:r>
          </w:p>
        </w:tc>
        <w:tc>
          <w:tcPr>
            <w:tcW w:w="2742" w:type="dxa"/>
            <w:noWrap w:val="0"/>
            <w:vAlign w:val="center"/>
          </w:tcPr>
          <w:p w14:paraId="61E9E7F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执行标准</w:t>
            </w:r>
          </w:p>
        </w:tc>
      </w:tr>
      <w:tr w14:paraId="2311F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027" w:type="dxa"/>
            <w:vMerge w:val="restart"/>
            <w:noWrap w:val="0"/>
            <w:vAlign w:val="center"/>
          </w:tcPr>
          <w:p w14:paraId="7EB8528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大气环境</w:t>
            </w:r>
          </w:p>
        </w:tc>
        <w:tc>
          <w:tcPr>
            <w:tcW w:w="1636" w:type="dxa"/>
            <w:noWrap w:val="0"/>
            <w:vAlign w:val="center"/>
          </w:tcPr>
          <w:p w14:paraId="4F7A72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highlight w:val="none"/>
                <w:lang w:val="en-US"/>
              </w:rPr>
            </w:pPr>
            <w:r>
              <w:rPr>
                <w:rFonts w:hint="eastAsia" w:ascii="Times New Roman" w:hAnsi="Times New Roman" w:eastAsia="宋体"/>
                <w:color w:val="auto"/>
                <w:szCs w:val="21"/>
                <w:highlight w:val="none"/>
                <w:lang w:val="en-US" w:eastAsia="zh-CN"/>
              </w:rPr>
              <w:t>DA00</w:t>
            </w:r>
            <w:r>
              <w:rPr>
                <w:rFonts w:hint="eastAsia"/>
                <w:color w:val="auto"/>
                <w:szCs w:val="21"/>
                <w:highlight w:val="none"/>
                <w:lang w:val="en-US" w:eastAsia="zh-CN"/>
              </w:rPr>
              <w:t>2/天然气燃烧废气</w:t>
            </w:r>
          </w:p>
        </w:tc>
        <w:tc>
          <w:tcPr>
            <w:tcW w:w="1531" w:type="dxa"/>
            <w:noWrap w:val="0"/>
            <w:vAlign w:val="center"/>
          </w:tcPr>
          <w:p w14:paraId="7C5FEE1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lang w:eastAsia="zh-CN"/>
              </w:rPr>
              <w:t>颗粒物</w:t>
            </w:r>
            <w:r>
              <w:rPr>
                <w:rFonts w:hint="eastAsia" w:cs="宋体"/>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SO</w:t>
            </w:r>
            <w:r>
              <w:rPr>
                <w:rFonts w:hint="eastAsia" w:ascii="Times New Roman" w:hAnsi="Times New Roman" w:cs="Times New Roman"/>
                <w:color w:val="auto"/>
                <w:sz w:val="21"/>
                <w:szCs w:val="21"/>
                <w:highlight w:val="none"/>
                <w:vertAlign w:val="subscript"/>
                <w:lang w:val="en-US" w:eastAsia="zh-CN"/>
              </w:rPr>
              <w:t>2</w:t>
            </w:r>
            <w:r>
              <w:rPr>
                <w:rFonts w:hint="eastAsia" w:ascii="Times New Roman" w:hAnsi="Times New Roman" w:cs="Times New Roman"/>
                <w:color w:val="auto"/>
                <w:sz w:val="21"/>
                <w:szCs w:val="21"/>
                <w:highlight w:val="none"/>
                <w:lang w:val="en-US" w:eastAsia="zh-CN"/>
              </w:rPr>
              <w:t>、NOx</w:t>
            </w:r>
          </w:p>
        </w:tc>
        <w:tc>
          <w:tcPr>
            <w:tcW w:w="2288" w:type="dxa"/>
            <w:noWrap w:val="0"/>
            <w:vAlign w:val="center"/>
          </w:tcPr>
          <w:p w14:paraId="23AF44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1"/>
                <w:szCs w:val="21"/>
                <w:highlight w:val="none"/>
                <w:lang w:val="en-US" w:eastAsia="zh-CN"/>
              </w:rPr>
            </w:pPr>
            <w:r>
              <w:rPr>
                <w:rFonts w:hint="eastAsia"/>
                <w:color w:val="auto"/>
                <w:kern w:val="0"/>
                <w:sz w:val="21"/>
                <w:szCs w:val="21"/>
                <w:highlight w:val="none"/>
                <w:lang w:val="en-US" w:eastAsia="zh-CN"/>
              </w:rPr>
              <w:t>15</w:t>
            </w:r>
            <w:r>
              <w:rPr>
                <w:rFonts w:hint="default" w:ascii="Times New Roman" w:hAnsi="Times New Roman" w:eastAsia="宋体"/>
                <w:color w:val="auto"/>
                <w:kern w:val="0"/>
                <w:sz w:val="21"/>
                <w:szCs w:val="21"/>
                <w:highlight w:val="none"/>
              </w:rPr>
              <w:t>m高排气筒</w:t>
            </w:r>
            <w:r>
              <w:rPr>
                <w:rFonts w:hint="eastAsia"/>
                <w:color w:val="auto"/>
                <w:kern w:val="0"/>
                <w:sz w:val="21"/>
                <w:szCs w:val="21"/>
                <w:highlight w:val="none"/>
                <w:lang w:val="en-US" w:eastAsia="zh-CN"/>
              </w:rPr>
              <w:t>（DA002）</w:t>
            </w:r>
          </w:p>
        </w:tc>
        <w:tc>
          <w:tcPr>
            <w:tcW w:w="2742" w:type="dxa"/>
            <w:noWrap w:val="0"/>
            <w:vAlign w:val="center"/>
          </w:tcPr>
          <w:p w14:paraId="2AA2EB7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lang w:val="en-US" w:eastAsia="zh-CN"/>
              </w:rPr>
              <w:t>锅炉大气污染物排放标准</w:t>
            </w:r>
            <w:r>
              <w:rPr>
                <w:rFonts w:hint="eastAsia" w:ascii="Times New Roman" w:hAnsi="Times New Roman" w:eastAsia="宋体" w:cs="宋体"/>
                <w:color w:val="auto"/>
                <w:sz w:val="21"/>
                <w:szCs w:val="21"/>
                <w:highlight w:val="none"/>
                <w:lang w:eastAsia="zh-CN"/>
              </w:rPr>
              <w:t>》（GB</w:t>
            </w:r>
            <w:r>
              <w:rPr>
                <w:rFonts w:hint="eastAsia" w:cs="宋体"/>
                <w:color w:val="auto"/>
                <w:sz w:val="21"/>
                <w:szCs w:val="21"/>
                <w:highlight w:val="none"/>
                <w:lang w:val="en-US" w:eastAsia="zh-CN"/>
              </w:rPr>
              <w:t>13271</w:t>
            </w:r>
            <w:r>
              <w:rPr>
                <w:rFonts w:hint="eastAsia" w:ascii="Times New Roman" w:hAnsi="Times New Roman" w:eastAsia="宋体" w:cs="宋体"/>
                <w:color w:val="auto"/>
                <w:sz w:val="21"/>
                <w:szCs w:val="21"/>
                <w:highlight w:val="none"/>
                <w:lang w:eastAsia="zh-CN"/>
              </w:rPr>
              <w:t>-</w:t>
            </w:r>
            <w:r>
              <w:rPr>
                <w:rFonts w:hint="eastAsia" w:cs="宋体"/>
                <w:color w:val="auto"/>
                <w:sz w:val="21"/>
                <w:szCs w:val="21"/>
                <w:highlight w:val="none"/>
                <w:lang w:val="en-US" w:eastAsia="zh-CN"/>
              </w:rPr>
              <w:t>2014</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lang w:val="en-US" w:eastAsia="zh-CN"/>
              </w:rPr>
              <w:t>表2燃气锅炉限值</w:t>
            </w:r>
          </w:p>
        </w:tc>
      </w:tr>
      <w:tr w14:paraId="4C3F4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27" w:type="dxa"/>
            <w:vMerge w:val="continue"/>
            <w:noWrap w:val="0"/>
            <w:vAlign w:val="center"/>
          </w:tcPr>
          <w:p w14:paraId="2948C00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p>
        </w:tc>
        <w:tc>
          <w:tcPr>
            <w:tcW w:w="1636" w:type="dxa"/>
            <w:noWrap w:val="0"/>
            <w:vAlign w:val="center"/>
          </w:tcPr>
          <w:p w14:paraId="449CDB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DA00</w:t>
            </w:r>
            <w:r>
              <w:rPr>
                <w:rFonts w:hint="eastAsia"/>
                <w:color w:val="auto"/>
                <w:szCs w:val="21"/>
                <w:highlight w:val="none"/>
                <w:lang w:val="en-US" w:eastAsia="zh-CN"/>
              </w:rPr>
              <w:t>1/调胶、浸渍、</w:t>
            </w:r>
            <w:r>
              <w:rPr>
                <w:rFonts w:hint="eastAsia"/>
                <w:b w:val="0"/>
                <w:bCs w:val="0"/>
                <w:color w:val="auto"/>
                <w:sz w:val="21"/>
                <w:szCs w:val="21"/>
                <w:highlight w:val="none"/>
                <w:lang w:val="en-US" w:eastAsia="zh-CN"/>
              </w:rPr>
              <w:t>烘干</w:t>
            </w:r>
            <w:r>
              <w:rPr>
                <w:rFonts w:hint="eastAsia" w:ascii="Times New Roman" w:hAnsi="Times New Roman" w:eastAsia="宋体"/>
                <w:b w:val="0"/>
                <w:bCs w:val="0"/>
                <w:color w:val="auto"/>
                <w:sz w:val="21"/>
                <w:szCs w:val="21"/>
                <w:highlight w:val="none"/>
                <w:lang w:val="en-US" w:eastAsia="zh-CN"/>
              </w:rPr>
              <w:t>废气</w:t>
            </w:r>
          </w:p>
        </w:tc>
        <w:tc>
          <w:tcPr>
            <w:tcW w:w="1531" w:type="dxa"/>
            <w:noWrap w:val="0"/>
            <w:vAlign w:val="center"/>
          </w:tcPr>
          <w:p w14:paraId="60AEB20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1"/>
                <w:szCs w:val="21"/>
                <w:highlight w:val="none"/>
                <w:lang w:eastAsia="zh-CN"/>
              </w:rPr>
            </w:pPr>
            <w:r>
              <w:rPr>
                <w:rFonts w:hint="eastAsia" w:cs="宋体"/>
                <w:color w:val="auto"/>
                <w:sz w:val="21"/>
                <w:szCs w:val="21"/>
                <w:highlight w:val="none"/>
                <w:lang w:val="en-US" w:eastAsia="zh-CN"/>
              </w:rPr>
              <w:t>甲醛、VOCs（以非甲烷总烃计）</w:t>
            </w:r>
          </w:p>
        </w:tc>
        <w:tc>
          <w:tcPr>
            <w:tcW w:w="2288" w:type="dxa"/>
            <w:noWrap w:val="0"/>
            <w:vAlign w:val="center"/>
          </w:tcPr>
          <w:p w14:paraId="096EF7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风机风量为20320m</w:t>
            </w:r>
            <w:r>
              <w:rPr>
                <w:rFonts w:hint="eastAsia"/>
                <w:color w:val="auto"/>
                <w:kern w:val="0"/>
                <w:sz w:val="21"/>
                <w:szCs w:val="21"/>
                <w:highlight w:val="none"/>
                <w:vertAlign w:val="superscript"/>
                <w:lang w:val="en-US" w:eastAsia="zh-CN"/>
              </w:rPr>
              <w:t>3</w:t>
            </w:r>
            <w:r>
              <w:rPr>
                <w:rFonts w:hint="eastAsia"/>
                <w:color w:val="auto"/>
                <w:kern w:val="0"/>
                <w:sz w:val="21"/>
                <w:szCs w:val="21"/>
                <w:highlight w:val="none"/>
                <w:lang w:val="en-US" w:eastAsia="zh-CN"/>
              </w:rPr>
              <w:t>/h，废气收集效率为90%）+</w:t>
            </w:r>
            <w:r>
              <w:rPr>
                <w:rFonts w:hint="default" w:ascii="Times New Roman" w:hAnsi="Times New Roman" w:eastAsia="宋体"/>
                <w:color w:val="auto"/>
                <w:kern w:val="0"/>
                <w:sz w:val="21"/>
                <w:szCs w:val="21"/>
                <w:highlight w:val="none"/>
                <w:lang w:val="en-US" w:eastAsia="zh-CN"/>
              </w:rPr>
              <w:t>“UV光解+三级活性炭吸附净化装置”</w:t>
            </w:r>
            <w:r>
              <w:rPr>
                <w:rFonts w:hint="eastAsia"/>
                <w:color w:val="auto"/>
                <w:kern w:val="0"/>
                <w:sz w:val="21"/>
                <w:szCs w:val="21"/>
                <w:highlight w:val="none"/>
                <w:lang w:val="en-US" w:eastAsia="zh-CN"/>
              </w:rPr>
              <w:t>（去除效率80%）</w:t>
            </w:r>
            <w:r>
              <w:rPr>
                <w:rFonts w:hint="default" w:ascii="Times New Roman" w:hAnsi="Times New Roman" w:eastAsia="宋体"/>
                <w:color w:val="auto"/>
                <w:kern w:val="0"/>
                <w:sz w:val="21"/>
                <w:szCs w:val="21"/>
                <w:highlight w:val="none"/>
                <w:lang w:val="en-US" w:eastAsia="zh-CN"/>
              </w:rPr>
              <w:t>+</w:t>
            </w:r>
            <w:r>
              <w:rPr>
                <w:rFonts w:hint="eastAsia"/>
                <w:color w:val="auto"/>
                <w:kern w:val="0"/>
                <w:sz w:val="21"/>
                <w:szCs w:val="21"/>
                <w:highlight w:val="none"/>
                <w:lang w:val="en-US" w:eastAsia="zh-CN"/>
              </w:rPr>
              <w:t>15</w:t>
            </w:r>
            <w:r>
              <w:rPr>
                <w:rFonts w:hint="default" w:ascii="Times New Roman" w:hAnsi="Times New Roman" w:eastAsia="宋体"/>
                <w:color w:val="auto"/>
                <w:kern w:val="0"/>
                <w:sz w:val="21"/>
                <w:szCs w:val="21"/>
                <w:highlight w:val="none"/>
                <w:lang w:val="en-US" w:eastAsia="zh-CN"/>
              </w:rPr>
              <w:t>m高排气筒</w:t>
            </w:r>
            <w:r>
              <w:rPr>
                <w:rFonts w:hint="eastAsia"/>
                <w:color w:val="auto"/>
                <w:kern w:val="0"/>
                <w:sz w:val="21"/>
                <w:szCs w:val="21"/>
                <w:highlight w:val="none"/>
                <w:lang w:val="en-US" w:eastAsia="zh-CN"/>
              </w:rPr>
              <w:t>（DA001）</w:t>
            </w:r>
          </w:p>
        </w:tc>
        <w:tc>
          <w:tcPr>
            <w:tcW w:w="2742" w:type="dxa"/>
            <w:noWrap w:val="0"/>
            <w:vAlign w:val="center"/>
          </w:tcPr>
          <w:p w14:paraId="4455CA9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zh-CN"/>
              </w:rPr>
              <w:t>《大气污染物综合排放标准》（GB16297-1996）表2中二级标准限值</w:t>
            </w:r>
          </w:p>
        </w:tc>
      </w:tr>
      <w:tr w14:paraId="06505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27" w:type="dxa"/>
            <w:vMerge w:val="continue"/>
            <w:noWrap w:val="0"/>
            <w:vAlign w:val="center"/>
          </w:tcPr>
          <w:p w14:paraId="5E966E5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p>
        </w:tc>
        <w:tc>
          <w:tcPr>
            <w:tcW w:w="1636" w:type="dxa"/>
            <w:noWrap w:val="0"/>
            <w:vAlign w:val="center"/>
          </w:tcPr>
          <w:p w14:paraId="1CBC9C7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无组织调胶、浸渍、</w:t>
            </w:r>
            <w:r>
              <w:rPr>
                <w:rFonts w:hint="eastAsia"/>
                <w:b w:val="0"/>
                <w:bCs w:val="0"/>
                <w:color w:val="auto"/>
                <w:sz w:val="21"/>
                <w:szCs w:val="21"/>
                <w:highlight w:val="none"/>
                <w:lang w:val="en-US" w:eastAsia="zh-CN"/>
              </w:rPr>
              <w:t>烘干</w:t>
            </w:r>
            <w:r>
              <w:rPr>
                <w:rFonts w:hint="eastAsia" w:ascii="Times New Roman" w:hAnsi="Times New Roman" w:eastAsia="宋体"/>
                <w:b w:val="0"/>
                <w:bCs w:val="0"/>
                <w:color w:val="auto"/>
                <w:sz w:val="21"/>
                <w:szCs w:val="21"/>
                <w:highlight w:val="none"/>
                <w:lang w:val="en-US" w:eastAsia="zh-CN"/>
              </w:rPr>
              <w:t>废气</w:t>
            </w:r>
          </w:p>
        </w:tc>
        <w:tc>
          <w:tcPr>
            <w:tcW w:w="1531" w:type="dxa"/>
            <w:noWrap w:val="0"/>
            <w:vAlign w:val="center"/>
          </w:tcPr>
          <w:p w14:paraId="20850DC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甲醛、VOCs（以非甲烷总烃计）</w:t>
            </w:r>
          </w:p>
        </w:tc>
        <w:tc>
          <w:tcPr>
            <w:tcW w:w="2288" w:type="dxa"/>
            <w:noWrap w:val="0"/>
            <w:vAlign w:val="center"/>
          </w:tcPr>
          <w:p w14:paraId="5E163C4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车间排风扇抽排至室外稀释扩散</w:t>
            </w:r>
          </w:p>
        </w:tc>
        <w:tc>
          <w:tcPr>
            <w:tcW w:w="2742" w:type="dxa"/>
            <w:noWrap w:val="0"/>
            <w:vAlign w:val="center"/>
          </w:tcPr>
          <w:p w14:paraId="2B46513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highlight w:val="none"/>
                <w:lang w:val="zh-CN" w:eastAsia="zh-CN" w:bidi="ar-SA"/>
              </w:rPr>
            </w:pPr>
            <w:r>
              <w:rPr>
                <w:rFonts w:hint="eastAsia" w:ascii="Times New Roman" w:hAnsi="Times New Roman" w:eastAsia="宋体" w:cs="宋体"/>
                <w:color w:val="auto"/>
                <w:szCs w:val="21"/>
                <w:highlight w:val="none"/>
                <w:lang w:val="en-US" w:eastAsia="zh-CN"/>
              </w:rPr>
              <w:t>《大气污染物综合排放标准》（GB16297-1996）表2中无组织排放监控浓度限值</w:t>
            </w:r>
            <w:r>
              <w:rPr>
                <w:rFonts w:hint="eastAsia" w:cs="宋体"/>
                <w:color w:val="auto"/>
                <w:szCs w:val="21"/>
                <w:highlight w:val="none"/>
                <w:lang w:val="en-US" w:eastAsia="zh-CN"/>
              </w:rPr>
              <w:t>；《挥发性有机物无组织排放控制标准》（GB37822-2019）</w:t>
            </w:r>
          </w:p>
        </w:tc>
      </w:tr>
      <w:tr w14:paraId="2AC34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027" w:type="dxa"/>
            <w:noWrap w:val="0"/>
            <w:vAlign w:val="center"/>
          </w:tcPr>
          <w:p w14:paraId="5C7EE09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地表水环境</w:t>
            </w:r>
          </w:p>
        </w:tc>
        <w:tc>
          <w:tcPr>
            <w:tcW w:w="1636" w:type="dxa"/>
            <w:noWrap w:val="0"/>
            <w:vAlign w:val="center"/>
          </w:tcPr>
          <w:p w14:paraId="7B1C0BB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lang w:eastAsia="zh-CN"/>
              </w:rPr>
            </w:pPr>
            <w:r>
              <w:rPr>
                <w:rFonts w:hint="eastAsia"/>
                <w:color w:val="auto"/>
                <w:kern w:val="0"/>
                <w:szCs w:val="21"/>
                <w:highlight w:val="none"/>
                <w:lang w:val="en-US" w:eastAsia="zh-CN"/>
              </w:rPr>
              <w:t>一体化污水处理站</w:t>
            </w:r>
            <w:r>
              <w:rPr>
                <w:rFonts w:hint="eastAsia" w:ascii="Times New Roman" w:hAnsi="Times New Roman" w:eastAsia="宋体"/>
                <w:color w:val="auto"/>
                <w:kern w:val="0"/>
                <w:szCs w:val="21"/>
                <w:highlight w:val="none"/>
                <w:lang w:eastAsia="zh-CN"/>
              </w:rPr>
              <w:t>出口</w:t>
            </w:r>
          </w:p>
        </w:tc>
        <w:tc>
          <w:tcPr>
            <w:tcW w:w="1531" w:type="dxa"/>
            <w:noWrap w:val="0"/>
            <w:vAlign w:val="center"/>
          </w:tcPr>
          <w:p w14:paraId="748950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 w:val="21"/>
                <w:szCs w:val="21"/>
                <w:highlight w:val="none"/>
                <w:lang w:val="en-US"/>
              </w:rPr>
            </w:pPr>
            <w:r>
              <w:rPr>
                <w:rFonts w:hint="default" w:ascii="Times New Roman" w:hAnsi="Times New Roman" w:eastAsia="宋体" w:cs="Times New Roman"/>
                <w:b w:val="0"/>
                <w:bCs/>
                <w:color w:val="auto"/>
                <w:spacing w:val="-10"/>
                <w:sz w:val="21"/>
                <w:szCs w:val="21"/>
                <w:highlight w:val="none"/>
                <w:vertAlign w:val="baseline"/>
                <w:lang w:val="en-US" w:eastAsia="zh-CN"/>
              </w:rPr>
              <w:t>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w:t>
            </w:r>
            <w:r>
              <w:rPr>
                <w:rFonts w:hint="eastAsia" w:cs="Times New Roman"/>
                <w:b w:val="0"/>
                <w:bCs/>
                <w:color w:val="auto"/>
                <w:spacing w:val="-10"/>
                <w:sz w:val="21"/>
                <w:szCs w:val="21"/>
                <w:highlight w:val="none"/>
                <w:vertAlign w:val="baseline"/>
                <w:lang w:val="en-US" w:eastAsia="zh-CN"/>
              </w:rPr>
              <w:t>总磷、动植物油</w:t>
            </w:r>
          </w:p>
        </w:tc>
        <w:tc>
          <w:tcPr>
            <w:tcW w:w="2288" w:type="dxa"/>
            <w:noWrap w:val="0"/>
            <w:vAlign w:val="center"/>
          </w:tcPr>
          <w:p w14:paraId="453EC35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 w:val="21"/>
                <w:szCs w:val="21"/>
                <w:highlight w:val="none"/>
                <w:lang w:eastAsia="zh-CN"/>
              </w:rPr>
            </w:pPr>
            <w:r>
              <w:rPr>
                <w:rFonts w:hint="eastAsia"/>
                <w:color w:val="auto"/>
                <w:sz w:val="21"/>
                <w:szCs w:val="21"/>
                <w:highlight w:val="none"/>
                <w:lang w:val="en-US" w:eastAsia="zh-CN"/>
              </w:rPr>
              <w:t>经化粪池</w:t>
            </w:r>
            <w:r>
              <w:rPr>
                <w:rFonts w:hint="eastAsia" w:cs="宋体"/>
                <w:color w:val="auto"/>
                <w:sz w:val="21"/>
                <w:szCs w:val="21"/>
                <w:highlight w:val="none"/>
                <w:lang w:eastAsia="zh-CN"/>
              </w:rPr>
              <w:t>（</w:t>
            </w:r>
            <w:r>
              <w:rPr>
                <w:rFonts w:hint="eastAsia" w:cs="宋体"/>
                <w:color w:val="auto"/>
                <w:sz w:val="21"/>
                <w:szCs w:val="21"/>
                <w:highlight w:val="none"/>
                <w:lang w:val="en-US" w:eastAsia="zh-CN"/>
              </w:rPr>
              <w:t>5m</w:t>
            </w:r>
            <w:r>
              <w:rPr>
                <w:rFonts w:hint="eastAsia" w:cs="宋体"/>
                <w:color w:val="auto"/>
                <w:sz w:val="21"/>
                <w:szCs w:val="21"/>
                <w:highlight w:val="none"/>
                <w:vertAlign w:val="superscript"/>
                <w:lang w:val="en-US" w:eastAsia="zh-CN"/>
              </w:rPr>
              <w:t>3</w:t>
            </w:r>
            <w:r>
              <w:rPr>
                <w:rFonts w:hint="eastAsia" w:cs="宋体"/>
                <w:color w:val="auto"/>
                <w:sz w:val="21"/>
                <w:szCs w:val="21"/>
                <w:highlight w:val="none"/>
                <w:lang w:eastAsia="zh-CN"/>
              </w:rPr>
              <w:t>）</w:t>
            </w:r>
            <w:r>
              <w:rPr>
                <w:rFonts w:hint="eastAsia"/>
                <w:color w:val="auto"/>
                <w:sz w:val="21"/>
                <w:szCs w:val="21"/>
                <w:highlight w:val="none"/>
                <w:lang w:val="en-US" w:eastAsia="zh-CN"/>
              </w:rPr>
              <w:t>、</w:t>
            </w:r>
            <w:r>
              <w:rPr>
                <w:rFonts w:hint="eastAsia"/>
                <w:color w:val="auto"/>
                <w:kern w:val="0"/>
                <w:szCs w:val="21"/>
                <w:highlight w:val="none"/>
                <w:lang w:val="en-US" w:eastAsia="zh-CN"/>
              </w:rPr>
              <w:t>一体化污水处理站</w:t>
            </w:r>
            <w:r>
              <w:rPr>
                <w:rFonts w:hint="eastAsia" w:cs="宋体"/>
                <w:color w:val="auto"/>
                <w:sz w:val="21"/>
                <w:szCs w:val="21"/>
                <w:highlight w:val="none"/>
                <w:lang w:eastAsia="zh-CN"/>
              </w:rPr>
              <w:t>（</w:t>
            </w:r>
            <w:r>
              <w:rPr>
                <w:rFonts w:hint="eastAsia" w:cs="宋体"/>
                <w:color w:val="auto"/>
                <w:sz w:val="21"/>
                <w:szCs w:val="21"/>
                <w:highlight w:val="none"/>
                <w:lang w:val="en-US" w:eastAsia="zh-CN"/>
              </w:rPr>
              <w:t>5m</w:t>
            </w:r>
            <w:r>
              <w:rPr>
                <w:rFonts w:hint="eastAsia" w:cs="宋体"/>
                <w:color w:val="auto"/>
                <w:sz w:val="21"/>
                <w:szCs w:val="21"/>
                <w:highlight w:val="none"/>
                <w:vertAlign w:val="superscript"/>
                <w:lang w:val="en-US" w:eastAsia="zh-CN"/>
              </w:rPr>
              <w:t>3</w:t>
            </w:r>
            <w:r>
              <w:rPr>
                <w:rFonts w:hint="eastAsia" w:cs="宋体"/>
                <w:color w:val="auto"/>
                <w:sz w:val="21"/>
                <w:szCs w:val="21"/>
                <w:highlight w:val="none"/>
                <w:vertAlign w:val="baseline"/>
                <w:lang w:val="en-US" w:eastAsia="zh-CN"/>
              </w:rPr>
              <w:t>/d</w:t>
            </w:r>
            <w:r>
              <w:rPr>
                <w:rFonts w:hint="eastAsia" w:cs="宋体"/>
                <w:color w:val="auto"/>
                <w:sz w:val="21"/>
                <w:szCs w:val="21"/>
                <w:highlight w:val="none"/>
                <w:lang w:eastAsia="zh-CN"/>
              </w:rPr>
              <w:t>）</w:t>
            </w:r>
            <w:r>
              <w:rPr>
                <w:rFonts w:hint="eastAsia"/>
                <w:color w:val="auto"/>
                <w:sz w:val="21"/>
                <w:szCs w:val="21"/>
                <w:highlight w:val="none"/>
                <w:lang w:val="en-US" w:eastAsia="zh-CN"/>
              </w:rPr>
              <w:t>处理后</w:t>
            </w:r>
            <w:r>
              <w:rPr>
                <w:rFonts w:hint="default" w:hAnsi="Times New Roman"/>
                <w:color w:val="auto"/>
                <w:sz w:val="21"/>
                <w:szCs w:val="21"/>
                <w:highlight w:val="none"/>
              </w:rPr>
              <w:t>回用于</w:t>
            </w:r>
            <w:r>
              <w:rPr>
                <w:rFonts w:hint="eastAsia" w:hAnsi="Times New Roman"/>
                <w:color w:val="auto"/>
                <w:sz w:val="21"/>
                <w:szCs w:val="21"/>
                <w:highlight w:val="none"/>
              </w:rPr>
              <w:t>厂</w:t>
            </w:r>
            <w:r>
              <w:rPr>
                <w:rFonts w:hint="default" w:hAnsi="Times New Roman"/>
                <w:color w:val="auto"/>
                <w:sz w:val="21"/>
                <w:szCs w:val="21"/>
                <w:highlight w:val="none"/>
              </w:rPr>
              <w:t>区绿化</w:t>
            </w:r>
            <w:r>
              <w:rPr>
                <w:rFonts w:hint="eastAsia"/>
                <w:color w:val="auto"/>
                <w:sz w:val="21"/>
                <w:szCs w:val="21"/>
                <w:highlight w:val="none"/>
              </w:rPr>
              <w:t>和道路洒水降尘</w:t>
            </w:r>
          </w:p>
        </w:tc>
        <w:tc>
          <w:tcPr>
            <w:tcW w:w="2742" w:type="dxa"/>
            <w:noWrap w:val="0"/>
            <w:vAlign w:val="center"/>
          </w:tcPr>
          <w:p w14:paraId="2FC2B10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《城市污水再生利用 城市杂用水水质》（GB/T18920-2020）中城市绿化、道路清扫标准</w:t>
            </w:r>
          </w:p>
        </w:tc>
      </w:tr>
      <w:tr w14:paraId="00F46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027" w:type="dxa"/>
            <w:noWrap w:val="0"/>
            <w:vAlign w:val="center"/>
          </w:tcPr>
          <w:p w14:paraId="36838E0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声环境</w:t>
            </w:r>
          </w:p>
        </w:tc>
        <w:tc>
          <w:tcPr>
            <w:tcW w:w="1636" w:type="dxa"/>
            <w:noWrap w:val="0"/>
            <w:vAlign w:val="center"/>
          </w:tcPr>
          <w:p w14:paraId="6B239EE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default" w:ascii="Times New Roman" w:hAnsi="Times New Roman" w:eastAsia="宋体" w:cs="Times New Roman"/>
                <w:color w:val="auto"/>
                <w:sz w:val="21"/>
                <w:szCs w:val="21"/>
                <w:highlight w:val="none"/>
                <w:lang w:val="en-US" w:eastAsia="zh-CN"/>
              </w:rPr>
              <w:t>生产设备噪声</w:t>
            </w:r>
          </w:p>
        </w:tc>
        <w:tc>
          <w:tcPr>
            <w:tcW w:w="1531" w:type="dxa"/>
            <w:noWrap w:val="0"/>
            <w:vAlign w:val="center"/>
          </w:tcPr>
          <w:p w14:paraId="10C6F1E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default" w:ascii="Times New Roman" w:hAnsi="Times New Roman" w:eastAsia="宋体" w:cs="Times New Roman"/>
                <w:color w:val="auto"/>
                <w:sz w:val="21"/>
                <w:szCs w:val="21"/>
                <w:highlight w:val="none"/>
                <w:vertAlign w:val="baseline"/>
                <w:lang w:val="en-US" w:eastAsia="zh-CN"/>
              </w:rPr>
              <w:t>Leq（A）</w:t>
            </w:r>
          </w:p>
        </w:tc>
        <w:tc>
          <w:tcPr>
            <w:tcW w:w="2288" w:type="dxa"/>
            <w:noWrap w:val="0"/>
            <w:vAlign w:val="center"/>
          </w:tcPr>
          <w:p w14:paraId="05788E0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Times New Roman"/>
                <w:color w:val="auto"/>
                <w:highlight w:val="none"/>
              </w:rPr>
              <w:t>优先选用先进低噪声设备；主要产噪设备安装减震垫；</w:t>
            </w:r>
            <w:r>
              <w:rPr>
                <w:rFonts w:hint="default" w:ascii="Times New Roman" w:hAnsi="Times New Roman" w:eastAsia="宋体" w:cs="Times New Roman"/>
                <w:color w:val="auto"/>
                <w:sz w:val="21"/>
                <w:szCs w:val="21"/>
                <w:highlight w:val="none"/>
                <w:lang w:eastAsia="zh-CN"/>
              </w:rPr>
              <w:t>设置独立的空压机房</w:t>
            </w:r>
            <w:r>
              <w:rPr>
                <w:rFonts w:hint="eastAsia"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highlight w:val="none"/>
              </w:rPr>
              <w:t>加强设备管理与维护等措施</w:t>
            </w:r>
          </w:p>
        </w:tc>
        <w:tc>
          <w:tcPr>
            <w:tcW w:w="2742" w:type="dxa"/>
            <w:noWrap w:val="0"/>
            <w:vAlign w:val="center"/>
          </w:tcPr>
          <w:p w14:paraId="55AC16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highlight w:val="none"/>
                <w:lang w:val="en-US" w:eastAsia="zh-CN"/>
              </w:rPr>
            </w:pPr>
            <w:r>
              <w:rPr>
                <w:rFonts w:hint="default" w:ascii="Times New Roman" w:hAnsi="Times New Roman" w:eastAsia="宋体" w:cs="Times New Roman"/>
                <w:color w:val="auto"/>
                <w:szCs w:val="21"/>
                <w:highlight w:val="none"/>
              </w:rPr>
              <w:t>《工业企业厂界环境噪声排放标准》（GB12348-2008）中的</w:t>
            </w:r>
            <w:r>
              <w:rPr>
                <w:rFonts w:hint="eastAsia" w:ascii="Times New Roman" w:hAnsi="Times New Roman" w:eastAsia="宋体" w:cs="Times New Roman"/>
                <w:color w:val="auto"/>
                <w:szCs w:val="21"/>
                <w:highlight w:val="none"/>
                <w:lang w:val="en-US" w:eastAsia="zh-CN"/>
              </w:rPr>
              <w:t>3</w:t>
            </w:r>
            <w:r>
              <w:rPr>
                <w:rFonts w:hint="default" w:ascii="Times New Roman" w:hAnsi="Times New Roman" w:eastAsia="宋体" w:cs="Times New Roman"/>
                <w:color w:val="auto"/>
                <w:szCs w:val="21"/>
                <w:highlight w:val="none"/>
              </w:rPr>
              <w:t>类</w:t>
            </w:r>
          </w:p>
        </w:tc>
      </w:tr>
      <w:tr w14:paraId="1C235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7" w:type="dxa"/>
            <w:noWrap w:val="0"/>
            <w:vAlign w:val="center"/>
          </w:tcPr>
          <w:p w14:paraId="7A1E9CC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电磁辐射</w:t>
            </w:r>
          </w:p>
        </w:tc>
        <w:tc>
          <w:tcPr>
            <w:tcW w:w="1636" w:type="dxa"/>
            <w:noWrap w:val="0"/>
            <w:vAlign w:val="center"/>
          </w:tcPr>
          <w:p w14:paraId="1096DC8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w:t>
            </w:r>
          </w:p>
        </w:tc>
        <w:tc>
          <w:tcPr>
            <w:tcW w:w="1531" w:type="dxa"/>
            <w:noWrap w:val="0"/>
            <w:vAlign w:val="center"/>
          </w:tcPr>
          <w:p w14:paraId="0E16537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w:t>
            </w:r>
          </w:p>
        </w:tc>
        <w:tc>
          <w:tcPr>
            <w:tcW w:w="2288" w:type="dxa"/>
            <w:noWrap w:val="0"/>
            <w:vAlign w:val="center"/>
          </w:tcPr>
          <w:p w14:paraId="56F78D9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w:t>
            </w:r>
          </w:p>
        </w:tc>
        <w:tc>
          <w:tcPr>
            <w:tcW w:w="2742" w:type="dxa"/>
            <w:noWrap w:val="0"/>
            <w:vAlign w:val="center"/>
          </w:tcPr>
          <w:p w14:paraId="703A42D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w:t>
            </w:r>
          </w:p>
        </w:tc>
      </w:tr>
      <w:tr w14:paraId="000CED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noWrap w:val="0"/>
            <w:vAlign w:val="center"/>
          </w:tcPr>
          <w:p w14:paraId="1291D56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固体废物</w:t>
            </w:r>
          </w:p>
        </w:tc>
        <w:tc>
          <w:tcPr>
            <w:tcW w:w="8197" w:type="dxa"/>
            <w:gridSpan w:val="4"/>
            <w:noWrap w:val="0"/>
            <w:vAlign w:val="center"/>
          </w:tcPr>
          <w:p w14:paraId="2167D5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项目不合格品</w:t>
            </w:r>
            <w:r>
              <w:rPr>
                <w:rFonts w:hint="eastAsia" w:cs="宋体"/>
                <w:color w:val="auto"/>
                <w:szCs w:val="21"/>
                <w:highlight w:val="none"/>
                <w:lang w:val="en-US" w:eastAsia="zh-CN"/>
              </w:rPr>
              <w:t>、</w:t>
            </w:r>
            <w:r>
              <w:rPr>
                <w:rFonts w:hint="eastAsia" w:ascii="Times New Roman" w:hAnsi="Times New Roman" w:eastAsia="宋体" w:cs="Times New Roman"/>
                <w:b w:val="0"/>
                <w:bCs/>
                <w:snapToGrid w:val="0"/>
                <w:color w:val="auto"/>
                <w:kern w:val="0"/>
                <w:sz w:val="21"/>
                <w:szCs w:val="21"/>
                <w:highlight w:val="none"/>
                <w:vertAlign w:val="baseline"/>
                <w:lang w:val="en-US" w:eastAsia="zh-CN" w:bidi="ar-SA"/>
              </w:rPr>
              <w:t>废</w:t>
            </w:r>
            <w:r>
              <w:rPr>
                <w:rFonts w:hint="eastAsia" w:cs="Times New Roman"/>
                <w:b w:val="0"/>
                <w:bCs/>
                <w:snapToGrid w:val="0"/>
                <w:color w:val="auto"/>
                <w:kern w:val="0"/>
                <w:sz w:val="21"/>
                <w:szCs w:val="21"/>
                <w:highlight w:val="none"/>
                <w:vertAlign w:val="baseline"/>
                <w:lang w:val="en-US" w:eastAsia="zh-CN" w:bidi="ar-SA"/>
              </w:rPr>
              <w:t>边角料</w:t>
            </w:r>
            <w:r>
              <w:rPr>
                <w:rFonts w:hint="eastAsia" w:ascii="Times New Roman" w:hAnsi="Times New Roman" w:eastAsia="宋体" w:cs="Times New Roman"/>
                <w:color w:val="auto"/>
                <w:kern w:val="2"/>
                <w:sz w:val="21"/>
                <w:szCs w:val="21"/>
                <w:highlight w:val="none"/>
                <w:shd w:val="clear" w:color="auto" w:fill="auto"/>
                <w:lang w:val="en-US" w:eastAsia="zh-CN" w:bidi="ar-SA"/>
              </w:rPr>
              <w:t>收集</w:t>
            </w:r>
            <w:r>
              <w:rPr>
                <w:rFonts w:hint="eastAsia" w:cs="Times New Roman"/>
                <w:color w:val="auto"/>
                <w:kern w:val="2"/>
                <w:sz w:val="21"/>
                <w:szCs w:val="21"/>
                <w:highlight w:val="none"/>
                <w:shd w:val="clear" w:color="auto" w:fill="auto"/>
                <w:lang w:val="en-US" w:eastAsia="zh-CN" w:bidi="ar-SA"/>
              </w:rPr>
              <w:t>于一般固废暂存间，与生活垃圾一并委托环卫部门清运处置</w:t>
            </w:r>
            <w:r>
              <w:rPr>
                <w:rFonts w:hint="eastAsia" w:cs="宋体"/>
                <w:color w:val="auto"/>
                <w:sz w:val="21"/>
                <w:szCs w:val="21"/>
                <w:highlight w:val="none"/>
                <w:lang w:val="en-US" w:eastAsia="zh-CN"/>
              </w:rPr>
              <w:t>；</w:t>
            </w:r>
            <w:r>
              <w:rPr>
                <w:rFonts w:hint="eastAsia" w:ascii="Times New Roman" w:hAnsi="Times New Roman" w:eastAsia="宋体" w:cs="宋体"/>
                <w:color w:val="auto"/>
                <w:sz w:val="21"/>
                <w:szCs w:val="21"/>
                <w:highlight w:val="none"/>
                <w:lang w:val="en-US" w:eastAsia="zh-CN"/>
              </w:rPr>
              <w:t>废包</w:t>
            </w:r>
            <w:r>
              <w:rPr>
                <w:rFonts w:hint="eastAsia" w:ascii="Times New Roman" w:hAnsi="Times New Roman" w:eastAsia="宋体" w:cs="宋体"/>
                <w:color w:val="auto"/>
                <w:szCs w:val="21"/>
                <w:highlight w:val="none"/>
                <w:lang w:val="en-US" w:eastAsia="zh-CN"/>
              </w:rPr>
              <w:t>装材料收集暂存于一般</w:t>
            </w:r>
            <w:r>
              <w:rPr>
                <w:rFonts w:hint="eastAsia" w:cs="宋体"/>
                <w:color w:val="auto"/>
                <w:szCs w:val="21"/>
                <w:highlight w:val="none"/>
                <w:lang w:val="en-US" w:eastAsia="zh-CN"/>
              </w:rPr>
              <w:t>固废</w:t>
            </w:r>
            <w:r>
              <w:rPr>
                <w:rFonts w:hint="eastAsia" w:ascii="Times New Roman" w:hAnsi="Times New Roman" w:eastAsia="宋体" w:cs="宋体"/>
                <w:color w:val="auto"/>
                <w:szCs w:val="21"/>
                <w:highlight w:val="none"/>
                <w:lang w:val="en-US" w:eastAsia="zh-CN"/>
              </w:rPr>
              <w:t>暂存间，定期出售给废品收购</w:t>
            </w:r>
            <w:r>
              <w:rPr>
                <w:rFonts w:hint="eastAsia" w:cs="宋体"/>
                <w:color w:val="auto"/>
                <w:szCs w:val="21"/>
                <w:highlight w:val="none"/>
                <w:lang w:val="en-US" w:eastAsia="zh-CN"/>
              </w:rPr>
              <w:t>站</w:t>
            </w:r>
            <w:r>
              <w:rPr>
                <w:rFonts w:hint="eastAsia" w:ascii="Times New Roman" w:hAnsi="Times New Roman" w:eastAsia="宋体" w:cs="宋体"/>
                <w:color w:val="auto"/>
                <w:szCs w:val="21"/>
                <w:highlight w:val="none"/>
                <w:lang w:val="en-US" w:eastAsia="zh-CN"/>
              </w:rPr>
              <w:t>。化粪池及污水处理站污泥委托当地环卫部门清掏清运处置。生活垃圾集中收集于垃圾桶内，定期委托环卫部门清运处置。</w:t>
            </w:r>
            <w:r>
              <w:rPr>
                <w:rFonts w:hint="eastAsia" w:cs="宋体"/>
                <w:color w:val="auto"/>
                <w:szCs w:val="21"/>
                <w:highlight w:val="none"/>
                <w:lang w:val="en-US" w:eastAsia="zh-CN"/>
              </w:rPr>
              <w:t>废胶水桶、</w:t>
            </w:r>
            <w:r>
              <w:rPr>
                <w:rFonts w:hint="eastAsia" w:ascii="Times New Roman" w:hAnsi="Times New Roman" w:eastAsia="宋体" w:cs="宋体"/>
                <w:color w:val="auto"/>
                <w:szCs w:val="21"/>
                <w:highlight w:val="none"/>
                <w:lang w:val="en-US" w:eastAsia="zh-CN"/>
              </w:rPr>
              <w:t>废活性炭、废UV灯管</w:t>
            </w:r>
            <w:r>
              <w:rPr>
                <w:rFonts w:hint="eastAsia" w:cs="宋体"/>
                <w:color w:val="auto"/>
                <w:szCs w:val="21"/>
                <w:highlight w:val="none"/>
                <w:lang w:val="en-US" w:eastAsia="zh-CN"/>
              </w:rPr>
              <w:t>、</w:t>
            </w:r>
            <w:r>
              <w:rPr>
                <w:rFonts w:hint="default" w:ascii="Times New Roman" w:hAnsi="Times New Roman" w:cs="Times New Roman"/>
                <w:color w:val="auto"/>
                <w:highlight w:val="none"/>
                <w:lang w:val="en-US" w:eastAsia="zh-CN"/>
              </w:rPr>
              <w:t>废矿物油</w:t>
            </w:r>
            <w:r>
              <w:rPr>
                <w:rFonts w:hint="eastAsia" w:ascii="Times New Roman" w:hAnsi="Times New Roman" w:eastAsia="宋体" w:cs="宋体"/>
                <w:color w:val="auto"/>
                <w:szCs w:val="21"/>
                <w:highlight w:val="none"/>
                <w:lang w:val="en-US" w:eastAsia="zh-CN"/>
              </w:rPr>
              <w:t>分类收集后暂存于危险废物暂存间内，定期委托有资质的单位清运处置。</w:t>
            </w:r>
          </w:p>
        </w:tc>
      </w:tr>
      <w:tr w14:paraId="4736E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noWrap w:val="0"/>
            <w:vAlign w:val="center"/>
          </w:tcPr>
          <w:p w14:paraId="01626F1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rPr>
            </w:pPr>
            <w:r>
              <w:rPr>
                <w:rFonts w:hint="eastAsia" w:ascii="Times New Roman" w:hAnsi="Times New Roman" w:eastAsia="宋体" w:cs="宋体"/>
                <w:color w:val="auto"/>
                <w:szCs w:val="21"/>
              </w:rPr>
              <w:t>土壤</w:t>
            </w:r>
            <w:r>
              <w:rPr>
                <w:rFonts w:hint="eastAsia" w:cs="宋体"/>
                <w:color w:val="auto"/>
                <w:szCs w:val="21"/>
                <w:lang w:val="en-US" w:eastAsia="zh-CN"/>
              </w:rPr>
              <w:t>及</w:t>
            </w:r>
            <w:r>
              <w:rPr>
                <w:rFonts w:hint="eastAsia" w:ascii="Times New Roman" w:hAnsi="Times New Roman" w:eastAsia="宋体" w:cs="宋体"/>
                <w:color w:val="auto"/>
                <w:szCs w:val="21"/>
              </w:rPr>
              <w:t>地下水污染防治措施</w:t>
            </w:r>
          </w:p>
        </w:tc>
        <w:tc>
          <w:tcPr>
            <w:tcW w:w="8197" w:type="dxa"/>
            <w:gridSpan w:val="4"/>
            <w:noWrap w:val="0"/>
            <w:vAlign w:val="center"/>
          </w:tcPr>
          <w:p w14:paraId="238105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zCs w:val="21"/>
                <w:lang w:val="en-US" w:eastAsia="zh-CN"/>
              </w:rPr>
            </w:pPr>
            <w:r>
              <w:rPr>
                <w:rFonts w:hint="eastAsia" w:ascii="Times New Roman" w:hAnsi="Times New Roman" w:eastAsia="宋体" w:cs="Times New Roman"/>
                <w:color w:val="auto"/>
                <w:sz w:val="21"/>
                <w:szCs w:val="21"/>
                <w:lang w:val="en-US" w:eastAsia="zh-CN"/>
              </w:rPr>
              <w:t>危险废物暂存间应按</w:t>
            </w:r>
            <w:r>
              <w:rPr>
                <w:rFonts w:hint="eastAsia" w:ascii="Times New Roman" w:hAnsi="Times New Roman" w:eastAsia="宋体" w:cs="Times New Roman"/>
                <w:color w:val="auto"/>
                <w:sz w:val="21"/>
                <w:szCs w:val="21"/>
                <w:highlight w:val="none"/>
                <w:lang w:val="en-US" w:eastAsia="zh-CN"/>
              </w:rPr>
              <w:t>照</w:t>
            </w:r>
            <w:r>
              <w:rPr>
                <w:rFonts w:hint="default"/>
                <w:color w:val="auto"/>
                <w:sz w:val="21"/>
                <w:szCs w:val="21"/>
                <w:highlight w:val="none"/>
              </w:rPr>
              <w:t>《危险废物贮存污染控制标准》（GB18597-20</w:t>
            </w:r>
            <w:r>
              <w:rPr>
                <w:rFonts w:hint="eastAsia"/>
                <w:color w:val="auto"/>
                <w:sz w:val="21"/>
                <w:szCs w:val="21"/>
                <w:highlight w:val="none"/>
              </w:rPr>
              <w:t>23</w:t>
            </w:r>
            <w:r>
              <w:rPr>
                <w:rFonts w:hint="default"/>
                <w:color w:val="auto"/>
                <w:sz w:val="21"/>
                <w:szCs w:val="21"/>
                <w:highlight w:val="none"/>
              </w:rPr>
              <w:t>）</w:t>
            </w:r>
            <w:r>
              <w:rPr>
                <w:rFonts w:hint="eastAsia" w:ascii="Times New Roman" w:hAnsi="Times New Roman" w:eastAsia="宋体" w:cs="Times New Roman"/>
                <w:color w:val="auto"/>
                <w:sz w:val="21"/>
                <w:szCs w:val="21"/>
                <w:highlight w:val="none"/>
                <w:lang w:val="en-US" w:eastAsia="zh-CN"/>
              </w:rPr>
              <w:t>中要求进行重点防渗，对地面和裙角进行防渗建设，防渗系数≤10</w:t>
            </w:r>
            <w:r>
              <w:rPr>
                <w:rFonts w:hint="eastAsia" w:ascii="Times New Roman" w:hAnsi="Times New Roman" w:eastAsia="宋体" w:cs="Times New Roman"/>
                <w:color w:val="auto"/>
                <w:sz w:val="21"/>
                <w:szCs w:val="21"/>
                <w:highlight w:val="none"/>
                <w:vertAlign w:val="superscript"/>
                <w:lang w:val="en-US" w:eastAsia="zh-CN"/>
              </w:rPr>
              <w:t>-10</w:t>
            </w:r>
            <w:r>
              <w:rPr>
                <w:rFonts w:hint="eastAsia" w:ascii="Times New Roman" w:hAnsi="Times New Roman" w:eastAsia="宋体" w:cs="Times New Roman"/>
                <w:color w:val="auto"/>
                <w:sz w:val="21"/>
                <w:szCs w:val="21"/>
                <w:highlight w:val="none"/>
                <w:lang w:val="en-US" w:eastAsia="zh-CN"/>
              </w:rPr>
              <w:t>cm/s。污水处理站按照《环境影响评价技术导则 地下水环境》（HJ610-2016）中要求进行一般防渗，等效黏土防渗层Mb≥1.5m，防渗系数≤10</w:t>
            </w:r>
            <w:r>
              <w:rPr>
                <w:rFonts w:hint="eastAsia" w:ascii="Times New Roman" w:hAnsi="Times New Roman" w:eastAsia="宋体" w:cs="Times New Roman"/>
                <w:color w:val="auto"/>
                <w:sz w:val="21"/>
                <w:szCs w:val="21"/>
                <w:highlight w:val="none"/>
                <w:vertAlign w:val="superscript"/>
                <w:lang w:val="en-US" w:eastAsia="zh-CN"/>
              </w:rPr>
              <w:t>-7</w:t>
            </w:r>
            <w:r>
              <w:rPr>
                <w:rFonts w:hint="eastAsia" w:ascii="Times New Roman" w:hAnsi="Times New Roman" w:eastAsia="宋体" w:cs="Times New Roman"/>
                <w:color w:val="auto"/>
                <w:sz w:val="21"/>
                <w:szCs w:val="21"/>
                <w:highlight w:val="none"/>
                <w:lang w:val="en-US" w:eastAsia="zh-CN"/>
              </w:rPr>
              <w:t>cm/s。</w:t>
            </w:r>
          </w:p>
        </w:tc>
      </w:tr>
      <w:tr w14:paraId="7E0AB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27" w:type="dxa"/>
            <w:noWrap w:val="0"/>
            <w:vAlign w:val="center"/>
          </w:tcPr>
          <w:p w14:paraId="644C9B8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rPr>
            </w:pPr>
            <w:r>
              <w:rPr>
                <w:rFonts w:hint="eastAsia" w:ascii="Times New Roman" w:hAnsi="Times New Roman" w:eastAsia="宋体" w:cs="宋体"/>
                <w:color w:val="auto"/>
                <w:szCs w:val="21"/>
              </w:rPr>
              <w:t>生态保护措施</w:t>
            </w:r>
          </w:p>
        </w:tc>
        <w:tc>
          <w:tcPr>
            <w:tcW w:w="8197" w:type="dxa"/>
            <w:gridSpan w:val="4"/>
            <w:noWrap w:val="0"/>
            <w:vAlign w:val="center"/>
          </w:tcPr>
          <w:p w14:paraId="20A9DA4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zCs w:val="21"/>
                <w:lang w:val="en-US" w:eastAsia="zh-CN"/>
              </w:rPr>
            </w:pPr>
            <w:r>
              <w:rPr>
                <w:rFonts w:hint="eastAsia" w:ascii="Times New Roman" w:hAnsi="Times New Roman" w:eastAsia="宋体" w:cs="宋体"/>
                <w:color w:val="auto"/>
                <w:szCs w:val="21"/>
                <w:lang w:val="en-US" w:eastAsia="zh-CN"/>
              </w:rPr>
              <w:t>/</w:t>
            </w:r>
          </w:p>
        </w:tc>
      </w:tr>
      <w:tr w14:paraId="214AE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noWrap w:val="0"/>
            <w:vAlign w:val="center"/>
          </w:tcPr>
          <w:p w14:paraId="79AA4B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pacing w:val="-8"/>
                <w:szCs w:val="21"/>
              </w:rPr>
            </w:pPr>
            <w:r>
              <w:rPr>
                <w:rFonts w:hint="eastAsia" w:ascii="Times New Roman" w:hAnsi="Times New Roman" w:eastAsia="宋体" w:cs="宋体"/>
                <w:color w:val="auto"/>
                <w:spacing w:val="-8"/>
                <w:szCs w:val="21"/>
              </w:rPr>
              <w:t>环境风险</w:t>
            </w:r>
          </w:p>
          <w:p w14:paraId="6B261F9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pacing w:val="-8"/>
                <w:szCs w:val="21"/>
              </w:rPr>
            </w:pPr>
            <w:r>
              <w:rPr>
                <w:rFonts w:hint="eastAsia" w:ascii="Times New Roman" w:hAnsi="Times New Roman" w:eastAsia="宋体" w:cs="宋体"/>
                <w:color w:val="auto"/>
                <w:spacing w:val="-8"/>
                <w:szCs w:val="21"/>
              </w:rPr>
              <w:t>防范措施</w:t>
            </w:r>
          </w:p>
        </w:tc>
        <w:tc>
          <w:tcPr>
            <w:tcW w:w="8197" w:type="dxa"/>
            <w:gridSpan w:val="4"/>
            <w:noWrap w:val="0"/>
            <w:vAlign w:val="center"/>
          </w:tcPr>
          <w:p w14:paraId="5752E8D8">
            <w:pPr>
              <w:keepNext w:val="0"/>
              <w:keepLines w:val="0"/>
              <w:suppressLineNumbers w:val="0"/>
              <w:adjustRightInd w:val="0"/>
              <w:snapToGrid w:val="0"/>
              <w:spacing w:before="0" w:beforeAutospacing="0" w:after="0" w:afterAutospacing="0"/>
              <w:ind w:left="0" w:right="0"/>
              <w:rPr>
                <w:rFonts w:hint="default"/>
                <w:bCs/>
                <w:color w:val="auto"/>
                <w:szCs w:val="21"/>
                <w:lang w:val="zh-CN"/>
              </w:rPr>
            </w:pPr>
            <w:r>
              <w:rPr>
                <w:rFonts w:hint="default"/>
                <w:bCs/>
                <w:color w:val="auto"/>
                <w:szCs w:val="21"/>
                <w:lang w:val="zh-CN"/>
              </w:rPr>
              <w:t>①严格执行国家有关安全生产的规定，采取乙类生产、贮存的安全技术措施，遵守乙类工业设计防火规定和规范。</w:t>
            </w:r>
          </w:p>
          <w:p w14:paraId="0FCBFB99">
            <w:pPr>
              <w:keepNext w:val="0"/>
              <w:keepLines w:val="0"/>
              <w:suppressLineNumbers w:val="0"/>
              <w:adjustRightInd w:val="0"/>
              <w:snapToGrid w:val="0"/>
              <w:spacing w:before="0" w:beforeAutospacing="0" w:after="0" w:afterAutospacing="0"/>
              <w:ind w:left="0" w:right="0"/>
              <w:rPr>
                <w:rFonts w:hint="default"/>
                <w:bCs/>
                <w:color w:val="auto"/>
                <w:szCs w:val="21"/>
                <w:lang w:val="zh-CN"/>
              </w:rPr>
            </w:pPr>
            <w:r>
              <w:rPr>
                <w:rFonts w:hint="default"/>
                <w:bCs/>
                <w:color w:val="auto"/>
                <w:szCs w:val="21"/>
                <w:lang w:val="zh-CN"/>
              </w:rPr>
              <w:t>②建立健全安全生产责任制实行定期性安全检查，及时发现事故隐患并迅速给以消除。</w:t>
            </w:r>
          </w:p>
          <w:p w14:paraId="13FFD914">
            <w:pPr>
              <w:keepNext w:val="0"/>
              <w:keepLines w:val="0"/>
              <w:suppressLineNumbers w:val="0"/>
              <w:adjustRightInd w:val="0"/>
              <w:snapToGrid w:val="0"/>
              <w:spacing w:before="0" w:beforeAutospacing="0" w:after="0" w:afterAutospacing="0"/>
              <w:ind w:left="0" w:right="0"/>
              <w:rPr>
                <w:rFonts w:hint="default"/>
                <w:bCs/>
                <w:color w:val="auto"/>
                <w:szCs w:val="21"/>
                <w:lang w:val="zh-CN"/>
              </w:rPr>
            </w:pPr>
            <w:r>
              <w:rPr>
                <w:rFonts w:hint="default"/>
                <w:bCs/>
                <w:color w:val="auto"/>
                <w:szCs w:val="21"/>
                <w:lang w:val="zh-CN"/>
              </w:rPr>
              <w:t>③增强安全意识，加强安全教育，增强职工安全意识，认真贯彻安全法规和制度，防止人的错误行为，制定相应的应急措施。</w:t>
            </w:r>
          </w:p>
          <w:p w14:paraId="40561615">
            <w:pPr>
              <w:keepNext w:val="0"/>
              <w:keepLines w:val="0"/>
              <w:suppressLineNumbers w:val="0"/>
              <w:adjustRightInd w:val="0"/>
              <w:snapToGrid w:val="0"/>
              <w:spacing w:before="0" w:beforeAutospacing="0" w:after="0" w:afterAutospacing="0"/>
              <w:ind w:left="0" w:right="0"/>
              <w:rPr>
                <w:rFonts w:hint="default"/>
                <w:bCs/>
                <w:color w:val="auto"/>
                <w:szCs w:val="21"/>
                <w:lang w:val="zh-CN"/>
              </w:rPr>
            </w:pPr>
            <w:r>
              <w:rPr>
                <w:rFonts w:hint="default"/>
                <w:bCs/>
                <w:color w:val="auto"/>
                <w:szCs w:val="21"/>
                <w:lang w:val="zh-CN"/>
              </w:rPr>
              <w:t>④废机油泄漏，用活性炭或其他惰性材料吸收，收集的危险废物在危废暂存间暂存，然后委托有资质的单位处理；</w:t>
            </w:r>
          </w:p>
          <w:p w14:paraId="2AA3932F">
            <w:pPr>
              <w:keepNext w:val="0"/>
              <w:keepLines w:val="0"/>
              <w:suppressLineNumbers w:val="0"/>
              <w:adjustRightInd w:val="0"/>
              <w:snapToGrid w:val="0"/>
              <w:spacing w:before="0" w:beforeAutospacing="0" w:after="0" w:afterAutospacing="0"/>
              <w:ind w:left="0" w:right="0"/>
              <w:rPr>
                <w:rFonts w:hint="default"/>
                <w:bCs/>
                <w:color w:val="auto"/>
                <w:szCs w:val="21"/>
                <w:lang w:val="zh-CN"/>
              </w:rPr>
            </w:pPr>
            <w:r>
              <w:rPr>
                <w:rFonts w:hint="default"/>
                <w:bCs/>
                <w:color w:val="auto"/>
                <w:szCs w:val="21"/>
                <w:lang w:val="zh-CN"/>
              </w:rPr>
              <w:t>⑤危废暂存间应按《危险废物贮存污染控制标准》（GB18597-20</w:t>
            </w:r>
            <w:r>
              <w:rPr>
                <w:rFonts w:hint="eastAsia"/>
                <w:bCs/>
                <w:color w:val="auto"/>
                <w:szCs w:val="21"/>
                <w:lang w:val="en-US" w:eastAsia="zh-CN"/>
              </w:rPr>
              <w:t>23</w:t>
            </w:r>
            <w:r>
              <w:rPr>
                <w:rFonts w:hint="default"/>
                <w:bCs/>
                <w:color w:val="auto"/>
                <w:szCs w:val="21"/>
                <w:lang w:val="zh-CN"/>
              </w:rPr>
              <w:t>）中相关要求规范建设，地面采取防渗措施，防渗系数≤10</w:t>
            </w:r>
            <w:r>
              <w:rPr>
                <w:rFonts w:hint="default"/>
                <w:bCs/>
                <w:color w:val="auto"/>
                <w:szCs w:val="21"/>
                <w:vertAlign w:val="superscript"/>
                <w:lang w:val="zh-CN"/>
              </w:rPr>
              <w:t>-10</w:t>
            </w:r>
            <w:r>
              <w:rPr>
                <w:rFonts w:hint="default"/>
                <w:bCs/>
                <w:color w:val="auto"/>
                <w:szCs w:val="21"/>
                <w:lang w:val="zh-CN"/>
              </w:rPr>
              <w:t>cm/s；</w:t>
            </w:r>
          </w:p>
          <w:p w14:paraId="21049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both"/>
              <w:textAlignment w:val="auto"/>
              <w:rPr>
                <w:rFonts w:hint="eastAsia" w:ascii="Times New Roman" w:hAnsi="Times New Roman" w:eastAsia="宋体" w:cs="宋体"/>
                <w:color w:val="auto"/>
                <w:szCs w:val="21"/>
                <w:lang w:val="en-US" w:eastAsia="zh-CN"/>
              </w:rPr>
            </w:pPr>
            <w:r>
              <w:rPr>
                <w:rFonts w:hint="default"/>
                <w:bCs/>
                <w:color w:val="auto"/>
                <w:szCs w:val="21"/>
                <w:lang w:val="zh-CN"/>
              </w:rPr>
              <w:t>⑥应专门编制突发环境事件应急预案并提交昆明市生态环境局寻甸分局备案。</w:t>
            </w:r>
          </w:p>
        </w:tc>
      </w:tr>
      <w:tr w14:paraId="17D54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27" w:type="dxa"/>
            <w:noWrap w:val="0"/>
            <w:vAlign w:val="center"/>
          </w:tcPr>
          <w:p w14:paraId="78269B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宋体"/>
                <w:color w:val="auto"/>
                <w:spacing w:val="-8"/>
                <w:szCs w:val="21"/>
              </w:rPr>
            </w:pPr>
            <w:r>
              <w:rPr>
                <w:rFonts w:hint="eastAsia" w:ascii="Times New Roman" w:hAnsi="Times New Roman" w:eastAsia="宋体" w:cs="宋体"/>
                <w:color w:val="auto"/>
                <w:spacing w:val="-8"/>
                <w:szCs w:val="21"/>
              </w:rPr>
              <w:t>其他环境</w:t>
            </w:r>
          </w:p>
          <w:p w14:paraId="025CDE1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宋体"/>
                <w:color w:val="auto"/>
                <w:spacing w:val="-8"/>
                <w:szCs w:val="21"/>
              </w:rPr>
            </w:pPr>
            <w:r>
              <w:rPr>
                <w:rFonts w:hint="eastAsia" w:ascii="Times New Roman" w:hAnsi="Times New Roman" w:eastAsia="宋体" w:cs="宋体"/>
                <w:color w:val="auto"/>
                <w:spacing w:val="-8"/>
                <w:szCs w:val="21"/>
              </w:rPr>
              <w:t>管理要求</w:t>
            </w:r>
          </w:p>
        </w:tc>
        <w:tc>
          <w:tcPr>
            <w:tcW w:w="8197" w:type="dxa"/>
            <w:gridSpan w:val="4"/>
            <w:noWrap w:val="0"/>
            <w:vAlign w:val="center"/>
          </w:tcPr>
          <w:p w14:paraId="6F3D3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1、环境管理计划</w:t>
            </w:r>
          </w:p>
          <w:p w14:paraId="350486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1）根据国家环保政策、标准及环境监测要求，制定该项目运行期环境管理规章制度、各种污染物排放指标。</w:t>
            </w:r>
          </w:p>
          <w:p w14:paraId="512A5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2）项目建成投产前建设单位应自行组织项目竣工环境保护验收工作，检查环保设施是否达到“三同时”要求。</w:t>
            </w:r>
          </w:p>
          <w:p w14:paraId="3ECD72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3）加强环保设施的管理，定期检查厂内环保设施运行情况。及时排除故障，保证环保设施正常运转。</w:t>
            </w:r>
          </w:p>
          <w:p w14:paraId="4ACAF2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4）危险废物的收集管理应由专人负责，分类收集。</w:t>
            </w:r>
          </w:p>
          <w:p w14:paraId="56B8FB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5）运用经济、教育、行政、法律及其它手段，加强项目区内人员的环保意识，加强环境保护的自觉性，不断提高环境管理水平。</w:t>
            </w:r>
          </w:p>
          <w:p w14:paraId="6AD0C5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6）配合当地环保监测机构，实施环境监测计划。</w:t>
            </w:r>
          </w:p>
          <w:p w14:paraId="414A11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2、排污许可证</w:t>
            </w:r>
          </w:p>
          <w:p w14:paraId="545DD7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项目国民经济行业类别为“</w:t>
            </w:r>
            <w:r>
              <w:rPr>
                <w:rFonts w:hint="default" w:ascii="Times New Roman" w:hAnsi="Times New Roman" w:eastAsia="宋体" w:cs="Times New Roman"/>
                <w:color w:val="auto"/>
                <w:sz w:val="21"/>
                <w:szCs w:val="21"/>
                <w:lang w:val="en-US" w:eastAsia="zh-CN"/>
              </w:rPr>
              <w:t>其他纸制品制造</w:t>
            </w: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lang w:val="en-US" w:eastAsia="zh-CN"/>
              </w:rPr>
              <w:t>2239</w:t>
            </w:r>
            <w:r>
              <w:rPr>
                <w:rFonts w:hint="default" w:ascii="Times New Roman" w:hAnsi="Times New Roman" w:eastAsia="宋体" w:cs="Times New Roman"/>
                <w:color w:val="auto"/>
                <w:sz w:val="21"/>
                <w:szCs w:val="21"/>
              </w:rPr>
              <w:t>）”，根据《固定污染源排污许可分类管理名录（2019版）》，项目</w:t>
            </w:r>
            <w:r>
              <w:rPr>
                <w:rFonts w:hint="eastAsia" w:cs="Times New Roman"/>
                <w:color w:val="auto"/>
                <w:sz w:val="21"/>
                <w:szCs w:val="21"/>
                <w:lang w:val="en-US" w:eastAsia="zh-CN"/>
              </w:rPr>
              <w:t>应进行排污许可简化管理</w:t>
            </w:r>
            <w:r>
              <w:rPr>
                <w:rFonts w:hint="default" w:ascii="Times New Roman" w:hAnsi="Times New Roman" w:eastAsia="宋体" w:cs="Times New Roman"/>
                <w:color w:val="auto"/>
                <w:sz w:val="21"/>
                <w:szCs w:val="21"/>
              </w:rPr>
              <w:t>。</w:t>
            </w:r>
          </w:p>
          <w:p w14:paraId="2AB58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3、排污口规范化设置</w:t>
            </w:r>
          </w:p>
          <w:p w14:paraId="14F39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排污口是项目运营期污染物进入环境、污染环境的通道，强化总排口管理是实施污染物总量控制的基础工作之一，也是环境管理逐步实现污染物科学化、定量化的主要手段。</w:t>
            </w:r>
          </w:p>
          <w:p w14:paraId="57648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项目排放口设置满足以下要求：</w:t>
            </w:r>
          </w:p>
          <w:p w14:paraId="2330CA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（1）污染物排放口，应按国家《环境保护图形标志排放口（源）》 （GB15562.1-1995）的规定，设置国家环保总局统一制作的环境保护图形标志牌；本项目废气排放口和废水处理设施均应设置相应标志，并进行专人管理。</w:t>
            </w:r>
          </w:p>
          <w:p w14:paraId="72B397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rPr>
                <w:rFonts w:hint="default" w:eastAsia="宋体"/>
                <w:color w:val="auto"/>
                <w:lang w:val="en-US" w:eastAsia="zh-CN"/>
              </w:rPr>
            </w:pPr>
            <w:r>
              <w:rPr>
                <w:rFonts w:hint="default" w:ascii="Times New Roman" w:hAnsi="Times New Roman" w:eastAsia="宋体" w:cs="Times New Roman"/>
                <w:color w:val="auto"/>
                <w:sz w:val="21"/>
                <w:szCs w:val="21"/>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p>
        </w:tc>
      </w:tr>
    </w:tbl>
    <w:p w14:paraId="127F4261">
      <w:pPr>
        <w:pStyle w:val="28"/>
        <w:jc w:val="center"/>
        <w:outlineLvl w:val="0"/>
        <w:rPr>
          <w:rFonts w:ascii="黑体" w:hAnsi="黑体" w:eastAsia="黑体"/>
          <w:snapToGrid w:val="0"/>
          <w:color w:val="auto"/>
          <w:sz w:val="30"/>
          <w:szCs w:val="30"/>
        </w:rPr>
      </w:pPr>
      <w:r>
        <w:rPr>
          <w:snapToGrid w:val="0"/>
          <w:color w:val="auto"/>
        </w:rPr>
        <w:br w:type="page"/>
      </w:r>
      <w:bookmarkStart w:id="39" w:name="_Toc21964"/>
      <w:r>
        <w:rPr>
          <w:rFonts w:hint="eastAsia" w:ascii="黑体" w:hAnsi="黑体" w:eastAsia="黑体"/>
          <w:snapToGrid w:val="0"/>
          <w:color w:val="auto"/>
          <w:sz w:val="30"/>
          <w:szCs w:val="30"/>
        </w:rPr>
        <w:t>六、结论</w:t>
      </w:r>
      <w:bookmarkEnd w:id="39"/>
    </w:p>
    <w:tbl>
      <w:tblPr>
        <w:tblStyle w:val="30"/>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B662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1A9D187">
            <w:pPr>
              <w:keepNext w:val="0"/>
              <w:keepLines w:val="0"/>
              <w:pageBreakBefore w:val="0"/>
              <w:suppressLineNumbers w:val="0"/>
              <w:kinsoku/>
              <w:wordWrap/>
              <w:overflowPunct/>
              <w:topLinePunct w:val="0"/>
              <w:bidi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ascii="宋体" w:hAnsi="宋体" w:eastAsia="宋体" w:cs="宋体"/>
                <w:color w:val="auto"/>
                <w:sz w:val="24"/>
                <w:szCs w:val="24"/>
              </w:rPr>
              <w:t>本项目符合国家产业政策，</w:t>
            </w:r>
            <w:r>
              <w:rPr>
                <w:rFonts w:hint="eastAsia" w:ascii="宋体" w:hAnsi="宋体" w:eastAsia="宋体" w:cs="宋体"/>
                <w:color w:val="auto"/>
                <w:sz w:val="24"/>
                <w:szCs w:val="24"/>
                <w:lang w:val="en-US" w:eastAsia="zh-CN"/>
              </w:rPr>
              <w:t>符合相关规划</w:t>
            </w:r>
            <w:r>
              <w:rPr>
                <w:rFonts w:hint="eastAsia" w:ascii="宋体" w:hAnsi="宋体" w:cs="宋体"/>
                <w:color w:val="auto"/>
                <w:sz w:val="24"/>
                <w:szCs w:val="24"/>
                <w:lang w:val="en-US" w:eastAsia="zh-CN"/>
              </w:rPr>
              <w:t>，</w:t>
            </w:r>
            <w:r>
              <w:rPr>
                <w:rFonts w:hint="default" w:ascii="Times New Roman" w:hAnsi="Times New Roman" w:eastAsia="宋体" w:cs="Times New Roman"/>
                <w:color w:val="auto"/>
                <w:sz w:val="24"/>
              </w:rPr>
              <w:t>不涉及自然保护区、风景名胜区、水源保护区等环境敏感区，与周围居民点、学校、医院等关心点距离较远，选址合理。</w:t>
            </w:r>
            <w:r>
              <w:rPr>
                <w:rFonts w:hint="eastAsia" w:ascii="宋体" w:hAnsi="宋体" w:eastAsia="宋体" w:cs="宋体"/>
                <w:color w:val="auto"/>
                <w:sz w:val="24"/>
                <w:szCs w:val="24"/>
                <w:lang w:val="en-US" w:eastAsia="zh-CN"/>
              </w:rPr>
              <w:t>在采</w:t>
            </w:r>
            <w:r>
              <w:rPr>
                <w:rFonts w:hint="default" w:ascii="Times New Roman" w:hAnsi="Times New Roman" w:eastAsia="宋体" w:cs="Times New Roman"/>
                <w:color w:val="auto"/>
                <w:sz w:val="24"/>
                <w:szCs w:val="24"/>
                <w:lang w:val="en-US" w:eastAsia="zh-CN"/>
              </w:rPr>
              <w:t>取相关环保措施后，</w:t>
            </w:r>
            <w:r>
              <w:rPr>
                <w:rFonts w:hint="default" w:ascii="Times New Roman" w:hAnsi="Times New Roman" w:cs="Times New Roman"/>
                <w:color w:val="auto"/>
                <w:sz w:val="24"/>
                <w:szCs w:val="24"/>
                <w:lang w:val="en-US" w:eastAsia="zh-CN"/>
              </w:rPr>
              <w:t>项目产生的废气、</w:t>
            </w:r>
            <w:r>
              <w:rPr>
                <w:rFonts w:hint="default" w:ascii="Times New Roman" w:hAnsi="Times New Roman" w:eastAsia="宋体" w:cs="Times New Roman"/>
                <w:color w:val="auto"/>
                <w:sz w:val="24"/>
                <w:szCs w:val="24"/>
                <w:lang w:val="en-US" w:eastAsia="zh-CN"/>
              </w:rPr>
              <w:t>噪</w:t>
            </w:r>
            <w:r>
              <w:rPr>
                <w:rFonts w:hint="default" w:ascii="Times New Roman" w:hAnsi="Times New Roman" w:eastAsia="宋体" w:cs="Times New Roman"/>
                <w:color w:val="auto"/>
                <w:sz w:val="24"/>
                <w:szCs w:val="24"/>
              </w:rPr>
              <w:t>声</w:t>
            </w:r>
            <w:r>
              <w:rPr>
                <w:rFonts w:hint="default" w:ascii="Times New Roman" w:hAnsi="Times New Roman" w:cs="Times New Roman"/>
                <w:color w:val="auto"/>
                <w:sz w:val="24"/>
                <w:szCs w:val="24"/>
                <w:lang w:eastAsia="zh-CN"/>
              </w:rPr>
              <w:t>能</w:t>
            </w:r>
            <w:r>
              <w:rPr>
                <w:rFonts w:hint="default" w:ascii="Times New Roman" w:hAnsi="Times New Roman" w:eastAsia="宋体" w:cs="Times New Roman"/>
                <w:color w:val="auto"/>
                <w:sz w:val="24"/>
                <w:szCs w:val="24"/>
                <w:lang w:val="en-US" w:eastAsia="zh-CN"/>
              </w:rPr>
              <w:t>达标排放，废水不外排，固废妥善处置</w:t>
            </w:r>
            <w:r>
              <w:rPr>
                <w:rFonts w:hint="default" w:ascii="Times New Roman" w:hAnsi="Times New Roman" w:cs="Times New Roman"/>
                <w:color w:val="auto"/>
                <w:sz w:val="24"/>
                <w:szCs w:val="24"/>
                <w:lang w:val="en-US" w:eastAsia="zh-CN"/>
              </w:rPr>
              <w:t>率</w:t>
            </w:r>
            <w:r>
              <w:rPr>
                <w:rFonts w:hint="default" w:ascii="Times New Roman" w:hAnsi="Times New Roman" w:eastAsia="宋体" w:cs="Times New Roman"/>
                <w:color w:val="auto"/>
                <w:sz w:val="24"/>
                <w:szCs w:val="24"/>
                <w:lang w:val="en-US" w:eastAsia="zh-CN"/>
              </w:rPr>
              <w:t>100%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对所在区域的环境质量</w:t>
            </w:r>
            <w:r>
              <w:rPr>
                <w:rFonts w:hint="eastAsia" w:ascii="Times New Roman" w:hAnsi="Times New Roman" w:eastAsia="宋体" w:cs="Times New Roman"/>
                <w:color w:val="auto"/>
                <w:sz w:val="24"/>
                <w:szCs w:val="24"/>
                <w:lang w:val="en-US" w:eastAsia="zh-CN"/>
              </w:rPr>
              <w:t>及环境保护目标</w:t>
            </w:r>
            <w:r>
              <w:rPr>
                <w:rFonts w:hint="default" w:ascii="Times New Roman" w:hAnsi="Times New Roman" w:eastAsia="宋体" w:cs="Times New Roman"/>
                <w:color w:val="auto"/>
                <w:sz w:val="24"/>
                <w:szCs w:val="24"/>
              </w:rPr>
              <w:t>影响较小</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符合达标排放、总量控制和不降低当地环境功能的原则要求，符合国家法律法规要求。</w:t>
            </w:r>
          </w:p>
          <w:p w14:paraId="78F92A97">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rPr>
              <w:t>本项目在严格执行环境保护“三同时”制度，严格进行环境管理，保证项目内的废气处理设施及其他环保设施的正常运行，污染物达标排放的条件下，从环境保护角度论证，本项目的建设是可行的</w:t>
            </w:r>
            <w:r>
              <w:rPr>
                <w:rFonts w:hint="eastAsia" w:ascii="Times New Roman" w:hAnsi="Times New Roman" w:eastAsia="宋体" w:cs="Times New Roman"/>
                <w:b w:val="0"/>
                <w:bCs w:val="0"/>
                <w:color w:val="auto"/>
                <w:sz w:val="24"/>
                <w:szCs w:val="24"/>
                <w:highlight w:val="none"/>
                <w:lang w:val="en-US" w:eastAsia="zh-CN"/>
              </w:rPr>
              <w:t>。</w:t>
            </w:r>
          </w:p>
          <w:p w14:paraId="35F0DD9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p>
        </w:tc>
      </w:tr>
    </w:tbl>
    <w:p w14:paraId="708833CA">
      <w:pPr>
        <w:pStyle w:val="16"/>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F9D5BF9">
      <w:pPr>
        <w:pStyle w:val="28"/>
        <w:jc w:val="center"/>
        <w:outlineLvl w:val="0"/>
        <w:rPr>
          <w:rFonts w:hint="default" w:ascii="黑体" w:hAnsi="黑体" w:eastAsia="黑体"/>
          <w:snapToGrid w:val="0"/>
          <w:color w:val="auto"/>
          <w:sz w:val="30"/>
          <w:szCs w:val="30"/>
          <w:highlight w:val="none"/>
        </w:rPr>
      </w:pPr>
      <w:bookmarkStart w:id="40" w:name="_Toc9427"/>
      <w:bookmarkStart w:id="41" w:name="_Toc6881"/>
      <w:bookmarkStart w:id="42" w:name="_Toc16444"/>
      <w:r>
        <w:rPr>
          <w:rFonts w:hint="default" w:ascii="黑体" w:hAnsi="黑体" w:eastAsia="黑体"/>
          <w:snapToGrid w:val="0"/>
          <w:color w:val="auto"/>
          <w:sz w:val="30"/>
          <w:szCs w:val="30"/>
          <w:highlight w:val="none"/>
        </w:rPr>
        <w:t>附表</w:t>
      </w:r>
      <w:bookmarkEnd w:id="40"/>
      <w:bookmarkEnd w:id="41"/>
      <w:bookmarkStart w:id="43" w:name="_Toc18631"/>
      <w:bookmarkStart w:id="44" w:name="_Toc29979"/>
      <w:r>
        <w:rPr>
          <w:rFonts w:hint="default" w:ascii="黑体" w:hAnsi="黑体" w:eastAsia="黑体"/>
          <w:snapToGrid w:val="0"/>
          <w:color w:val="auto"/>
          <w:sz w:val="30"/>
          <w:szCs w:val="30"/>
          <w:highlight w:val="none"/>
          <w:lang w:eastAsia="zh-CN"/>
        </w:rPr>
        <w:t>：</w:t>
      </w:r>
      <w:r>
        <w:rPr>
          <w:rFonts w:hint="default" w:ascii="黑体" w:hAnsi="黑体" w:eastAsia="黑体"/>
          <w:snapToGrid w:val="0"/>
          <w:color w:val="auto"/>
          <w:sz w:val="30"/>
          <w:szCs w:val="30"/>
          <w:highlight w:val="none"/>
        </w:rPr>
        <w:t>建设项目污染物排放量汇总表</w:t>
      </w:r>
      <w:bookmarkEnd w:id="42"/>
      <w:bookmarkEnd w:id="43"/>
      <w:bookmarkEnd w:id="44"/>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178"/>
        <w:gridCol w:w="1737"/>
        <w:gridCol w:w="1295"/>
        <w:gridCol w:w="1595"/>
        <w:gridCol w:w="1531"/>
        <w:gridCol w:w="1485"/>
        <w:gridCol w:w="1415"/>
        <w:gridCol w:w="1488"/>
      </w:tblGrid>
      <w:tr w14:paraId="3989C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64" w:type="dxa"/>
            <w:tcBorders>
              <w:tl2br w:val="single" w:color="auto" w:sz="4" w:space="0"/>
            </w:tcBorders>
            <w:noWrap w:val="0"/>
            <w:tcMar>
              <w:left w:w="28" w:type="dxa"/>
              <w:right w:w="28" w:type="dxa"/>
            </w:tcMar>
            <w:vAlign w:val="center"/>
          </w:tcPr>
          <w:p w14:paraId="1F20BC17">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14:paraId="742733A0">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2178" w:type="dxa"/>
            <w:noWrap w:val="0"/>
            <w:tcMar>
              <w:left w:w="28" w:type="dxa"/>
              <w:right w:w="28" w:type="dxa"/>
            </w:tcMar>
            <w:vAlign w:val="center"/>
          </w:tcPr>
          <w:p w14:paraId="25A32362">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737" w:type="dxa"/>
            <w:noWrap w:val="0"/>
            <w:tcMar>
              <w:left w:w="28" w:type="dxa"/>
              <w:right w:w="28" w:type="dxa"/>
            </w:tcMar>
            <w:vAlign w:val="center"/>
          </w:tcPr>
          <w:p w14:paraId="6A4C6851">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295" w:type="dxa"/>
            <w:noWrap w:val="0"/>
            <w:tcMar>
              <w:left w:w="28" w:type="dxa"/>
              <w:right w:w="28" w:type="dxa"/>
            </w:tcMar>
            <w:vAlign w:val="center"/>
          </w:tcPr>
          <w:p w14:paraId="6406FA00">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现有工程许可排放量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595" w:type="dxa"/>
            <w:noWrap w:val="0"/>
            <w:tcMar>
              <w:left w:w="28" w:type="dxa"/>
              <w:right w:w="28" w:type="dxa"/>
            </w:tcMar>
            <w:vAlign w:val="center"/>
          </w:tcPr>
          <w:p w14:paraId="79E9C67E">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531" w:type="dxa"/>
            <w:noWrap w:val="0"/>
            <w:tcMar>
              <w:left w:w="28" w:type="dxa"/>
              <w:right w:w="28" w:type="dxa"/>
            </w:tcMar>
            <w:vAlign w:val="center"/>
          </w:tcPr>
          <w:p w14:paraId="5D775990">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485" w:type="dxa"/>
            <w:noWrap w:val="0"/>
            <w:tcMar>
              <w:left w:w="28" w:type="dxa"/>
              <w:right w:w="28" w:type="dxa"/>
            </w:tcMar>
            <w:vAlign w:val="center"/>
          </w:tcPr>
          <w:p w14:paraId="60C2B62F">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14:paraId="638248DD">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（新建项目不填）</w:t>
            </w:r>
          </w:p>
          <w:p w14:paraId="2766B545">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1415" w:type="dxa"/>
            <w:noWrap w:val="0"/>
            <w:tcMar>
              <w:left w:w="28" w:type="dxa"/>
              <w:right w:w="28" w:type="dxa"/>
            </w:tcMar>
            <w:vAlign w:val="center"/>
          </w:tcPr>
          <w:p w14:paraId="6C494D2A">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1488" w:type="dxa"/>
            <w:noWrap w:val="0"/>
            <w:tcMar>
              <w:left w:w="28" w:type="dxa"/>
              <w:right w:w="28" w:type="dxa"/>
            </w:tcMar>
            <w:vAlign w:val="center"/>
          </w:tcPr>
          <w:p w14:paraId="57F7078F">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14:paraId="755903FB">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14:paraId="317DD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64" w:type="dxa"/>
            <w:vMerge w:val="restart"/>
            <w:noWrap w:val="0"/>
            <w:vAlign w:val="center"/>
          </w:tcPr>
          <w:p w14:paraId="1F88D86A">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2178" w:type="dxa"/>
            <w:noWrap w:val="0"/>
            <w:vAlign w:val="center"/>
          </w:tcPr>
          <w:p w14:paraId="4ADBBB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废气量</w:t>
            </w:r>
          </w:p>
        </w:tc>
        <w:tc>
          <w:tcPr>
            <w:tcW w:w="1737" w:type="dxa"/>
            <w:noWrap w:val="0"/>
            <w:vAlign w:val="center"/>
          </w:tcPr>
          <w:p w14:paraId="2FEF4E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4EDB0C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2108F7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099B88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4877万m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w:t>
            </w:r>
          </w:p>
        </w:tc>
        <w:tc>
          <w:tcPr>
            <w:tcW w:w="1485" w:type="dxa"/>
            <w:noWrap w:val="0"/>
            <w:vAlign w:val="center"/>
          </w:tcPr>
          <w:p w14:paraId="150691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4D7A66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4877万m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w:t>
            </w:r>
          </w:p>
        </w:tc>
        <w:tc>
          <w:tcPr>
            <w:tcW w:w="1488" w:type="dxa"/>
            <w:noWrap w:val="0"/>
            <w:vAlign w:val="center"/>
          </w:tcPr>
          <w:p w14:paraId="3EC1A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+4877万m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w:t>
            </w:r>
          </w:p>
        </w:tc>
      </w:tr>
      <w:tr w14:paraId="3EA35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64" w:type="dxa"/>
            <w:vMerge w:val="continue"/>
            <w:noWrap w:val="0"/>
            <w:vAlign w:val="center"/>
          </w:tcPr>
          <w:p w14:paraId="12461854">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2178" w:type="dxa"/>
            <w:noWrap w:val="0"/>
            <w:vAlign w:val="center"/>
          </w:tcPr>
          <w:p w14:paraId="5CB77F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rPr>
            </w:pPr>
            <w:r>
              <w:rPr>
                <w:rFonts w:hint="eastAsia" w:cs="Times New Roman"/>
                <w:color w:val="auto"/>
                <w:sz w:val="21"/>
                <w:szCs w:val="21"/>
                <w:highlight w:val="none"/>
                <w:lang w:val="en-US" w:eastAsia="zh-CN"/>
              </w:rPr>
              <w:t>VOCs</w:t>
            </w:r>
          </w:p>
        </w:tc>
        <w:tc>
          <w:tcPr>
            <w:tcW w:w="1737" w:type="dxa"/>
            <w:noWrap w:val="0"/>
            <w:vAlign w:val="center"/>
          </w:tcPr>
          <w:p w14:paraId="0FC027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7BC4BF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45BF6E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1EB928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2.778</w:t>
            </w:r>
            <w:r>
              <w:rPr>
                <w:rFonts w:hint="default" w:ascii="Times New Roman" w:hAnsi="Times New Roman" w:eastAsia="宋体" w:cs="Times New Roman"/>
                <w:color w:val="auto"/>
                <w:sz w:val="21"/>
                <w:szCs w:val="21"/>
                <w:highlight w:val="none"/>
                <w:lang w:val="en-US" w:eastAsia="zh-CN"/>
              </w:rPr>
              <w:t>t/a</w:t>
            </w:r>
          </w:p>
        </w:tc>
        <w:tc>
          <w:tcPr>
            <w:tcW w:w="1485" w:type="dxa"/>
            <w:noWrap w:val="0"/>
            <w:vAlign w:val="center"/>
          </w:tcPr>
          <w:p w14:paraId="3DF6BA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5ABA0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eastAsia" w:cs="Times New Roman"/>
                <w:color w:val="auto"/>
                <w:sz w:val="21"/>
                <w:szCs w:val="21"/>
                <w:highlight w:val="none"/>
                <w:lang w:val="en-US" w:eastAsia="zh-CN"/>
              </w:rPr>
              <w:t>2.778</w:t>
            </w:r>
            <w:r>
              <w:rPr>
                <w:rFonts w:hint="default" w:ascii="Times New Roman" w:hAnsi="Times New Roman" w:eastAsia="宋体" w:cs="Times New Roman"/>
                <w:color w:val="auto"/>
                <w:sz w:val="21"/>
                <w:szCs w:val="21"/>
                <w:highlight w:val="none"/>
                <w:lang w:val="en-US" w:eastAsia="zh-CN"/>
              </w:rPr>
              <w:t>t/a</w:t>
            </w:r>
          </w:p>
        </w:tc>
        <w:tc>
          <w:tcPr>
            <w:tcW w:w="1488" w:type="dxa"/>
            <w:noWrap w:val="0"/>
            <w:vAlign w:val="center"/>
          </w:tcPr>
          <w:p w14:paraId="6CBB94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2.778</w:t>
            </w:r>
            <w:r>
              <w:rPr>
                <w:rFonts w:hint="default" w:ascii="Times New Roman" w:hAnsi="Times New Roman" w:eastAsia="宋体" w:cs="Times New Roman"/>
                <w:color w:val="auto"/>
                <w:sz w:val="21"/>
                <w:szCs w:val="21"/>
                <w:highlight w:val="none"/>
                <w:lang w:val="en-US" w:eastAsia="zh-CN"/>
              </w:rPr>
              <w:t>t/a</w:t>
            </w:r>
          </w:p>
        </w:tc>
      </w:tr>
      <w:tr w14:paraId="4B270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64" w:type="dxa"/>
            <w:vMerge w:val="continue"/>
            <w:noWrap w:val="0"/>
            <w:vAlign w:val="center"/>
          </w:tcPr>
          <w:p w14:paraId="0452F7AA">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2178" w:type="dxa"/>
            <w:noWrap w:val="0"/>
            <w:vAlign w:val="center"/>
          </w:tcPr>
          <w:p w14:paraId="33CFF0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1737" w:type="dxa"/>
            <w:noWrap w:val="0"/>
            <w:vAlign w:val="center"/>
          </w:tcPr>
          <w:p w14:paraId="68C0F0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5BA7E9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6603B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416807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0.0215</w:t>
            </w:r>
            <w:r>
              <w:rPr>
                <w:rFonts w:hint="default" w:ascii="Times New Roman" w:hAnsi="Times New Roman" w:eastAsia="宋体" w:cs="Times New Roman"/>
                <w:color w:val="auto"/>
                <w:sz w:val="21"/>
                <w:szCs w:val="21"/>
                <w:highlight w:val="none"/>
                <w:lang w:val="en-US" w:eastAsia="zh-CN"/>
              </w:rPr>
              <w:t>t/a</w:t>
            </w:r>
          </w:p>
        </w:tc>
        <w:tc>
          <w:tcPr>
            <w:tcW w:w="1485" w:type="dxa"/>
            <w:noWrap w:val="0"/>
            <w:vAlign w:val="center"/>
          </w:tcPr>
          <w:p w14:paraId="470DDD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7AD174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0.0215</w:t>
            </w:r>
            <w:r>
              <w:rPr>
                <w:rFonts w:hint="default" w:ascii="Times New Roman" w:hAnsi="Times New Roman" w:eastAsia="宋体" w:cs="Times New Roman"/>
                <w:color w:val="auto"/>
                <w:sz w:val="21"/>
                <w:szCs w:val="21"/>
                <w:highlight w:val="none"/>
                <w:lang w:val="en-US" w:eastAsia="zh-CN"/>
              </w:rPr>
              <w:t>t/a</w:t>
            </w:r>
          </w:p>
        </w:tc>
        <w:tc>
          <w:tcPr>
            <w:tcW w:w="1488" w:type="dxa"/>
            <w:noWrap w:val="0"/>
            <w:vAlign w:val="center"/>
          </w:tcPr>
          <w:p w14:paraId="61F0DE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0.0215</w:t>
            </w:r>
            <w:r>
              <w:rPr>
                <w:rFonts w:hint="default" w:ascii="Times New Roman" w:hAnsi="Times New Roman" w:eastAsia="宋体" w:cs="Times New Roman"/>
                <w:color w:val="auto"/>
                <w:sz w:val="21"/>
                <w:szCs w:val="21"/>
                <w:highlight w:val="none"/>
                <w:lang w:val="en-US" w:eastAsia="zh-CN"/>
              </w:rPr>
              <w:t>t/a</w:t>
            </w:r>
          </w:p>
        </w:tc>
      </w:tr>
      <w:tr w14:paraId="484F7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64" w:type="dxa"/>
            <w:vMerge w:val="continue"/>
            <w:noWrap w:val="0"/>
            <w:vAlign w:val="center"/>
          </w:tcPr>
          <w:p w14:paraId="1C8DA292">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178" w:type="dxa"/>
            <w:noWrap w:val="0"/>
            <w:vAlign w:val="center"/>
          </w:tcPr>
          <w:p w14:paraId="391DB3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1737" w:type="dxa"/>
            <w:noWrap w:val="0"/>
            <w:vAlign w:val="center"/>
          </w:tcPr>
          <w:p w14:paraId="270383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0F927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794E62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7AFE7B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w:t>
            </w:r>
            <w:r>
              <w:rPr>
                <w:rFonts w:hint="eastAsia" w:cs="Times New Roman"/>
                <w:snapToGrid w:val="0"/>
                <w:color w:val="auto"/>
                <w:kern w:val="21"/>
                <w:sz w:val="21"/>
                <w:szCs w:val="21"/>
                <w:highlight w:val="none"/>
                <w:lang w:val="en-US" w:eastAsia="zh-CN"/>
              </w:rPr>
              <w:t>003</w:t>
            </w:r>
            <w:r>
              <w:rPr>
                <w:rFonts w:hint="default" w:ascii="Times New Roman" w:hAnsi="Times New Roman" w:eastAsia="宋体" w:cs="Times New Roman"/>
                <w:color w:val="auto"/>
                <w:sz w:val="21"/>
                <w:szCs w:val="21"/>
                <w:highlight w:val="none"/>
                <w:lang w:val="en-US" w:eastAsia="zh-CN"/>
              </w:rPr>
              <w:t>t/a</w:t>
            </w:r>
          </w:p>
        </w:tc>
        <w:tc>
          <w:tcPr>
            <w:tcW w:w="1485" w:type="dxa"/>
            <w:noWrap w:val="0"/>
            <w:vAlign w:val="center"/>
          </w:tcPr>
          <w:p w14:paraId="03B92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p>
        </w:tc>
        <w:tc>
          <w:tcPr>
            <w:tcW w:w="1415" w:type="dxa"/>
            <w:noWrap w:val="0"/>
            <w:vAlign w:val="center"/>
          </w:tcPr>
          <w:p w14:paraId="37FD3B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0.</w:t>
            </w:r>
            <w:r>
              <w:rPr>
                <w:rFonts w:hint="eastAsia" w:cs="Times New Roman"/>
                <w:snapToGrid w:val="0"/>
                <w:color w:val="auto"/>
                <w:kern w:val="21"/>
                <w:sz w:val="21"/>
                <w:szCs w:val="21"/>
                <w:highlight w:val="none"/>
                <w:lang w:val="en-US" w:eastAsia="zh-CN"/>
              </w:rPr>
              <w:t>003</w:t>
            </w:r>
            <w:r>
              <w:rPr>
                <w:rFonts w:hint="default" w:ascii="Times New Roman" w:hAnsi="Times New Roman" w:eastAsia="宋体" w:cs="Times New Roman"/>
                <w:color w:val="auto"/>
                <w:sz w:val="21"/>
                <w:szCs w:val="21"/>
                <w:highlight w:val="none"/>
                <w:lang w:val="en-US" w:eastAsia="zh-CN"/>
              </w:rPr>
              <w:t>t/a</w:t>
            </w:r>
          </w:p>
        </w:tc>
        <w:tc>
          <w:tcPr>
            <w:tcW w:w="1488" w:type="dxa"/>
            <w:noWrap w:val="0"/>
            <w:vAlign w:val="center"/>
          </w:tcPr>
          <w:p w14:paraId="16426E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snapToGrid w:val="0"/>
                <w:color w:val="auto"/>
                <w:kern w:val="21"/>
                <w:sz w:val="21"/>
                <w:szCs w:val="21"/>
                <w:highlight w:val="none"/>
                <w:lang w:val="en-US" w:eastAsia="zh-CN"/>
              </w:rPr>
              <w:t>0.</w:t>
            </w:r>
            <w:r>
              <w:rPr>
                <w:rFonts w:hint="eastAsia" w:cs="Times New Roman"/>
                <w:snapToGrid w:val="0"/>
                <w:color w:val="auto"/>
                <w:kern w:val="21"/>
                <w:sz w:val="21"/>
                <w:szCs w:val="21"/>
                <w:highlight w:val="none"/>
                <w:lang w:val="en-US" w:eastAsia="zh-CN"/>
              </w:rPr>
              <w:t>003</w:t>
            </w:r>
            <w:r>
              <w:rPr>
                <w:rFonts w:hint="default" w:ascii="Times New Roman" w:hAnsi="Times New Roman" w:eastAsia="宋体" w:cs="Times New Roman"/>
                <w:color w:val="auto"/>
                <w:sz w:val="21"/>
                <w:szCs w:val="21"/>
                <w:highlight w:val="none"/>
                <w:lang w:val="en-US" w:eastAsia="zh-CN"/>
              </w:rPr>
              <w:t>t/a</w:t>
            </w:r>
          </w:p>
        </w:tc>
      </w:tr>
      <w:tr w14:paraId="40701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64" w:type="dxa"/>
            <w:vMerge w:val="continue"/>
            <w:noWrap w:val="0"/>
            <w:vAlign w:val="center"/>
          </w:tcPr>
          <w:p w14:paraId="4B12248A">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178" w:type="dxa"/>
            <w:noWrap w:val="0"/>
            <w:vAlign w:val="center"/>
          </w:tcPr>
          <w:p w14:paraId="6D1EE3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NOx</w:t>
            </w:r>
          </w:p>
        </w:tc>
        <w:tc>
          <w:tcPr>
            <w:tcW w:w="1737" w:type="dxa"/>
            <w:noWrap w:val="0"/>
            <w:vAlign w:val="center"/>
          </w:tcPr>
          <w:p w14:paraId="339BFE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57AB35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509AC0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1243F3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0.1403</w:t>
            </w:r>
            <w:r>
              <w:rPr>
                <w:rFonts w:hint="default" w:ascii="Times New Roman" w:hAnsi="Times New Roman" w:eastAsia="宋体" w:cs="Times New Roman"/>
                <w:color w:val="auto"/>
                <w:sz w:val="21"/>
                <w:szCs w:val="21"/>
                <w:highlight w:val="none"/>
                <w:lang w:val="en-US" w:eastAsia="zh-CN"/>
              </w:rPr>
              <w:t>t/a</w:t>
            </w:r>
          </w:p>
        </w:tc>
        <w:tc>
          <w:tcPr>
            <w:tcW w:w="1485" w:type="dxa"/>
            <w:noWrap w:val="0"/>
            <w:vAlign w:val="center"/>
          </w:tcPr>
          <w:p w14:paraId="4BBDCB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1D1B2C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0.1403</w:t>
            </w:r>
            <w:r>
              <w:rPr>
                <w:rFonts w:hint="default" w:ascii="Times New Roman" w:hAnsi="Times New Roman" w:eastAsia="宋体" w:cs="Times New Roman"/>
                <w:color w:val="auto"/>
                <w:sz w:val="21"/>
                <w:szCs w:val="21"/>
                <w:highlight w:val="none"/>
                <w:lang w:val="en-US" w:eastAsia="zh-CN"/>
              </w:rPr>
              <w:t>t/a</w:t>
            </w:r>
          </w:p>
        </w:tc>
        <w:tc>
          <w:tcPr>
            <w:tcW w:w="1488" w:type="dxa"/>
            <w:noWrap w:val="0"/>
            <w:vAlign w:val="center"/>
          </w:tcPr>
          <w:p w14:paraId="42180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0.1403</w:t>
            </w:r>
            <w:r>
              <w:rPr>
                <w:rFonts w:hint="default" w:ascii="Times New Roman" w:hAnsi="Times New Roman" w:eastAsia="宋体" w:cs="Times New Roman"/>
                <w:color w:val="auto"/>
                <w:sz w:val="21"/>
                <w:szCs w:val="21"/>
                <w:highlight w:val="none"/>
                <w:lang w:val="en-US" w:eastAsia="zh-CN"/>
              </w:rPr>
              <w:t>t/a</w:t>
            </w:r>
          </w:p>
        </w:tc>
      </w:tr>
      <w:tr w14:paraId="12F1A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064" w:type="dxa"/>
            <w:vMerge w:val="continue"/>
            <w:noWrap w:val="0"/>
            <w:vAlign w:val="center"/>
          </w:tcPr>
          <w:p w14:paraId="647B6803">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178" w:type="dxa"/>
            <w:noWrap w:val="0"/>
            <w:vAlign w:val="center"/>
          </w:tcPr>
          <w:p w14:paraId="55C251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甲醛</w:t>
            </w:r>
          </w:p>
        </w:tc>
        <w:tc>
          <w:tcPr>
            <w:tcW w:w="1737" w:type="dxa"/>
            <w:noWrap w:val="0"/>
            <w:vAlign w:val="center"/>
          </w:tcPr>
          <w:p w14:paraId="576184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0AF883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0CA282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53BFCA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238</w:t>
            </w:r>
            <w:r>
              <w:rPr>
                <w:rFonts w:hint="default" w:ascii="Times New Roman" w:hAnsi="Times New Roman" w:eastAsia="宋体" w:cs="Times New Roman"/>
                <w:color w:val="auto"/>
                <w:sz w:val="21"/>
                <w:szCs w:val="21"/>
                <w:highlight w:val="none"/>
                <w:lang w:val="en-US" w:eastAsia="zh-CN"/>
              </w:rPr>
              <w:t>t/a</w:t>
            </w:r>
          </w:p>
        </w:tc>
        <w:tc>
          <w:tcPr>
            <w:tcW w:w="1485" w:type="dxa"/>
            <w:noWrap w:val="0"/>
            <w:vAlign w:val="center"/>
          </w:tcPr>
          <w:p w14:paraId="237EFB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1B1004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238</w:t>
            </w:r>
            <w:r>
              <w:rPr>
                <w:rFonts w:hint="default" w:ascii="Times New Roman" w:hAnsi="Times New Roman" w:eastAsia="宋体" w:cs="Times New Roman"/>
                <w:color w:val="auto"/>
                <w:sz w:val="21"/>
                <w:szCs w:val="21"/>
                <w:highlight w:val="none"/>
                <w:lang w:val="en-US" w:eastAsia="zh-CN"/>
              </w:rPr>
              <w:t>t/a</w:t>
            </w:r>
          </w:p>
        </w:tc>
        <w:tc>
          <w:tcPr>
            <w:tcW w:w="1488" w:type="dxa"/>
            <w:noWrap w:val="0"/>
            <w:vAlign w:val="center"/>
          </w:tcPr>
          <w:p w14:paraId="2C6F4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238</w:t>
            </w:r>
            <w:r>
              <w:rPr>
                <w:rFonts w:hint="default" w:ascii="Times New Roman" w:hAnsi="Times New Roman" w:eastAsia="宋体" w:cs="Times New Roman"/>
                <w:color w:val="auto"/>
                <w:sz w:val="21"/>
                <w:szCs w:val="21"/>
                <w:highlight w:val="none"/>
                <w:lang w:val="en-US" w:eastAsia="zh-CN"/>
              </w:rPr>
              <w:t>t/a</w:t>
            </w:r>
          </w:p>
        </w:tc>
      </w:tr>
      <w:tr w14:paraId="04A0C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64" w:type="dxa"/>
            <w:vMerge w:val="restart"/>
            <w:noWrap w:val="0"/>
            <w:vAlign w:val="center"/>
          </w:tcPr>
          <w:p w14:paraId="1D091011">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2178" w:type="dxa"/>
            <w:noWrap w:val="0"/>
            <w:vAlign w:val="center"/>
          </w:tcPr>
          <w:p w14:paraId="065D7A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737" w:type="dxa"/>
            <w:noWrap w:val="0"/>
            <w:vAlign w:val="center"/>
          </w:tcPr>
          <w:p w14:paraId="0B7889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67C19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52708B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6C5AA2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85" w:type="dxa"/>
            <w:noWrap w:val="0"/>
            <w:vAlign w:val="center"/>
          </w:tcPr>
          <w:p w14:paraId="1071BD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0DDB87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88" w:type="dxa"/>
            <w:noWrap w:val="0"/>
            <w:vAlign w:val="center"/>
          </w:tcPr>
          <w:p w14:paraId="291DA2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66B1E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064" w:type="dxa"/>
            <w:vMerge w:val="continue"/>
            <w:noWrap w:val="0"/>
            <w:vAlign w:val="center"/>
          </w:tcPr>
          <w:p w14:paraId="5357419D">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2178" w:type="dxa"/>
            <w:noWrap w:val="0"/>
            <w:vAlign w:val="center"/>
          </w:tcPr>
          <w:p w14:paraId="36177F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737" w:type="dxa"/>
            <w:noWrap w:val="0"/>
            <w:vAlign w:val="center"/>
          </w:tcPr>
          <w:p w14:paraId="337259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3504AF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1BF023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016727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85" w:type="dxa"/>
            <w:noWrap w:val="0"/>
            <w:vAlign w:val="center"/>
          </w:tcPr>
          <w:p w14:paraId="24630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670E85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88" w:type="dxa"/>
            <w:noWrap w:val="0"/>
            <w:vAlign w:val="center"/>
          </w:tcPr>
          <w:p w14:paraId="6906E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r>
      <w:tr w14:paraId="6455C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064" w:type="dxa"/>
            <w:vMerge w:val="restart"/>
            <w:noWrap w:val="0"/>
            <w:vAlign w:val="center"/>
          </w:tcPr>
          <w:p w14:paraId="1397EFE5">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一般工业固体废物</w:t>
            </w:r>
          </w:p>
        </w:tc>
        <w:tc>
          <w:tcPr>
            <w:tcW w:w="2178" w:type="dxa"/>
            <w:noWrap w:val="0"/>
            <w:vAlign w:val="center"/>
          </w:tcPr>
          <w:p w14:paraId="6C2FDB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不合格品</w:t>
            </w:r>
          </w:p>
        </w:tc>
        <w:tc>
          <w:tcPr>
            <w:tcW w:w="1737" w:type="dxa"/>
            <w:noWrap w:val="0"/>
            <w:vAlign w:val="center"/>
          </w:tcPr>
          <w:p w14:paraId="60A329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1F2C7A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6D62C8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70E2BC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Style w:val="68"/>
                <w:rFonts w:hint="eastAsia" w:cs="Times New Roman"/>
                <w:b w:val="0"/>
                <w:bCs/>
                <w:color w:val="auto"/>
                <w:sz w:val="21"/>
                <w:szCs w:val="21"/>
                <w:highlight w:val="none"/>
                <w:vertAlign w:val="baseline"/>
                <w:lang w:val="en-US" w:eastAsia="zh-CN"/>
              </w:rPr>
              <w:t>0.061</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c>
          <w:tcPr>
            <w:tcW w:w="1485" w:type="dxa"/>
            <w:noWrap w:val="0"/>
            <w:vAlign w:val="center"/>
          </w:tcPr>
          <w:p w14:paraId="78FB35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044351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Style w:val="68"/>
                <w:rFonts w:hint="eastAsia" w:cs="Times New Roman"/>
                <w:b w:val="0"/>
                <w:bCs/>
                <w:color w:val="auto"/>
                <w:sz w:val="21"/>
                <w:szCs w:val="21"/>
                <w:highlight w:val="none"/>
                <w:vertAlign w:val="baseline"/>
                <w:lang w:val="en-US" w:eastAsia="zh-CN"/>
              </w:rPr>
              <w:t>0.061</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c>
          <w:tcPr>
            <w:tcW w:w="1488" w:type="dxa"/>
            <w:noWrap w:val="0"/>
            <w:vAlign w:val="center"/>
          </w:tcPr>
          <w:p w14:paraId="4D6DFE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w:t>
            </w:r>
            <w:r>
              <w:rPr>
                <w:rStyle w:val="68"/>
                <w:rFonts w:hint="eastAsia" w:cs="Times New Roman"/>
                <w:b w:val="0"/>
                <w:bCs/>
                <w:color w:val="auto"/>
                <w:sz w:val="21"/>
                <w:szCs w:val="21"/>
                <w:highlight w:val="none"/>
                <w:vertAlign w:val="baseline"/>
                <w:lang w:val="en-US" w:eastAsia="zh-CN"/>
              </w:rPr>
              <w:t>0.061</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r>
      <w:tr w14:paraId="62592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064" w:type="dxa"/>
            <w:vMerge w:val="continue"/>
            <w:noWrap w:val="0"/>
            <w:vAlign w:val="center"/>
          </w:tcPr>
          <w:p w14:paraId="58D6AA96">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leftChars="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2178" w:type="dxa"/>
            <w:noWrap w:val="0"/>
            <w:vAlign w:val="center"/>
          </w:tcPr>
          <w:p w14:paraId="18CA7B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b w:val="0"/>
                <w:bCs/>
                <w:snapToGrid w:val="0"/>
                <w:color w:val="auto"/>
                <w:kern w:val="0"/>
                <w:sz w:val="21"/>
                <w:szCs w:val="21"/>
                <w:highlight w:val="none"/>
                <w:vertAlign w:val="baseline"/>
                <w:lang w:val="en-US" w:eastAsia="zh-CN" w:bidi="ar-SA"/>
              </w:rPr>
              <w:t>废</w:t>
            </w:r>
            <w:r>
              <w:rPr>
                <w:rFonts w:hint="eastAsia" w:cs="Times New Roman"/>
                <w:b w:val="0"/>
                <w:bCs/>
                <w:snapToGrid w:val="0"/>
                <w:color w:val="auto"/>
                <w:kern w:val="0"/>
                <w:sz w:val="21"/>
                <w:szCs w:val="21"/>
                <w:highlight w:val="none"/>
                <w:vertAlign w:val="baseline"/>
                <w:lang w:val="en-US" w:eastAsia="zh-CN" w:bidi="ar-SA"/>
              </w:rPr>
              <w:t>边角料</w:t>
            </w:r>
          </w:p>
        </w:tc>
        <w:tc>
          <w:tcPr>
            <w:tcW w:w="1737" w:type="dxa"/>
            <w:noWrap w:val="0"/>
            <w:vAlign w:val="center"/>
          </w:tcPr>
          <w:p w14:paraId="05C4E8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1CE09C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696962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6411EE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color w:val="auto"/>
                <w:kern w:val="0"/>
                <w:sz w:val="21"/>
                <w:szCs w:val="21"/>
                <w:highlight w:val="none"/>
                <w:u w:val="none"/>
                <w:lang w:val="en-US" w:eastAsia="zh-CN" w:bidi="ar"/>
              </w:rPr>
            </w:pPr>
            <w:r>
              <w:rPr>
                <w:rStyle w:val="68"/>
                <w:rFonts w:hint="eastAsia" w:cs="Times New Roman"/>
                <w:b w:val="0"/>
                <w:bCs/>
                <w:color w:val="auto"/>
                <w:sz w:val="21"/>
                <w:szCs w:val="21"/>
                <w:highlight w:val="none"/>
                <w:vertAlign w:val="baseline"/>
                <w:lang w:val="en-US" w:eastAsia="zh-CN"/>
              </w:rPr>
              <w:t>2</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c>
          <w:tcPr>
            <w:tcW w:w="1485" w:type="dxa"/>
            <w:noWrap w:val="0"/>
            <w:vAlign w:val="center"/>
          </w:tcPr>
          <w:p w14:paraId="05B001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16E5CC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color w:val="auto"/>
                <w:kern w:val="0"/>
                <w:sz w:val="21"/>
                <w:szCs w:val="21"/>
                <w:highlight w:val="none"/>
                <w:u w:val="none"/>
                <w:lang w:val="en-US" w:eastAsia="zh-CN" w:bidi="ar"/>
              </w:rPr>
            </w:pPr>
            <w:r>
              <w:rPr>
                <w:rStyle w:val="68"/>
                <w:rFonts w:hint="eastAsia" w:cs="Times New Roman"/>
                <w:b w:val="0"/>
                <w:bCs/>
                <w:color w:val="auto"/>
                <w:sz w:val="21"/>
                <w:szCs w:val="21"/>
                <w:highlight w:val="none"/>
                <w:vertAlign w:val="baseline"/>
                <w:lang w:val="en-US" w:eastAsia="zh-CN"/>
              </w:rPr>
              <w:t>2</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c>
          <w:tcPr>
            <w:tcW w:w="1488" w:type="dxa"/>
            <w:noWrap w:val="0"/>
            <w:vAlign w:val="center"/>
          </w:tcPr>
          <w:p w14:paraId="779D3E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w:t>
            </w:r>
            <w:r>
              <w:rPr>
                <w:rStyle w:val="68"/>
                <w:rFonts w:hint="eastAsia" w:cs="Times New Roman"/>
                <w:b w:val="0"/>
                <w:bCs/>
                <w:color w:val="auto"/>
                <w:sz w:val="21"/>
                <w:szCs w:val="21"/>
                <w:highlight w:val="none"/>
                <w:vertAlign w:val="baseline"/>
                <w:lang w:val="en-US" w:eastAsia="zh-CN"/>
              </w:rPr>
              <w:t>2</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r>
      <w:tr w14:paraId="0FC5F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64" w:type="dxa"/>
            <w:vMerge w:val="continue"/>
            <w:noWrap w:val="0"/>
            <w:vAlign w:val="center"/>
          </w:tcPr>
          <w:p w14:paraId="09EC335E">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2178" w:type="dxa"/>
            <w:noWrap w:val="0"/>
            <w:vAlign w:val="center"/>
          </w:tcPr>
          <w:p w14:paraId="04E9CA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废包装材料</w:t>
            </w:r>
          </w:p>
        </w:tc>
        <w:tc>
          <w:tcPr>
            <w:tcW w:w="1737" w:type="dxa"/>
            <w:noWrap w:val="0"/>
            <w:vAlign w:val="center"/>
          </w:tcPr>
          <w:p w14:paraId="74DE18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29FC9B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503BF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6A1FB8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Style w:val="68"/>
                <w:rFonts w:hint="eastAsia" w:cs="Times New Roman"/>
                <w:b w:val="0"/>
                <w:bCs/>
                <w:color w:val="auto"/>
                <w:sz w:val="21"/>
                <w:szCs w:val="21"/>
                <w:highlight w:val="none"/>
                <w:vertAlign w:val="baseline"/>
                <w:lang w:val="en-US" w:eastAsia="zh-CN"/>
              </w:rPr>
              <w:t>0.5</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c>
          <w:tcPr>
            <w:tcW w:w="1485" w:type="dxa"/>
            <w:noWrap w:val="0"/>
            <w:vAlign w:val="center"/>
          </w:tcPr>
          <w:p w14:paraId="549FC8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7BB1BD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Style w:val="68"/>
                <w:rFonts w:hint="eastAsia" w:cs="Times New Roman"/>
                <w:b w:val="0"/>
                <w:bCs/>
                <w:color w:val="auto"/>
                <w:sz w:val="21"/>
                <w:szCs w:val="21"/>
                <w:highlight w:val="none"/>
                <w:vertAlign w:val="baseline"/>
                <w:lang w:val="en-US" w:eastAsia="zh-CN"/>
              </w:rPr>
              <w:t>0.5</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c>
          <w:tcPr>
            <w:tcW w:w="1488" w:type="dxa"/>
            <w:noWrap w:val="0"/>
            <w:vAlign w:val="center"/>
          </w:tcPr>
          <w:p w14:paraId="4EDA20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Style w:val="68"/>
                <w:rFonts w:hint="eastAsia" w:cs="Times New Roman"/>
                <w:b w:val="0"/>
                <w:bCs/>
                <w:color w:val="auto"/>
                <w:sz w:val="21"/>
                <w:szCs w:val="21"/>
                <w:highlight w:val="none"/>
                <w:vertAlign w:val="baseline"/>
                <w:lang w:val="en-US" w:eastAsia="zh-CN"/>
              </w:rPr>
              <w:t>+0.5</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r>
      <w:tr w14:paraId="37798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64" w:type="dxa"/>
            <w:vMerge w:val="continue"/>
            <w:noWrap w:val="0"/>
            <w:vAlign w:val="center"/>
          </w:tcPr>
          <w:p w14:paraId="2DE936E6">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2178" w:type="dxa"/>
            <w:noWrap w:val="0"/>
            <w:vAlign w:val="center"/>
          </w:tcPr>
          <w:p w14:paraId="2D06B6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污泥</w:t>
            </w:r>
          </w:p>
        </w:tc>
        <w:tc>
          <w:tcPr>
            <w:tcW w:w="1737" w:type="dxa"/>
            <w:noWrap w:val="0"/>
            <w:vAlign w:val="center"/>
          </w:tcPr>
          <w:p w14:paraId="795B0F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16F831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08CB48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32388B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0.787</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5" w:type="dxa"/>
            <w:noWrap w:val="0"/>
            <w:vAlign w:val="center"/>
          </w:tcPr>
          <w:p w14:paraId="154E84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0B14B4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0.787</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8" w:type="dxa"/>
            <w:noWrap w:val="0"/>
            <w:vAlign w:val="center"/>
          </w:tcPr>
          <w:p w14:paraId="6DD3A4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w:t>
            </w:r>
            <w:r>
              <w:rPr>
                <w:rFonts w:hint="eastAsia" w:cs="Times New Roman"/>
                <w:i w:val="0"/>
                <w:color w:val="auto"/>
                <w:kern w:val="0"/>
                <w:sz w:val="21"/>
                <w:szCs w:val="21"/>
                <w:highlight w:val="none"/>
                <w:u w:val="none"/>
                <w:lang w:val="en-US" w:eastAsia="zh-CN" w:bidi="ar"/>
              </w:rPr>
              <w:t>0.787</w:t>
            </w:r>
            <w:r>
              <w:rPr>
                <w:rFonts w:hint="default" w:ascii="Times New Roman" w:hAnsi="Times New Roman" w:eastAsia="宋体" w:cs="Times New Roman"/>
                <w:i w:val="0"/>
                <w:color w:val="auto"/>
                <w:kern w:val="0"/>
                <w:sz w:val="21"/>
                <w:szCs w:val="21"/>
                <w:highlight w:val="none"/>
                <w:u w:val="none"/>
                <w:lang w:val="en-US" w:eastAsia="zh-CN" w:bidi="ar"/>
              </w:rPr>
              <w:t>t/a</w:t>
            </w:r>
          </w:p>
        </w:tc>
      </w:tr>
      <w:tr w14:paraId="68D76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064" w:type="dxa"/>
            <w:vMerge w:val="continue"/>
            <w:noWrap w:val="0"/>
            <w:vAlign w:val="center"/>
          </w:tcPr>
          <w:p w14:paraId="2E0EF149">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2178" w:type="dxa"/>
            <w:noWrap w:val="0"/>
            <w:vAlign w:val="center"/>
          </w:tcPr>
          <w:p w14:paraId="1B7B6E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p>
        </w:tc>
        <w:tc>
          <w:tcPr>
            <w:tcW w:w="1737" w:type="dxa"/>
            <w:noWrap w:val="0"/>
            <w:vAlign w:val="center"/>
          </w:tcPr>
          <w:p w14:paraId="4421FE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4AD2B4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1BD3DA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4FD80F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2.4</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5" w:type="dxa"/>
            <w:noWrap w:val="0"/>
            <w:vAlign w:val="center"/>
          </w:tcPr>
          <w:p w14:paraId="163346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3A28D0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2.4</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8" w:type="dxa"/>
            <w:noWrap w:val="0"/>
            <w:vAlign w:val="center"/>
          </w:tcPr>
          <w:p w14:paraId="201893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pacing w:val="-3"/>
                <w:sz w:val="21"/>
                <w:szCs w:val="21"/>
                <w:highlight w:val="none"/>
                <w:lang w:val="en-US" w:eastAsia="zh-CN"/>
              </w:rPr>
              <w:t>+</w:t>
            </w:r>
            <w:r>
              <w:rPr>
                <w:rFonts w:hint="eastAsia" w:cs="Times New Roman"/>
                <w:i w:val="0"/>
                <w:color w:val="auto"/>
                <w:kern w:val="0"/>
                <w:sz w:val="21"/>
                <w:szCs w:val="21"/>
                <w:highlight w:val="none"/>
                <w:u w:val="none"/>
                <w:lang w:val="en-US" w:eastAsia="zh-CN" w:bidi="ar"/>
              </w:rPr>
              <w:t>2.4</w:t>
            </w:r>
            <w:r>
              <w:rPr>
                <w:rFonts w:hint="default" w:ascii="Times New Roman" w:hAnsi="Times New Roman" w:eastAsia="宋体" w:cs="Times New Roman"/>
                <w:i w:val="0"/>
                <w:color w:val="auto"/>
                <w:kern w:val="0"/>
                <w:sz w:val="21"/>
                <w:szCs w:val="21"/>
                <w:highlight w:val="none"/>
                <w:u w:val="none"/>
                <w:lang w:val="en-US" w:eastAsia="zh-CN" w:bidi="ar"/>
              </w:rPr>
              <w:t>t/a</w:t>
            </w:r>
          </w:p>
        </w:tc>
      </w:tr>
      <w:tr w14:paraId="2CA37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64" w:type="dxa"/>
            <w:vMerge w:val="restart"/>
            <w:noWrap w:val="0"/>
            <w:vAlign w:val="center"/>
          </w:tcPr>
          <w:p w14:paraId="4199E191">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2178" w:type="dxa"/>
            <w:noWrap w:val="0"/>
            <w:vAlign w:val="center"/>
          </w:tcPr>
          <w:p w14:paraId="406D13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snapToGrid w:val="0"/>
                <w:color w:val="auto"/>
                <w:kern w:val="21"/>
                <w:sz w:val="21"/>
                <w:szCs w:val="21"/>
                <w:highlight w:val="none"/>
              </w:rPr>
            </w:pPr>
            <w:r>
              <w:rPr>
                <w:rFonts w:hint="eastAsia" w:cs="Times New Roman"/>
                <w:snapToGrid w:val="0"/>
                <w:color w:val="auto"/>
                <w:kern w:val="21"/>
                <w:szCs w:val="21"/>
                <w:highlight w:val="none"/>
                <w:lang w:val="en-US" w:eastAsia="zh-CN"/>
              </w:rPr>
              <w:t>废矿物油</w:t>
            </w:r>
          </w:p>
        </w:tc>
        <w:tc>
          <w:tcPr>
            <w:tcW w:w="1737" w:type="dxa"/>
            <w:noWrap w:val="0"/>
            <w:vAlign w:val="center"/>
          </w:tcPr>
          <w:p w14:paraId="3E0565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55704E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33A4DF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79DFEB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cs="Times New Roman"/>
                <w:i w:val="0"/>
                <w:color w:val="auto"/>
                <w:kern w:val="0"/>
                <w:sz w:val="21"/>
                <w:szCs w:val="21"/>
                <w:highlight w:val="none"/>
                <w:u w:val="none"/>
                <w:lang w:val="en-US" w:eastAsia="zh-CN" w:bidi="ar"/>
              </w:rPr>
              <w:t>35</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5" w:type="dxa"/>
            <w:noWrap w:val="0"/>
            <w:vAlign w:val="center"/>
          </w:tcPr>
          <w:p w14:paraId="14946C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3AB6D6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Cs/>
                <w:color w:val="auto"/>
                <w:sz w:val="21"/>
                <w:szCs w:val="21"/>
                <w:highlight w:val="none"/>
              </w:rPr>
              <w:t>0.</w:t>
            </w:r>
            <w:r>
              <w:rPr>
                <w:rFonts w:hint="eastAsia" w:cs="Times New Roman"/>
                <w:bCs/>
                <w:color w:val="auto"/>
                <w:sz w:val="21"/>
                <w:szCs w:val="21"/>
                <w:highlight w:val="none"/>
                <w:lang w:val="en-US" w:eastAsia="zh-CN"/>
              </w:rPr>
              <w:t>35</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c>
          <w:tcPr>
            <w:tcW w:w="1488" w:type="dxa"/>
            <w:noWrap w:val="0"/>
            <w:vAlign w:val="center"/>
          </w:tcPr>
          <w:p w14:paraId="1F3620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0.</w:t>
            </w:r>
            <w:r>
              <w:rPr>
                <w:rFonts w:hint="eastAsia" w:cs="Times New Roman"/>
                <w:bCs/>
                <w:color w:val="auto"/>
                <w:sz w:val="21"/>
                <w:szCs w:val="21"/>
                <w:highlight w:val="none"/>
                <w:lang w:val="en-US" w:eastAsia="zh-CN"/>
              </w:rPr>
              <w:t>35</w:t>
            </w:r>
            <w:r>
              <w:rPr>
                <w:rStyle w:val="68"/>
                <w:rFonts w:hint="default" w:ascii="Times New Roman" w:hAnsi="Times New Roman" w:eastAsia="宋体" w:cs="Times New Roman"/>
                <w:b w:val="0"/>
                <w:bCs/>
                <w:color w:val="auto"/>
                <w:sz w:val="21"/>
                <w:szCs w:val="21"/>
                <w:highlight w:val="none"/>
                <w:vertAlign w:val="baseline"/>
                <w:lang w:val="en-US" w:eastAsia="zh-CN"/>
              </w:rPr>
              <w:t>t/a</w:t>
            </w:r>
          </w:p>
        </w:tc>
      </w:tr>
      <w:tr w14:paraId="40CF7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64" w:type="dxa"/>
            <w:vMerge w:val="continue"/>
            <w:noWrap w:val="0"/>
            <w:vAlign w:val="center"/>
          </w:tcPr>
          <w:p w14:paraId="00A4B3AC">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2178" w:type="dxa"/>
            <w:noWrap w:val="0"/>
            <w:vAlign w:val="center"/>
          </w:tcPr>
          <w:p w14:paraId="0C41E8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废胶水桶</w:t>
            </w:r>
          </w:p>
        </w:tc>
        <w:tc>
          <w:tcPr>
            <w:tcW w:w="1737" w:type="dxa"/>
            <w:noWrap w:val="0"/>
            <w:vAlign w:val="center"/>
          </w:tcPr>
          <w:p w14:paraId="4D00E4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5D1202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2131D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09E41C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2.835</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5" w:type="dxa"/>
            <w:noWrap w:val="0"/>
            <w:vAlign w:val="center"/>
          </w:tcPr>
          <w:p w14:paraId="6ED7E8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w:t>
            </w:r>
          </w:p>
        </w:tc>
        <w:tc>
          <w:tcPr>
            <w:tcW w:w="1415" w:type="dxa"/>
            <w:noWrap w:val="0"/>
            <w:vAlign w:val="center"/>
          </w:tcPr>
          <w:p w14:paraId="49F798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bCs/>
                <w:color w:val="auto"/>
                <w:sz w:val="21"/>
                <w:szCs w:val="21"/>
                <w:highlight w:val="none"/>
              </w:rPr>
            </w:pPr>
            <w:r>
              <w:rPr>
                <w:rFonts w:hint="eastAsia" w:cs="Times New Roman"/>
                <w:i w:val="0"/>
                <w:color w:val="auto"/>
                <w:kern w:val="0"/>
                <w:sz w:val="21"/>
                <w:szCs w:val="21"/>
                <w:highlight w:val="none"/>
                <w:u w:val="none"/>
                <w:lang w:val="en-US" w:eastAsia="zh-CN" w:bidi="ar"/>
              </w:rPr>
              <w:t>2.835</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8" w:type="dxa"/>
            <w:noWrap w:val="0"/>
            <w:vAlign w:val="center"/>
          </w:tcPr>
          <w:p w14:paraId="2C9EFE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i w:val="0"/>
                <w:color w:val="auto"/>
                <w:kern w:val="0"/>
                <w:sz w:val="21"/>
                <w:szCs w:val="21"/>
                <w:highlight w:val="none"/>
                <w:u w:val="none"/>
                <w:lang w:val="en-US" w:eastAsia="zh-CN" w:bidi="ar"/>
              </w:rPr>
              <w:t>+2.835</w:t>
            </w:r>
            <w:r>
              <w:rPr>
                <w:rFonts w:hint="default" w:ascii="Times New Roman" w:hAnsi="Times New Roman" w:eastAsia="宋体" w:cs="Times New Roman"/>
                <w:i w:val="0"/>
                <w:color w:val="auto"/>
                <w:kern w:val="0"/>
                <w:sz w:val="21"/>
                <w:szCs w:val="21"/>
                <w:highlight w:val="none"/>
                <w:u w:val="none"/>
                <w:lang w:val="en-US" w:eastAsia="zh-CN" w:bidi="ar"/>
              </w:rPr>
              <w:t>t/a</w:t>
            </w:r>
          </w:p>
        </w:tc>
      </w:tr>
      <w:tr w14:paraId="2B466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4" w:type="dxa"/>
            <w:vMerge w:val="continue"/>
            <w:noWrap w:val="0"/>
            <w:vAlign w:val="center"/>
          </w:tcPr>
          <w:p w14:paraId="34FB65F0">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2178" w:type="dxa"/>
            <w:noWrap w:val="0"/>
            <w:vAlign w:val="center"/>
          </w:tcPr>
          <w:p w14:paraId="5E643B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color w:val="auto"/>
                <w:sz w:val="21"/>
                <w:szCs w:val="21"/>
                <w:highlight w:val="none"/>
                <w:lang w:val="en-US" w:eastAsia="zh-CN"/>
              </w:rPr>
            </w:pPr>
            <w:r>
              <w:rPr>
                <w:rStyle w:val="68"/>
                <w:rFonts w:hint="default" w:ascii="Times New Roman" w:hAnsi="Times New Roman" w:eastAsia="宋体" w:cs="Times New Roman"/>
                <w:bCs/>
                <w:color w:val="auto"/>
                <w:sz w:val="21"/>
                <w:szCs w:val="21"/>
                <w:highlight w:val="none"/>
              </w:rPr>
              <w:t>废弃活性炭</w:t>
            </w:r>
          </w:p>
        </w:tc>
        <w:tc>
          <w:tcPr>
            <w:tcW w:w="1737" w:type="dxa"/>
            <w:noWrap w:val="0"/>
            <w:vAlign w:val="center"/>
          </w:tcPr>
          <w:p w14:paraId="77A180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1D2502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1100F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08209B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0.2</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5" w:type="dxa"/>
            <w:noWrap w:val="0"/>
            <w:vAlign w:val="center"/>
          </w:tcPr>
          <w:p w14:paraId="380472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3DBA96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0.2</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8" w:type="dxa"/>
            <w:noWrap w:val="0"/>
            <w:vAlign w:val="center"/>
          </w:tcPr>
          <w:p w14:paraId="1DA711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+0.2</w:t>
            </w:r>
            <w:r>
              <w:rPr>
                <w:rFonts w:hint="default" w:ascii="Times New Roman" w:hAnsi="Times New Roman" w:eastAsia="宋体" w:cs="Times New Roman"/>
                <w:i w:val="0"/>
                <w:color w:val="auto"/>
                <w:kern w:val="0"/>
                <w:sz w:val="21"/>
                <w:szCs w:val="21"/>
                <w:highlight w:val="none"/>
                <w:u w:val="none"/>
                <w:lang w:val="en-US" w:eastAsia="zh-CN" w:bidi="ar"/>
              </w:rPr>
              <w:t>t/a</w:t>
            </w:r>
          </w:p>
        </w:tc>
      </w:tr>
      <w:tr w14:paraId="5AF1F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64" w:type="dxa"/>
            <w:vMerge w:val="continue"/>
            <w:noWrap w:val="0"/>
            <w:vAlign w:val="center"/>
          </w:tcPr>
          <w:p w14:paraId="18D19244">
            <w:pPr>
              <w:pStyle w:val="48"/>
              <w:keepNext w:val="0"/>
              <w:keepLines w:val="0"/>
              <w:pageBreakBefore w:val="0"/>
              <w:suppressLineNumbers w:val="0"/>
              <w:tabs>
                <w:tab w:val="left" w:pos="7590"/>
              </w:tabs>
              <w:kinsoku/>
              <w:wordWrap/>
              <w:overflowPunct/>
              <w:topLinePunct w:val="0"/>
              <w:autoSpaceDE/>
              <w:autoSpaceDN/>
              <w:bidi w:val="0"/>
              <w:adjustRightInd w:val="0"/>
              <w:snapToGrid w:val="0"/>
              <w:spacing w:beforeLines="0" w:beforeAutospacing="0" w:after="0" w:afterLines="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rPr>
            </w:pPr>
          </w:p>
        </w:tc>
        <w:tc>
          <w:tcPr>
            <w:tcW w:w="2178" w:type="dxa"/>
            <w:noWrap w:val="0"/>
            <w:vAlign w:val="center"/>
          </w:tcPr>
          <w:p w14:paraId="5DE05F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Style w:val="68"/>
                <w:rFonts w:hint="default" w:ascii="Times New Roman" w:hAnsi="Times New Roman" w:eastAsia="宋体" w:cs="Times New Roman"/>
                <w:bCs/>
                <w:color w:val="auto"/>
                <w:sz w:val="21"/>
                <w:szCs w:val="21"/>
                <w:highlight w:val="none"/>
                <w:lang w:val="en-US" w:eastAsia="zh-CN"/>
              </w:rPr>
            </w:pPr>
            <w:r>
              <w:rPr>
                <w:rStyle w:val="68"/>
                <w:rFonts w:hint="eastAsia" w:cs="Times New Roman"/>
                <w:bCs/>
                <w:color w:val="auto"/>
                <w:sz w:val="21"/>
                <w:szCs w:val="21"/>
                <w:highlight w:val="none"/>
                <w:lang w:val="en-US" w:eastAsia="zh-CN"/>
              </w:rPr>
              <w:t>废UV灯管</w:t>
            </w:r>
          </w:p>
        </w:tc>
        <w:tc>
          <w:tcPr>
            <w:tcW w:w="1737" w:type="dxa"/>
            <w:noWrap w:val="0"/>
            <w:vAlign w:val="center"/>
          </w:tcPr>
          <w:p w14:paraId="2B721A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295" w:type="dxa"/>
            <w:noWrap w:val="0"/>
            <w:vAlign w:val="center"/>
          </w:tcPr>
          <w:p w14:paraId="1466A4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5" w:type="dxa"/>
            <w:noWrap w:val="0"/>
            <w:vAlign w:val="center"/>
          </w:tcPr>
          <w:p w14:paraId="684C2F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31" w:type="dxa"/>
            <w:noWrap w:val="0"/>
            <w:vAlign w:val="center"/>
          </w:tcPr>
          <w:p w14:paraId="051EF8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0.08</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5" w:type="dxa"/>
            <w:noWrap w:val="0"/>
            <w:vAlign w:val="center"/>
          </w:tcPr>
          <w:p w14:paraId="4029E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15" w:type="dxa"/>
            <w:noWrap w:val="0"/>
            <w:vAlign w:val="center"/>
          </w:tcPr>
          <w:p w14:paraId="621EF2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0.08</w:t>
            </w:r>
            <w:r>
              <w:rPr>
                <w:rFonts w:hint="default" w:ascii="Times New Roman" w:hAnsi="Times New Roman" w:eastAsia="宋体" w:cs="Times New Roman"/>
                <w:i w:val="0"/>
                <w:color w:val="auto"/>
                <w:kern w:val="0"/>
                <w:sz w:val="21"/>
                <w:szCs w:val="21"/>
                <w:highlight w:val="none"/>
                <w:u w:val="none"/>
                <w:lang w:val="en-US" w:eastAsia="zh-CN" w:bidi="ar"/>
              </w:rPr>
              <w:t>t/a</w:t>
            </w:r>
          </w:p>
        </w:tc>
        <w:tc>
          <w:tcPr>
            <w:tcW w:w="1488" w:type="dxa"/>
            <w:noWrap w:val="0"/>
            <w:vAlign w:val="center"/>
          </w:tcPr>
          <w:p w14:paraId="1CC59F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i w:val="0"/>
                <w:color w:val="auto"/>
                <w:kern w:val="0"/>
                <w:sz w:val="21"/>
                <w:szCs w:val="21"/>
                <w:highlight w:val="none"/>
                <w:u w:val="none"/>
                <w:lang w:val="en-US" w:eastAsia="zh-CN" w:bidi="ar"/>
              </w:rPr>
              <w:t>0.08</w:t>
            </w:r>
            <w:r>
              <w:rPr>
                <w:rFonts w:hint="default" w:ascii="Times New Roman" w:hAnsi="Times New Roman" w:eastAsia="宋体" w:cs="Times New Roman"/>
                <w:i w:val="0"/>
                <w:color w:val="auto"/>
                <w:kern w:val="0"/>
                <w:sz w:val="21"/>
                <w:szCs w:val="21"/>
                <w:highlight w:val="none"/>
                <w:u w:val="none"/>
                <w:lang w:val="en-US" w:eastAsia="zh-CN" w:bidi="ar"/>
              </w:rPr>
              <w:t>t/a</w:t>
            </w:r>
          </w:p>
        </w:tc>
      </w:tr>
    </w:tbl>
    <w:p w14:paraId="69BF5012">
      <w:pPr>
        <w:pStyle w:val="48"/>
        <w:spacing w:before="192" w:beforeLines="80" w:after="24"/>
        <w:jc w:val="left"/>
        <w:rPr>
          <w:rFonts w:ascii="宋体" w:hAnsi="宋体" w:eastAsia="黑体"/>
          <w:color w:val="auto"/>
          <w:highlight w:val="none"/>
        </w:rPr>
      </w:pPr>
      <w:r>
        <w:rPr>
          <w:rFonts w:hAnsi="宋体"/>
          <w:snapToGrid w:val="0"/>
          <w:color w:val="auto"/>
          <w:kern w:val="21"/>
          <w:sz w:val="21"/>
          <w:szCs w:val="21"/>
          <w:highlight w:val="none"/>
        </w:rPr>
        <w:t>注：</w:t>
      </w:r>
      <w:r>
        <w:rPr>
          <w:rFonts w:hAnsi="宋体"/>
          <w:snapToGrid w:val="0"/>
          <w:color w:val="auto"/>
          <w:spacing w:val="-16"/>
          <w:kern w:val="21"/>
          <w:sz w:val="21"/>
          <w:szCs w:val="21"/>
          <w:highlight w:val="none"/>
        </w:rPr>
        <w:fldChar w:fldCharType="begin"/>
      </w:r>
      <w:r>
        <w:rPr>
          <w:rFonts w:hAnsi="宋体"/>
          <w:snapToGrid w:val="0"/>
          <w:color w:val="auto"/>
          <w:spacing w:val="-16"/>
          <w:kern w:val="21"/>
          <w:sz w:val="21"/>
          <w:szCs w:val="21"/>
          <w:highlight w:val="none"/>
        </w:rPr>
        <w:instrText xml:space="preserve"> = 6 \* GB3 \* MERGEFORMAT </w:instrText>
      </w:r>
      <w:r>
        <w:rPr>
          <w:rFonts w:hAnsi="宋体"/>
          <w:snapToGrid w:val="0"/>
          <w:color w:val="auto"/>
          <w:spacing w:val="-16"/>
          <w:kern w:val="21"/>
          <w:sz w:val="21"/>
          <w:szCs w:val="21"/>
          <w:highlight w:val="none"/>
        </w:rPr>
        <w:fldChar w:fldCharType="separate"/>
      </w:r>
      <w:r>
        <w:rPr>
          <w:rFonts w:hint="eastAsia" w:hAnsi="宋体"/>
          <w:color w:val="auto"/>
          <w:sz w:val="21"/>
          <w:szCs w:val="21"/>
          <w:highlight w:val="none"/>
        </w:rPr>
        <w:t>⑥</w:t>
      </w:r>
      <w:r>
        <w:rPr>
          <w:rFonts w:hAnsi="宋体"/>
          <w:snapToGrid w:val="0"/>
          <w:color w:val="auto"/>
          <w:spacing w:val="-16"/>
          <w:kern w:val="21"/>
          <w:sz w:val="21"/>
          <w:szCs w:val="21"/>
          <w:highlight w:val="none"/>
        </w:rPr>
        <w:fldChar w:fldCharType="end"/>
      </w:r>
      <w:r>
        <w:rPr>
          <w:rFonts w:hAnsi="宋体"/>
          <w:snapToGrid w:val="0"/>
          <w:color w:val="auto"/>
          <w:spacing w:val="-16"/>
          <w:kern w:val="21"/>
          <w:sz w:val="21"/>
          <w:szCs w:val="21"/>
          <w:highlight w:val="none"/>
        </w:rPr>
        <w:t>=</w:t>
      </w:r>
      <w:r>
        <w:rPr>
          <w:rFonts w:hAnsi="宋体"/>
          <w:snapToGrid w:val="0"/>
          <w:color w:val="auto"/>
          <w:spacing w:val="-6"/>
          <w:kern w:val="21"/>
          <w:sz w:val="21"/>
          <w:szCs w:val="21"/>
          <w:highlight w:val="none"/>
        </w:rPr>
        <w:fldChar w:fldCharType="begin"/>
      </w:r>
      <w:r>
        <w:rPr>
          <w:rFonts w:hAnsi="宋体"/>
          <w:snapToGrid w:val="0"/>
          <w:color w:val="auto"/>
          <w:spacing w:val="-6"/>
          <w:kern w:val="21"/>
          <w:sz w:val="21"/>
          <w:szCs w:val="21"/>
          <w:highlight w:val="none"/>
        </w:rPr>
        <w:instrText xml:space="preserve"> = 1 \* GB3 \* MERGEFORMAT </w:instrText>
      </w:r>
      <w:r>
        <w:rPr>
          <w:rFonts w:hAnsi="宋体"/>
          <w:snapToGrid w:val="0"/>
          <w:color w:val="auto"/>
          <w:spacing w:val="-6"/>
          <w:kern w:val="21"/>
          <w:sz w:val="21"/>
          <w:szCs w:val="21"/>
          <w:highlight w:val="none"/>
        </w:rPr>
        <w:fldChar w:fldCharType="separate"/>
      </w:r>
      <w:r>
        <w:rPr>
          <w:rFonts w:hint="eastAsia" w:hAnsi="宋体"/>
          <w:color w:val="auto"/>
          <w:sz w:val="21"/>
          <w:szCs w:val="21"/>
          <w:highlight w:val="none"/>
        </w:rPr>
        <w:t>①</w:t>
      </w:r>
      <w:r>
        <w:rPr>
          <w:rFonts w:hAnsi="宋体"/>
          <w:snapToGrid w:val="0"/>
          <w:color w:val="auto"/>
          <w:spacing w:val="-6"/>
          <w:kern w:val="21"/>
          <w:sz w:val="21"/>
          <w:szCs w:val="21"/>
          <w:highlight w:val="none"/>
        </w:rPr>
        <w:fldChar w:fldCharType="end"/>
      </w:r>
      <w:r>
        <w:rPr>
          <w:rFonts w:hAnsi="宋体"/>
          <w:snapToGrid w:val="0"/>
          <w:color w:val="auto"/>
          <w:spacing w:val="-6"/>
          <w:kern w:val="21"/>
          <w:sz w:val="21"/>
          <w:szCs w:val="21"/>
          <w:highlight w:val="none"/>
        </w:rPr>
        <w:t>+</w:t>
      </w:r>
      <w:r>
        <w:rPr>
          <w:rFonts w:hAnsi="宋体"/>
          <w:snapToGrid w:val="0"/>
          <w:color w:val="auto"/>
          <w:spacing w:val="-6"/>
          <w:kern w:val="21"/>
          <w:sz w:val="21"/>
          <w:szCs w:val="21"/>
          <w:highlight w:val="none"/>
        </w:rPr>
        <w:fldChar w:fldCharType="begin"/>
      </w:r>
      <w:r>
        <w:rPr>
          <w:rFonts w:hAnsi="宋体"/>
          <w:snapToGrid w:val="0"/>
          <w:color w:val="auto"/>
          <w:spacing w:val="-6"/>
          <w:kern w:val="21"/>
          <w:sz w:val="21"/>
          <w:szCs w:val="21"/>
          <w:highlight w:val="none"/>
        </w:rPr>
        <w:instrText xml:space="preserve"> = 3 \* GB3 \* MERGEFORMAT </w:instrText>
      </w:r>
      <w:r>
        <w:rPr>
          <w:rFonts w:hAnsi="宋体"/>
          <w:snapToGrid w:val="0"/>
          <w:color w:val="auto"/>
          <w:spacing w:val="-6"/>
          <w:kern w:val="21"/>
          <w:sz w:val="21"/>
          <w:szCs w:val="21"/>
          <w:highlight w:val="none"/>
        </w:rPr>
        <w:fldChar w:fldCharType="separate"/>
      </w:r>
      <w:r>
        <w:rPr>
          <w:rFonts w:hint="eastAsia" w:hAnsi="宋体"/>
          <w:color w:val="auto"/>
          <w:sz w:val="21"/>
          <w:szCs w:val="21"/>
          <w:highlight w:val="none"/>
        </w:rPr>
        <w:t>③</w:t>
      </w:r>
      <w:r>
        <w:rPr>
          <w:rFonts w:hAnsi="宋体"/>
          <w:snapToGrid w:val="0"/>
          <w:color w:val="auto"/>
          <w:spacing w:val="-6"/>
          <w:kern w:val="21"/>
          <w:sz w:val="21"/>
          <w:szCs w:val="21"/>
          <w:highlight w:val="none"/>
        </w:rPr>
        <w:fldChar w:fldCharType="end"/>
      </w:r>
      <w:r>
        <w:rPr>
          <w:rFonts w:hAnsi="宋体"/>
          <w:snapToGrid w:val="0"/>
          <w:color w:val="auto"/>
          <w:spacing w:val="-6"/>
          <w:kern w:val="21"/>
          <w:sz w:val="21"/>
          <w:szCs w:val="21"/>
          <w:highlight w:val="none"/>
        </w:rPr>
        <w:t>+</w:t>
      </w:r>
      <w:r>
        <w:rPr>
          <w:rFonts w:hAnsi="宋体"/>
          <w:snapToGrid w:val="0"/>
          <w:color w:val="auto"/>
          <w:spacing w:val="-6"/>
          <w:kern w:val="21"/>
          <w:sz w:val="21"/>
          <w:szCs w:val="21"/>
          <w:highlight w:val="none"/>
        </w:rPr>
        <w:fldChar w:fldCharType="begin"/>
      </w:r>
      <w:r>
        <w:rPr>
          <w:rFonts w:hAnsi="宋体"/>
          <w:snapToGrid w:val="0"/>
          <w:color w:val="auto"/>
          <w:spacing w:val="-6"/>
          <w:kern w:val="21"/>
          <w:sz w:val="21"/>
          <w:szCs w:val="21"/>
          <w:highlight w:val="none"/>
        </w:rPr>
        <w:instrText xml:space="preserve"> = 4 \* GB3 \* MERGEFORMAT </w:instrText>
      </w:r>
      <w:r>
        <w:rPr>
          <w:rFonts w:hAnsi="宋体"/>
          <w:snapToGrid w:val="0"/>
          <w:color w:val="auto"/>
          <w:spacing w:val="-6"/>
          <w:kern w:val="21"/>
          <w:sz w:val="21"/>
          <w:szCs w:val="21"/>
          <w:highlight w:val="none"/>
        </w:rPr>
        <w:fldChar w:fldCharType="separate"/>
      </w:r>
      <w:r>
        <w:rPr>
          <w:rFonts w:hint="eastAsia" w:hAnsi="宋体"/>
          <w:color w:val="auto"/>
          <w:sz w:val="21"/>
          <w:szCs w:val="21"/>
          <w:highlight w:val="none"/>
        </w:rPr>
        <w:t>④</w:t>
      </w:r>
      <w:r>
        <w:rPr>
          <w:rFonts w:hAnsi="宋体"/>
          <w:snapToGrid w:val="0"/>
          <w:color w:val="auto"/>
          <w:spacing w:val="-6"/>
          <w:kern w:val="21"/>
          <w:sz w:val="21"/>
          <w:szCs w:val="21"/>
          <w:highlight w:val="none"/>
        </w:rPr>
        <w:fldChar w:fldCharType="end"/>
      </w:r>
      <w:r>
        <w:rPr>
          <w:rFonts w:hAnsi="宋体"/>
          <w:snapToGrid w:val="0"/>
          <w:color w:val="auto"/>
          <w:spacing w:val="-6"/>
          <w:kern w:val="21"/>
          <w:sz w:val="21"/>
          <w:szCs w:val="21"/>
          <w:highlight w:val="none"/>
        </w:rPr>
        <w:t>-</w:t>
      </w:r>
      <w:r>
        <w:rPr>
          <w:rFonts w:hAnsi="宋体"/>
          <w:snapToGrid w:val="0"/>
          <w:color w:val="auto"/>
          <w:spacing w:val="-16"/>
          <w:kern w:val="21"/>
          <w:sz w:val="21"/>
          <w:szCs w:val="21"/>
          <w:highlight w:val="none"/>
        </w:rPr>
        <w:fldChar w:fldCharType="begin"/>
      </w:r>
      <w:r>
        <w:rPr>
          <w:rFonts w:hAnsi="宋体"/>
          <w:snapToGrid w:val="0"/>
          <w:color w:val="auto"/>
          <w:spacing w:val="-16"/>
          <w:kern w:val="21"/>
          <w:sz w:val="21"/>
          <w:szCs w:val="21"/>
          <w:highlight w:val="none"/>
        </w:rPr>
        <w:instrText xml:space="preserve"> = 5 \* GB3 \* MERGEFORMAT </w:instrText>
      </w:r>
      <w:r>
        <w:rPr>
          <w:rFonts w:hAnsi="宋体"/>
          <w:snapToGrid w:val="0"/>
          <w:color w:val="auto"/>
          <w:spacing w:val="-16"/>
          <w:kern w:val="21"/>
          <w:sz w:val="21"/>
          <w:szCs w:val="21"/>
          <w:highlight w:val="none"/>
        </w:rPr>
        <w:fldChar w:fldCharType="separate"/>
      </w:r>
      <w:r>
        <w:rPr>
          <w:rFonts w:hint="eastAsia" w:hAnsi="宋体"/>
          <w:color w:val="auto"/>
          <w:sz w:val="21"/>
          <w:szCs w:val="21"/>
          <w:highlight w:val="none"/>
        </w:rPr>
        <w:t>⑤</w:t>
      </w:r>
      <w:r>
        <w:rPr>
          <w:rFonts w:hAnsi="宋体"/>
          <w:snapToGrid w:val="0"/>
          <w:color w:val="auto"/>
          <w:spacing w:val="-16"/>
          <w:kern w:val="21"/>
          <w:sz w:val="21"/>
          <w:szCs w:val="21"/>
          <w:highlight w:val="none"/>
        </w:rPr>
        <w:fldChar w:fldCharType="end"/>
      </w:r>
      <w:r>
        <w:rPr>
          <w:rFonts w:hAnsi="宋体"/>
          <w:snapToGrid w:val="0"/>
          <w:color w:val="auto"/>
          <w:spacing w:val="-16"/>
          <w:kern w:val="21"/>
          <w:sz w:val="21"/>
          <w:szCs w:val="21"/>
          <w:highlight w:val="none"/>
        </w:rPr>
        <w:t>；</w:t>
      </w:r>
      <w:r>
        <w:rPr>
          <w:rFonts w:hAnsi="宋体"/>
          <w:snapToGrid w:val="0"/>
          <w:color w:val="auto"/>
          <w:spacing w:val="-6"/>
          <w:kern w:val="21"/>
          <w:sz w:val="21"/>
          <w:szCs w:val="21"/>
          <w:highlight w:val="none"/>
        </w:rPr>
        <w:fldChar w:fldCharType="begin"/>
      </w:r>
      <w:r>
        <w:rPr>
          <w:rFonts w:hAnsi="宋体"/>
          <w:snapToGrid w:val="0"/>
          <w:color w:val="auto"/>
          <w:spacing w:val="-6"/>
          <w:kern w:val="21"/>
          <w:sz w:val="21"/>
          <w:szCs w:val="21"/>
          <w:highlight w:val="none"/>
        </w:rPr>
        <w:instrText xml:space="preserve"> = 7 \* GB3 \* MERGEFORMAT </w:instrText>
      </w:r>
      <w:r>
        <w:rPr>
          <w:rFonts w:hAnsi="宋体"/>
          <w:snapToGrid w:val="0"/>
          <w:color w:val="auto"/>
          <w:spacing w:val="-6"/>
          <w:kern w:val="21"/>
          <w:sz w:val="21"/>
          <w:szCs w:val="21"/>
          <w:highlight w:val="none"/>
        </w:rPr>
        <w:fldChar w:fldCharType="separate"/>
      </w:r>
      <w:r>
        <w:rPr>
          <w:rFonts w:hint="eastAsia" w:hAnsi="宋体"/>
          <w:color w:val="auto"/>
          <w:sz w:val="21"/>
          <w:szCs w:val="21"/>
          <w:highlight w:val="none"/>
        </w:rPr>
        <w:t>⑦</w:t>
      </w:r>
      <w:r>
        <w:rPr>
          <w:rFonts w:hAnsi="宋体"/>
          <w:snapToGrid w:val="0"/>
          <w:color w:val="auto"/>
          <w:spacing w:val="-6"/>
          <w:kern w:val="21"/>
          <w:sz w:val="21"/>
          <w:szCs w:val="21"/>
          <w:highlight w:val="none"/>
        </w:rPr>
        <w:fldChar w:fldCharType="end"/>
      </w:r>
      <w:r>
        <w:rPr>
          <w:rFonts w:hAnsi="宋体"/>
          <w:snapToGrid w:val="0"/>
          <w:color w:val="auto"/>
          <w:spacing w:val="-6"/>
          <w:kern w:val="21"/>
          <w:sz w:val="21"/>
          <w:szCs w:val="21"/>
          <w:highlight w:val="none"/>
        </w:rPr>
        <w:t>=</w:t>
      </w:r>
      <w:r>
        <w:rPr>
          <w:rFonts w:hAnsi="宋体"/>
          <w:snapToGrid w:val="0"/>
          <w:color w:val="auto"/>
          <w:spacing w:val="-16"/>
          <w:kern w:val="21"/>
          <w:sz w:val="21"/>
          <w:szCs w:val="21"/>
          <w:highlight w:val="none"/>
        </w:rPr>
        <w:fldChar w:fldCharType="begin"/>
      </w:r>
      <w:r>
        <w:rPr>
          <w:rFonts w:hAnsi="宋体"/>
          <w:snapToGrid w:val="0"/>
          <w:color w:val="auto"/>
          <w:spacing w:val="-16"/>
          <w:kern w:val="21"/>
          <w:sz w:val="21"/>
          <w:szCs w:val="21"/>
          <w:highlight w:val="none"/>
        </w:rPr>
        <w:instrText xml:space="preserve"> = 6 \* GB3 \* MERGEFORMAT </w:instrText>
      </w:r>
      <w:r>
        <w:rPr>
          <w:rFonts w:hAnsi="宋体"/>
          <w:snapToGrid w:val="0"/>
          <w:color w:val="auto"/>
          <w:spacing w:val="-16"/>
          <w:kern w:val="21"/>
          <w:sz w:val="21"/>
          <w:szCs w:val="21"/>
          <w:highlight w:val="none"/>
        </w:rPr>
        <w:fldChar w:fldCharType="separate"/>
      </w:r>
      <w:r>
        <w:rPr>
          <w:rFonts w:hint="eastAsia" w:hAnsi="宋体"/>
          <w:color w:val="auto"/>
          <w:sz w:val="21"/>
          <w:szCs w:val="21"/>
          <w:highlight w:val="none"/>
        </w:rPr>
        <w:t>⑥</w:t>
      </w:r>
      <w:r>
        <w:rPr>
          <w:rFonts w:hAnsi="宋体"/>
          <w:snapToGrid w:val="0"/>
          <w:color w:val="auto"/>
          <w:spacing w:val="-16"/>
          <w:kern w:val="21"/>
          <w:sz w:val="21"/>
          <w:szCs w:val="21"/>
          <w:highlight w:val="none"/>
        </w:rPr>
        <w:fldChar w:fldCharType="end"/>
      </w:r>
      <w:r>
        <w:rPr>
          <w:rFonts w:hAnsi="宋体"/>
          <w:snapToGrid w:val="0"/>
          <w:color w:val="auto"/>
          <w:spacing w:val="-16"/>
          <w:kern w:val="21"/>
          <w:sz w:val="21"/>
          <w:szCs w:val="21"/>
          <w:highlight w:val="none"/>
        </w:rPr>
        <w:t>-</w:t>
      </w:r>
      <w:r>
        <w:rPr>
          <w:rFonts w:hAnsi="宋体"/>
          <w:snapToGrid w:val="0"/>
          <w:color w:val="auto"/>
          <w:spacing w:val="-6"/>
          <w:kern w:val="21"/>
          <w:sz w:val="21"/>
          <w:szCs w:val="21"/>
          <w:highlight w:val="none"/>
        </w:rPr>
        <w:fldChar w:fldCharType="begin"/>
      </w:r>
      <w:r>
        <w:rPr>
          <w:rFonts w:hAnsi="宋体"/>
          <w:snapToGrid w:val="0"/>
          <w:color w:val="auto"/>
          <w:spacing w:val="-6"/>
          <w:kern w:val="21"/>
          <w:sz w:val="21"/>
          <w:szCs w:val="21"/>
          <w:highlight w:val="none"/>
        </w:rPr>
        <w:instrText xml:space="preserve"> = 1 \* GB3 \* MERGEFORMAT </w:instrText>
      </w:r>
      <w:r>
        <w:rPr>
          <w:rFonts w:hAnsi="宋体"/>
          <w:snapToGrid w:val="0"/>
          <w:color w:val="auto"/>
          <w:spacing w:val="-6"/>
          <w:kern w:val="21"/>
          <w:sz w:val="21"/>
          <w:szCs w:val="21"/>
          <w:highlight w:val="none"/>
        </w:rPr>
        <w:fldChar w:fldCharType="separate"/>
      </w:r>
      <w:r>
        <w:rPr>
          <w:rFonts w:hint="eastAsia" w:hAnsi="宋体"/>
          <w:color w:val="auto"/>
          <w:sz w:val="21"/>
          <w:szCs w:val="21"/>
          <w:highlight w:val="none"/>
        </w:rPr>
        <w:t>①</w:t>
      </w:r>
      <w:r>
        <w:rPr>
          <w:rFonts w:hAnsi="宋体"/>
          <w:snapToGrid w:val="0"/>
          <w:color w:val="auto"/>
          <w:spacing w:val="-6"/>
          <w:kern w:val="21"/>
          <w:sz w:val="21"/>
          <w:szCs w:val="21"/>
          <w:highlight w:val="none"/>
        </w:rPr>
        <w:fldChar w:fldCharType="end"/>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Impact">
    <w:panose1 w:val="020B0806030902050204"/>
    <w:charset w:val="00"/>
    <w:family w:val="swiss"/>
    <w:pitch w:val="default"/>
    <w:sig w:usb0="00000287" w:usb1="00000000" w:usb2="00000000" w:usb3="00000000" w:csb0="2000009F" w:csb1="DFD70000"/>
  </w:font>
  <w:font w:name="Wingdings 2">
    <w:altName w:val="Wingdings"/>
    <w:panose1 w:val="05020102010507070707"/>
    <w:charset w:val="02"/>
    <w:family w:val="auto"/>
    <w:pitch w:val="default"/>
    <w:sig w:usb0="00000000" w:usb1="00000000" w:usb2="00000000" w:usb3="00000000" w:csb0="80000000"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B6950">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5193F">
    <w:pPr>
      <w:pStyle w:val="2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CB4B8">
                          <w:pPr>
                            <w:pStyle w:val="22"/>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hint="default" w:ascii="Times New Roman" w:hAnsi="Times New Roman" w:cs="Times New Roman"/>
                              <w:sz w:val="26"/>
                              <w:szCs w:val="26"/>
                            </w:rPr>
                            <w:fldChar w:fldCharType="begin"/>
                          </w:r>
                          <w:r>
                            <w:rPr>
                              <w:rStyle w:val="34"/>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4"/>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4"/>
                              <w:rFonts w:hint="default" w:ascii="Times New Roman" w:hAnsi="Times New Roman" w:cs="Times New Roman"/>
                              <w:sz w:val="20"/>
                            </w:rPr>
                            <w:t xml:space="preserve">  </w:t>
                          </w:r>
                          <w:r>
                            <w:rPr>
                              <w:rStyle w:val="34"/>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E3CB4B8">
                    <w:pPr>
                      <w:pStyle w:val="22"/>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hint="default" w:ascii="Times New Roman" w:hAnsi="Times New Roman" w:cs="Times New Roman"/>
                        <w:sz w:val="26"/>
                        <w:szCs w:val="26"/>
                      </w:rPr>
                      <w:fldChar w:fldCharType="begin"/>
                    </w:r>
                    <w:r>
                      <w:rPr>
                        <w:rStyle w:val="34"/>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4"/>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4"/>
                        <w:rFonts w:hint="default" w:ascii="Times New Roman" w:hAnsi="Times New Roman" w:cs="Times New Roman"/>
                        <w:sz w:val="20"/>
                      </w:rPr>
                      <w:t xml:space="preserve">  </w:t>
                    </w:r>
                    <w:r>
                      <w:rPr>
                        <w:rStyle w:val="34"/>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38F3">
    <w:pPr>
      <w:pStyle w:val="2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8B069">
                          <w:pPr>
                            <w:pStyle w:val="22"/>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548B069">
                    <w:pPr>
                      <w:pStyle w:val="22"/>
                    </w:pPr>
                    <w:r>
                      <w:fldChar w:fldCharType="begin"/>
                    </w:r>
                    <w:r>
                      <w:instrText xml:space="preserve"> PAGE  \* MERGEFORMAT </w:instrText>
                    </w:r>
                    <w:r>
                      <w:fldChar w:fldCharType="separate"/>
                    </w:r>
                    <w:r>
                      <w:t>92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A31FB0"/>
    <w:multiLevelType w:val="singleLevel"/>
    <w:tmpl w:val="81A31FB0"/>
    <w:lvl w:ilvl="0" w:tentative="0">
      <w:start w:val="1"/>
      <w:numFmt w:val="decimal"/>
      <w:suff w:val="nothing"/>
      <w:lvlText w:val="（%1）"/>
      <w:lvlJc w:val="left"/>
    </w:lvl>
  </w:abstractNum>
  <w:abstractNum w:abstractNumId="1">
    <w:nsid w:val="C582AE68"/>
    <w:multiLevelType w:val="singleLevel"/>
    <w:tmpl w:val="C582AE68"/>
    <w:lvl w:ilvl="0" w:tentative="0">
      <w:start w:val="1"/>
      <w:numFmt w:val="decimal"/>
      <w:suff w:val="nothing"/>
      <w:lvlText w:val="%1、"/>
      <w:lvlJc w:val="left"/>
    </w:lvl>
  </w:abstractNum>
  <w:abstractNum w:abstractNumId="2">
    <w:nsid w:val="01203B59"/>
    <w:multiLevelType w:val="singleLevel"/>
    <w:tmpl w:val="01203B59"/>
    <w:lvl w:ilvl="0" w:tentative="0">
      <w:start w:val="1"/>
      <w:numFmt w:val="decimal"/>
      <w:suff w:val="nothing"/>
      <w:lvlText w:val="%1、"/>
      <w:lvlJc w:val="left"/>
    </w:lvl>
  </w:abstractNum>
  <w:abstractNum w:abstractNumId="3">
    <w:nsid w:val="1CEAAF18"/>
    <w:multiLevelType w:val="singleLevel"/>
    <w:tmpl w:val="1CEAAF18"/>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23989001"/>
    <w:multiLevelType w:val="singleLevel"/>
    <w:tmpl w:val="23989001"/>
    <w:lvl w:ilvl="0" w:tentative="0">
      <w:start w:val="1"/>
      <w:numFmt w:val="decimal"/>
      <w:suff w:val="nothing"/>
      <w:lvlText w:val="（%1）"/>
      <w:lvlJc w:val="left"/>
    </w:lvl>
  </w:abstractNum>
  <w:abstractNum w:abstractNumId="5">
    <w:nsid w:val="397F088E"/>
    <w:multiLevelType w:val="singleLevel"/>
    <w:tmpl w:val="397F088E"/>
    <w:lvl w:ilvl="0" w:tentative="0">
      <w:start w:val="3"/>
      <w:numFmt w:val="decimal"/>
      <w:suff w:val="nothing"/>
      <w:lvlText w:val="（%1）"/>
      <w:lvlJc w:val="left"/>
    </w:lvl>
  </w:abstractNum>
  <w:abstractNum w:abstractNumId="6">
    <w:nsid w:val="40BCB68E"/>
    <w:multiLevelType w:val="singleLevel"/>
    <w:tmpl w:val="40BCB68E"/>
    <w:lvl w:ilvl="0" w:tentative="0">
      <w:start w:val="1"/>
      <w:numFmt w:val="decimal"/>
      <w:suff w:val="nothing"/>
      <w:lvlText w:val="%1）"/>
      <w:lvlJc w:val="left"/>
    </w:lvl>
  </w:abstractNum>
  <w:abstractNum w:abstractNumId="7">
    <w:nsid w:val="5B140591"/>
    <w:multiLevelType w:val="singleLevel"/>
    <w:tmpl w:val="5B140591"/>
    <w:lvl w:ilvl="0" w:tentative="0">
      <w:start w:val="1"/>
      <w:numFmt w:val="decimal"/>
      <w:suff w:val="nothing"/>
      <w:lvlText w:val="%1、"/>
      <w:lvlJc w:val="left"/>
    </w:lvl>
  </w:abstractNum>
  <w:abstractNum w:abstractNumId="8">
    <w:nsid w:val="7693F017"/>
    <w:multiLevelType w:val="singleLevel"/>
    <w:tmpl w:val="7693F017"/>
    <w:lvl w:ilvl="0" w:tentative="0">
      <w:start w:val="2"/>
      <w:numFmt w:val="decimal"/>
      <w:suff w:val="nothing"/>
      <w:lvlText w:val="%1、"/>
      <w:lvlJc w:val="left"/>
    </w:lvl>
  </w:abstractNum>
  <w:num w:numId="1">
    <w:abstractNumId w:val="3"/>
  </w:num>
  <w:num w:numId="2">
    <w:abstractNumId w:val="7"/>
  </w:num>
  <w:num w:numId="3">
    <w:abstractNumId w:val="1"/>
  </w:num>
  <w:num w:numId="4">
    <w:abstractNumId w:val="0"/>
  </w:num>
  <w:num w:numId="5">
    <w:abstractNumId w:val="5"/>
  </w:num>
  <w:num w:numId="6">
    <w:abstractNumId w:val="4"/>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4F24"/>
    <w:rsid w:val="001B72B8"/>
    <w:rsid w:val="001C69B3"/>
    <w:rsid w:val="001D5595"/>
    <w:rsid w:val="001D7874"/>
    <w:rsid w:val="001D7F22"/>
    <w:rsid w:val="001E5A44"/>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3249"/>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25CF7"/>
    <w:rsid w:val="005401AE"/>
    <w:rsid w:val="00542E07"/>
    <w:rsid w:val="00545424"/>
    <w:rsid w:val="00554A7B"/>
    <w:rsid w:val="0055572C"/>
    <w:rsid w:val="0056106A"/>
    <w:rsid w:val="005720AE"/>
    <w:rsid w:val="0057586F"/>
    <w:rsid w:val="00594D77"/>
    <w:rsid w:val="005969E4"/>
    <w:rsid w:val="005A06B7"/>
    <w:rsid w:val="005A1759"/>
    <w:rsid w:val="005A68A7"/>
    <w:rsid w:val="005D36AB"/>
    <w:rsid w:val="00617CC3"/>
    <w:rsid w:val="006377A6"/>
    <w:rsid w:val="00637A3D"/>
    <w:rsid w:val="006411EF"/>
    <w:rsid w:val="00643BE3"/>
    <w:rsid w:val="006748B8"/>
    <w:rsid w:val="006775C3"/>
    <w:rsid w:val="0069290A"/>
    <w:rsid w:val="0069775A"/>
    <w:rsid w:val="00697813"/>
    <w:rsid w:val="006A260C"/>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5857"/>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13B9"/>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78BE"/>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B09"/>
    <w:rsid w:val="00E65D97"/>
    <w:rsid w:val="00E72A5A"/>
    <w:rsid w:val="00E73354"/>
    <w:rsid w:val="00E85B8B"/>
    <w:rsid w:val="00E86596"/>
    <w:rsid w:val="00E9242D"/>
    <w:rsid w:val="00EB5255"/>
    <w:rsid w:val="00EB5C47"/>
    <w:rsid w:val="00ED0639"/>
    <w:rsid w:val="00EF137D"/>
    <w:rsid w:val="00EF4755"/>
    <w:rsid w:val="00EF7135"/>
    <w:rsid w:val="00F027DB"/>
    <w:rsid w:val="00F14A7A"/>
    <w:rsid w:val="00F22985"/>
    <w:rsid w:val="00F23E63"/>
    <w:rsid w:val="00F3383E"/>
    <w:rsid w:val="00F465A7"/>
    <w:rsid w:val="00F50B7C"/>
    <w:rsid w:val="00F550E6"/>
    <w:rsid w:val="00F57577"/>
    <w:rsid w:val="00F74345"/>
    <w:rsid w:val="00F80A0A"/>
    <w:rsid w:val="00F82B19"/>
    <w:rsid w:val="00F9212D"/>
    <w:rsid w:val="00F965DA"/>
    <w:rsid w:val="00FA406A"/>
    <w:rsid w:val="00FB503A"/>
    <w:rsid w:val="00FB516C"/>
    <w:rsid w:val="00FD0236"/>
    <w:rsid w:val="00FD18F4"/>
    <w:rsid w:val="00FD54DB"/>
    <w:rsid w:val="00FD619F"/>
    <w:rsid w:val="011657D9"/>
    <w:rsid w:val="01290F7E"/>
    <w:rsid w:val="013164C4"/>
    <w:rsid w:val="01350C9C"/>
    <w:rsid w:val="013856A1"/>
    <w:rsid w:val="014548F3"/>
    <w:rsid w:val="015B4FE6"/>
    <w:rsid w:val="015D1E09"/>
    <w:rsid w:val="01761867"/>
    <w:rsid w:val="017F6D8E"/>
    <w:rsid w:val="01A97277"/>
    <w:rsid w:val="01D57C29"/>
    <w:rsid w:val="01FD7C7A"/>
    <w:rsid w:val="02306473"/>
    <w:rsid w:val="02553107"/>
    <w:rsid w:val="02697903"/>
    <w:rsid w:val="026C4896"/>
    <w:rsid w:val="026E7C35"/>
    <w:rsid w:val="0295072E"/>
    <w:rsid w:val="02BA2B44"/>
    <w:rsid w:val="02BE0A08"/>
    <w:rsid w:val="02D323B7"/>
    <w:rsid w:val="02F96569"/>
    <w:rsid w:val="0308110D"/>
    <w:rsid w:val="03092820"/>
    <w:rsid w:val="03097F81"/>
    <w:rsid w:val="0322491C"/>
    <w:rsid w:val="032300A2"/>
    <w:rsid w:val="03370C3A"/>
    <w:rsid w:val="034443F1"/>
    <w:rsid w:val="034A04ED"/>
    <w:rsid w:val="037458C4"/>
    <w:rsid w:val="037C4BE3"/>
    <w:rsid w:val="03885E3A"/>
    <w:rsid w:val="03A51835"/>
    <w:rsid w:val="03B95FF4"/>
    <w:rsid w:val="03DD6186"/>
    <w:rsid w:val="03EA7B21"/>
    <w:rsid w:val="04150EED"/>
    <w:rsid w:val="041A2480"/>
    <w:rsid w:val="045E78EA"/>
    <w:rsid w:val="04606912"/>
    <w:rsid w:val="04610B65"/>
    <w:rsid w:val="046714EC"/>
    <w:rsid w:val="04706EF1"/>
    <w:rsid w:val="04AF7B6F"/>
    <w:rsid w:val="04CD7FA9"/>
    <w:rsid w:val="04E76151"/>
    <w:rsid w:val="04F1327B"/>
    <w:rsid w:val="04F83BC4"/>
    <w:rsid w:val="0502491B"/>
    <w:rsid w:val="05286528"/>
    <w:rsid w:val="05292409"/>
    <w:rsid w:val="052A28F6"/>
    <w:rsid w:val="052F573E"/>
    <w:rsid w:val="05342089"/>
    <w:rsid w:val="053828BA"/>
    <w:rsid w:val="053E2C54"/>
    <w:rsid w:val="054A61B4"/>
    <w:rsid w:val="05502988"/>
    <w:rsid w:val="0557437C"/>
    <w:rsid w:val="056E7567"/>
    <w:rsid w:val="058200DD"/>
    <w:rsid w:val="059F09AD"/>
    <w:rsid w:val="05E12932"/>
    <w:rsid w:val="05F83EAE"/>
    <w:rsid w:val="05FB6D97"/>
    <w:rsid w:val="061D4AE9"/>
    <w:rsid w:val="0626099A"/>
    <w:rsid w:val="0627193B"/>
    <w:rsid w:val="06292BD9"/>
    <w:rsid w:val="063E7D85"/>
    <w:rsid w:val="066265FA"/>
    <w:rsid w:val="068A046A"/>
    <w:rsid w:val="0691652B"/>
    <w:rsid w:val="06C71910"/>
    <w:rsid w:val="06E12532"/>
    <w:rsid w:val="06EB2968"/>
    <w:rsid w:val="07184603"/>
    <w:rsid w:val="07293586"/>
    <w:rsid w:val="07295285"/>
    <w:rsid w:val="072B57C0"/>
    <w:rsid w:val="072F600D"/>
    <w:rsid w:val="0753050D"/>
    <w:rsid w:val="07636392"/>
    <w:rsid w:val="07686246"/>
    <w:rsid w:val="07727F9D"/>
    <w:rsid w:val="07770C56"/>
    <w:rsid w:val="07896D79"/>
    <w:rsid w:val="07926EFD"/>
    <w:rsid w:val="079A1219"/>
    <w:rsid w:val="079C75F6"/>
    <w:rsid w:val="07CB2C73"/>
    <w:rsid w:val="07CD7519"/>
    <w:rsid w:val="07DE071F"/>
    <w:rsid w:val="07EB17D6"/>
    <w:rsid w:val="07F12200"/>
    <w:rsid w:val="081B176A"/>
    <w:rsid w:val="08291AC8"/>
    <w:rsid w:val="082D1382"/>
    <w:rsid w:val="083B60A1"/>
    <w:rsid w:val="08434BFA"/>
    <w:rsid w:val="08554782"/>
    <w:rsid w:val="08740015"/>
    <w:rsid w:val="08817E97"/>
    <w:rsid w:val="08851C31"/>
    <w:rsid w:val="088B3322"/>
    <w:rsid w:val="08AF3E13"/>
    <w:rsid w:val="08D04AC7"/>
    <w:rsid w:val="08F44A03"/>
    <w:rsid w:val="08F83762"/>
    <w:rsid w:val="08FD1DEA"/>
    <w:rsid w:val="08FF6B9F"/>
    <w:rsid w:val="09204C20"/>
    <w:rsid w:val="092217DD"/>
    <w:rsid w:val="093766D2"/>
    <w:rsid w:val="093A7294"/>
    <w:rsid w:val="093E76C7"/>
    <w:rsid w:val="097906FF"/>
    <w:rsid w:val="09976DD7"/>
    <w:rsid w:val="099D513F"/>
    <w:rsid w:val="09B94A8A"/>
    <w:rsid w:val="09D82BC8"/>
    <w:rsid w:val="09E90AFF"/>
    <w:rsid w:val="0A020747"/>
    <w:rsid w:val="0A026E19"/>
    <w:rsid w:val="0A193269"/>
    <w:rsid w:val="0A2148F3"/>
    <w:rsid w:val="0A216696"/>
    <w:rsid w:val="0A263993"/>
    <w:rsid w:val="0A2848E7"/>
    <w:rsid w:val="0A2D1898"/>
    <w:rsid w:val="0A2D3AC2"/>
    <w:rsid w:val="0A3E71D2"/>
    <w:rsid w:val="0A76377C"/>
    <w:rsid w:val="0A8F1A85"/>
    <w:rsid w:val="0A9B64C0"/>
    <w:rsid w:val="0AA755DF"/>
    <w:rsid w:val="0AE83F2C"/>
    <w:rsid w:val="0AEE3228"/>
    <w:rsid w:val="0AF61B32"/>
    <w:rsid w:val="0B120D44"/>
    <w:rsid w:val="0B1D330C"/>
    <w:rsid w:val="0B216502"/>
    <w:rsid w:val="0B2226D0"/>
    <w:rsid w:val="0B224DC6"/>
    <w:rsid w:val="0B386398"/>
    <w:rsid w:val="0B636AD9"/>
    <w:rsid w:val="0B6A43CA"/>
    <w:rsid w:val="0B6B58B2"/>
    <w:rsid w:val="0B780030"/>
    <w:rsid w:val="0B9F7216"/>
    <w:rsid w:val="0BA650B0"/>
    <w:rsid w:val="0BA660E8"/>
    <w:rsid w:val="0BAA5E29"/>
    <w:rsid w:val="0BBF4558"/>
    <w:rsid w:val="0BD27BF6"/>
    <w:rsid w:val="0BE36D4B"/>
    <w:rsid w:val="0BE91440"/>
    <w:rsid w:val="0BED0CED"/>
    <w:rsid w:val="0BEE21B3"/>
    <w:rsid w:val="0BF15BEB"/>
    <w:rsid w:val="0BF8214A"/>
    <w:rsid w:val="0C0D15D3"/>
    <w:rsid w:val="0C0E2BC1"/>
    <w:rsid w:val="0C1369A8"/>
    <w:rsid w:val="0C1A659E"/>
    <w:rsid w:val="0C217946"/>
    <w:rsid w:val="0C2F32F7"/>
    <w:rsid w:val="0C3B3C7D"/>
    <w:rsid w:val="0C502219"/>
    <w:rsid w:val="0C6173B0"/>
    <w:rsid w:val="0C6A07D3"/>
    <w:rsid w:val="0C7E602C"/>
    <w:rsid w:val="0C8F71EB"/>
    <w:rsid w:val="0C95035A"/>
    <w:rsid w:val="0C9870EE"/>
    <w:rsid w:val="0C9F6CA2"/>
    <w:rsid w:val="0CA7043F"/>
    <w:rsid w:val="0CAB2EAE"/>
    <w:rsid w:val="0CAC2B9A"/>
    <w:rsid w:val="0CB101B0"/>
    <w:rsid w:val="0CB95226"/>
    <w:rsid w:val="0CC071D5"/>
    <w:rsid w:val="0CC80840"/>
    <w:rsid w:val="0CC82BFB"/>
    <w:rsid w:val="0CD242DF"/>
    <w:rsid w:val="0CD47A8A"/>
    <w:rsid w:val="0CE75980"/>
    <w:rsid w:val="0D004306"/>
    <w:rsid w:val="0D0A1648"/>
    <w:rsid w:val="0D1D5774"/>
    <w:rsid w:val="0D38267F"/>
    <w:rsid w:val="0D5079C9"/>
    <w:rsid w:val="0D621C7D"/>
    <w:rsid w:val="0D8A4767"/>
    <w:rsid w:val="0D9A705C"/>
    <w:rsid w:val="0DD63418"/>
    <w:rsid w:val="0E0D15AC"/>
    <w:rsid w:val="0E107158"/>
    <w:rsid w:val="0E1E1CE1"/>
    <w:rsid w:val="0E2855BD"/>
    <w:rsid w:val="0E3C619F"/>
    <w:rsid w:val="0E4C35F7"/>
    <w:rsid w:val="0E6E46B5"/>
    <w:rsid w:val="0E73034D"/>
    <w:rsid w:val="0E823147"/>
    <w:rsid w:val="0E883192"/>
    <w:rsid w:val="0E8C14E5"/>
    <w:rsid w:val="0EA22020"/>
    <w:rsid w:val="0EA24254"/>
    <w:rsid w:val="0EAC5C98"/>
    <w:rsid w:val="0EB977F0"/>
    <w:rsid w:val="0EBB70C4"/>
    <w:rsid w:val="0ECA4851"/>
    <w:rsid w:val="0EE7610B"/>
    <w:rsid w:val="0EEE7F23"/>
    <w:rsid w:val="0F065525"/>
    <w:rsid w:val="0F082A0E"/>
    <w:rsid w:val="0F0A63FE"/>
    <w:rsid w:val="0F13775A"/>
    <w:rsid w:val="0F20433E"/>
    <w:rsid w:val="0F2C6C03"/>
    <w:rsid w:val="0F44530B"/>
    <w:rsid w:val="0F5D5AB9"/>
    <w:rsid w:val="0F5F45FE"/>
    <w:rsid w:val="0F694351"/>
    <w:rsid w:val="0F7C7E13"/>
    <w:rsid w:val="0F8604F3"/>
    <w:rsid w:val="0F88032D"/>
    <w:rsid w:val="0F9A112B"/>
    <w:rsid w:val="0FAC0967"/>
    <w:rsid w:val="0FD33817"/>
    <w:rsid w:val="0FD63973"/>
    <w:rsid w:val="0FE40035"/>
    <w:rsid w:val="0FEC1D53"/>
    <w:rsid w:val="0FFB7A5A"/>
    <w:rsid w:val="10036288"/>
    <w:rsid w:val="100C7E3B"/>
    <w:rsid w:val="10211D0B"/>
    <w:rsid w:val="102132EF"/>
    <w:rsid w:val="10367B82"/>
    <w:rsid w:val="1057106E"/>
    <w:rsid w:val="106D2F64"/>
    <w:rsid w:val="10757AB0"/>
    <w:rsid w:val="10A02A15"/>
    <w:rsid w:val="10A342B4"/>
    <w:rsid w:val="10A37429"/>
    <w:rsid w:val="10B24004"/>
    <w:rsid w:val="10B63710"/>
    <w:rsid w:val="10BD6F35"/>
    <w:rsid w:val="10CD1330"/>
    <w:rsid w:val="10F10820"/>
    <w:rsid w:val="10F82A02"/>
    <w:rsid w:val="10FB3C68"/>
    <w:rsid w:val="11023544"/>
    <w:rsid w:val="110E78D8"/>
    <w:rsid w:val="11167533"/>
    <w:rsid w:val="11187D67"/>
    <w:rsid w:val="111C2F7A"/>
    <w:rsid w:val="11205904"/>
    <w:rsid w:val="1122342A"/>
    <w:rsid w:val="11276C93"/>
    <w:rsid w:val="115E34C0"/>
    <w:rsid w:val="11613355"/>
    <w:rsid w:val="11665CA1"/>
    <w:rsid w:val="11733C86"/>
    <w:rsid w:val="117D4B05"/>
    <w:rsid w:val="119A6738"/>
    <w:rsid w:val="119F7AF4"/>
    <w:rsid w:val="11B564D5"/>
    <w:rsid w:val="11BA27CD"/>
    <w:rsid w:val="11C26637"/>
    <w:rsid w:val="11DA1F57"/>
    <w:rsid w:val="11DB262D"/>
    <w:rsid w:val="11DC0F93"/>
    <w:rsid w:val="11E006C0"/>
    <w:rsid w:val="11E7309F"/>
    <w:rsid w:val="11FB49F3"/>
    <w:rsid w:val="121D07F3"/>
    <w:rsid w:val="123E786A"/>
    <w:rsid w:val="1250234B"/>
    <w:rsid w:val="12684274"/>
    <w:rsid w:val="12767ED2"/>
    <w:rsid w:val="127B3A7A"/>
    <w:rsid w:val="12806A7C"/>
    <w:rsid w:val="129809BA"/>
    <w:rsid w:val="129B7C09"/>
    <w:rsid w:val="129E112E"/>
    <w:rsid w:val="12AA1929"/>
    <w:rsid w:val="12AB56A1"/>
    <w:rsid w:val="12AB744F"/>
    <w:rsid w:val="12DF3C1F"/>
    <w:rsid w:val="12E27315"/>
    <w:rsid w:val="12F65FF1"/>
    <w:rsid w:val="13196AAF"/>
    <w:rsid w:val="131F6382"/>
    <w:rsid w:val="13207E3D"/>
    <w:rsid w:val="13316631"/>
    <w:rsid w:val="133259FB"/>
    <w:rsid w:val="13477178"/>
    <w:rsid w:val="13853329"/>
    <w:rsid w:val="138A5B19"/>
    <w:rsid w:val="13951726"/>
    <w:rsid w:val="139C75AD"/>
    <w:rsid w:val="139D1940"/>
    <w:rsid w:val="13DA2F6E"/>
    <w:rsid w:val="13DB411E"/>
    <w:rsid w:val="13DF1AA7"/>
    <w:rsid w:val="13E64298"/>
    <w:rsid w:val="13F96784"/>
    <w:rsid w:val="13FC4322"/>
    <w:rsid w:val="14011AE5"/>
    <w:rsid w:val="14292D22"/>
    <w:rsid w:val="143119D7"/>
    <w:rsid w:val="143324D3"/>
    <w:rsid w:val="14396509"/>
    <w:rsid w:val="14480A49"/>
    <w:rsid w:val="14482E21"/>
    <w:rsid w:val="14684B99"/>
    <w:rsid w:val="147C6C64"/>
    <w:rsid w:val="147E793A"/>
    <w:rsid w:val="14963666"/>
    <w:rsid w:val="149A59CD"/>
    <w:rsid w:val="149B7C36"/>
    <w:rsid w:val="14A275CF"/>
    <w:rsid w:val="14CA6DD8"/>
    <w:rsid w:val="14CD5DA3"/>
    <w:rsid w:val="14CE4BBD"/>
    <w:rsid w:val="14DB66F5"/>
    <w:rsid w:val="14DD2C3C"/>
    <w:rsid w:val="14F84448"/>
    <w:rsid w:val="1502451B"/>
    <w:rsid w:val="1528122B"/>
    <w:rsid w:val="152B715D"/>
    <w:rsid w:val="15367636"/>
    <w:rsid w:val="153F253D"/>
    <w:rsid w:val="154D1CD8"/>
    <w:rsid w:val="154D2DD8"/>
    <w:rsid w:val="15592293"/>
    <w:rsid w:val="156003D9"/>
    <w:rsid w:val="156E30E2"/>
    <w:rsid w:val="15AA210B"/>
    <w:rsid w:val="15B53438"/>
    <w:rsid w:val="15C251DC"/>
    <w:rsid w:val="15CD5AB8"/>
    <w:rsid w:val="15DC2CB2"/>
    <w:rsid w:val="15FE2D06"/>
    <w:rsid w:val="16087E1D"/>
    <w:rsid w:val="16137B32"/>
    <w:rsid w:val="16144628"/>
    <w:rsid w:val="161C4576"/>
    <w:rsid w:val="161D511E"/>
    <w:rsid w:val="161F262E"/>
    <w:rsid w:val="163046BA"/>
    <w:rsid w:val="163E4FD8"/>
    <w:rsid w:val="164E7962"/>
    <w:rsid w:val="16545A17"/>
    <w:rsid w:val="165B2F3A"/>
    <w:rsid w:val="1661098B"/>
    <w:rsid w:val="16707C2E"/>
    <w:rsid w:val="16801192"/>
    <w:rsid w:val="168129A1"/>
    <w:rsid w:val="1683296D"/>
    <w:rsid w:val="1684106C"/>
    <w:rsid w:val="16970417"/>
    <w:rsid w:val="16B03D62"/>
    <w:rsid w:val="16BA0495"/>
    <w:rsid w:val="16CC325A"/>
    <w:rsid w:val="16CF64D1"/>
    <w:rsid w:val="16D52CED"/>
    <w:rsid w:val="16DA0899"/>
    <w:rsid w:val="16E65247"/>
    <w:rsid w:val="16EE7FBC"/>
    <w:rsid w:val="170D014A"/>
    <w:rsid w:val="170F61FF"/>
    <w:rsid w:val="17153B1E"/>
    <w:rsid w:val="176F2E6E"/>
    <w:rsid w:val="17701D14"/>
    <w:rsid w:val="17735226"/>
    <w:rsid w:val="177E3384"/>
    <w:rsid w:val="17991F6C"/>
    <w:rsid w:val="179A03BE"/>
    <w:rsid w:val="179B4D9D"/>
    <w:rsid w:val="17A02CA7"/>
    <w:rsid w:val="17A3166A"/>
    <w:rsid w:val="17DD6B86"/>
    <w:rsid w:val="17E87D3E"/>
    <w:rsid w:val="17E91028"/>
    <w:rsid w:val="17F52D89"/>
    <w:rsid w:val="1805733B"/>
    <w:rsid w:val="1826365E"/>
    <w:rsid w:val="18271D43"/>
    <w:rsid w:val="18363945"/>
    <w:rsid w:val="183A52FF"/>
    <w:rsid w:val="185B71EE"/>
    <w:rsid w:val="189F624C"/>
    <w:rsid w:val="18A03CC2"/>
    <w:rsid w:val="18E86D07"/>
    <w:rsid w:val="18F27848"/>
    <w:rsid w:val="18FC7284"/>
    <w:rsid w:val="190306CD"/>
    <w:rsid w:val="190E6FF1"/>
    <w:rsid w:val="19173A91"/>
    <w:rsid w:val="19423752"/>
    <w:rsid w:val="19566367"/>
    <w:rsid w:val="196315DB"/>
    <w:rsid w:val="196565AA"/>
    <w:rsid w:val="199433D3"/>
    <w:rsid w:val="199A7B5B"/>
    <w:rsid w:val="19A126B4"/>
    <w:rsid w:val="19A14650"/>
    <w:rsid w:val="19AD2867"/>
    <w:rsid w:val="19BD6628"/>
    <w:rsid w:val="19C77265"/>
    <w:rsid w:val="19CA28B1"/>
    <w:rsid w:val="19CA6156"/>
    <w:rsid w:val="19FE059F"/>
    <w:rsid w:val="1A042C20"/>
    <w:rsid w:val="1A0F29BA"/>
    <w:rsid w:val="1A101B8C"/>
    <w:rsid w:val="1A1C66C0"/>
    <w:rsid w:val="1A2A4C22"/>
    <w:rsid w:val="1A42393B"/>
    <w:rsid w:val="1A4E6CE5"/>
    <w:rsid w:val="1A633C55"/>
    <w:rsid w:val="1A8E0638"/>
    <w:rsid w:val="1AA36286"/>
    <w:rsid w:val="1AAD45DE"/>
    <w:rsid w:val="1AC23E12"/>
    <w:rsid w:val="1B046F80"/>
    <w:rsid w:val="1B0E171E"/>
    <w:rsid w:val="1B1B6455"/>
    <w:rsid w:val="1B26620D"/>
    <w:rsid w:val="1B3267B5"/>
    <w:rsid w:val="1B356450"/>
    <w:rsid w:val="1B397CEE"/>
    <w:rsid w:val="1B3C4E8D"/>
    <w:rsid w:val="1B3C5277"/>
    <w:rsid w:val="1B40161D"/>
    <w:rsid w:val="1B441859"/>
    <w:rsid w:val="1B4A2315"/>
    <w:rsid w:val="1B601BEE"/>
    <w:rsid w:val="1B6606B1"/>
    <w:rsid w:val="1B742AD4"/>
    <w:rsid w:val="1B755A7C"/>
    <w:rsid w:val="1B797DF4"/>
    <w:rsid w:val="1B7A232D"/>
    <w:rsid w:val="1B870293"/>
    <w:rsid w:val="1BA608FB"/>
    <w:rsid w:val="1BA710FC"/>
    <w:rsid w:val="1BA809D0"/>
    <w:rsid w:val="1BDC7FC4"/>
    <w:rsid w:val="1BEE499C"/>
    <w:rsid w:val="1BEF5F88"/>
    <w:rsid w:val="1BF43C15"/>
    <w:rsid w:val="1C1E778E"/>
    <w:rsid w:val="1C3D380E"/>
    <w:rsid w:val="1C410162"/>
    <w:rsid w:val="1C410B74"/>
    <w:rsid w:val="1C5E7925"/>
    <w:rsid w:val="1C6513F0"/>
    <w:rsid w:val="1C725D6E"/>
    <w:rsid w:val="1C8F1FBA"/>
    <w:rsid w:val="1CB763CB"/>
    <w:rsid w:val="1CF30371"/>
    <w:rsid w:val="1CF47752"/>
    <w:rsid w:val="1CF52996"/>
    <w:rsid w:val="1CFD070F"/>
    <w:rsid w:val="1D07320F"/>
    <w:rsid w:val="1D2C719F"/>
    <w:rsid w:val="1D5F6196"/>
    <w:rsid w:val="1D6132A5"/>
    <w:rsid w:val="1D696644"/>
    <w:rsid w:val="1D7019C1"/>
    <w:rsid w:val="1D7C3EC2"/>
    <w:rsid w:val="1D7D3530"/>
    <w:rsid w:val="1D7E5E8C"/>
    <w:rsid w:val="1D8E56D5"/>
    <w:rsid w:val="1D906C70"/>
    <w:rsid w:val="1D921938"/>
    <w:rsid w:val="1DAE4226"/>
    <w:rsid w:val="1DC4789F"/>
    <w:rsid w:val="1DD66C03"/>
    <w:rsid w:val="1DED3012"/>
    <w:rsid w:val="1E0345E3"/>
    <w:rsid w:val="1E311EC1"/>
    <w:rsid w:val="1E314459"/>
    <w:rsid w:val="1E360761"/>
    <w:rsid w:val="1E393709"/>
    <w:rsid w:val="1E3D18A3"/>
    <w:rsid w:val="1E3E2F64"/>
    <w:rsid w:val="1E4427E1"/>
    <w:rsid w:val="1E5D50C1"/>
    <w:rsid w:val="1E5F6B76"/>
    <w:rsid w:val="1E727F86"/>
    <w:rsid w:val="1E7A43DA"/>
    <w:rsid w:val="1EA75C5E"/>
    <w:rsid w:val="1EB76193"/>
    <w:rsid w:val="1EC75611"/>
    <w:rsid w:val="1ED52813"/>
    <w:rsid w:val="1EE26AB3"/>
    <w:rsid w:val="1F0938D3"/>
    <w:rsid w:val="1F2E54B8"/>
    <w:rsid w:val="1F2E606E"/>
    <w:rsid w:val="1F520E6A"/>
    <w:rsid w:val="1F62011E"/>
    <w:rsid w:val="1F6B7E11"/>
    <w:rsid w:val="1F6E2092"/>
    <w:rsid w:val="1F890B18"/>
    <w:rsid w:val="1FA87F4E"/>
    <w:rsid w:val="1FAF4A23"/>
    <w:rsid w:val="1FE7539E"/>
    <w:rsid w:val="1FE93194"/>
    <w:rsid w:val="1FEE41A1"/>
    <w:rsid w:val="1FEF6BCD"/>
    <w:rsid w:val="20147CC9"/>
    <w:rsid w:val="20427645"/>
    <w:rsid w:val="20505F62"/>
    <w:rsid w:val="205E0C3B"/>
    <w:rsid w:val="20671BE0"/>
    <w:rsid w:val="207F7F55"/>
    <w:rsid w:val="20931861"/>
    <w:rsid w:val="20955535"/>
    <w:rsid w:val="20963CB8"/>
    <w:rsid w:val="20A81A1B"/>
    <w:rsid w:val="20B07FB6"/>
    <w:rsid w:val="20B646FB"/>
    <w:rsid w:val="20BB0148"/>
    <w:rsid w:val="20C311EB"/>
    <w:rsid w:val="210576E0"/>
    <w:rsid w:val="21101404"/>
    <w:rsid w:val="21153AE1"/>
    <w:rsid w:val="211B195F"/>
    <w:rsid w:val="21287C3E"/>
    <w:rsid w:val="213A0873"/>
    <w:rsid w:val="213B74B1"/>
    <w:rsid w:val="215869F4"/>
    <w:rsid w:val="215A2310"/>
    <w:rsid w:val="21627F05"/>
    <w:rsid w:val="21676C37"/>
    <w:rsid w:val="217D038E"/>
    <w:rsid w:val="2183659D"/>
    <w:rsid w:val="21935C7E"/>
    <w:rsid w:val="21B47C57"/>
    <w:rsid w:val="21BF0821"/>
    <w:rsid w:val="21C0259F"/>
    <w:rsid w:val="21D51978"/>
    <w:rsid w:val="21DE318A"/>
    <w:rsid w:val="21E22BA2"/>
    <w:rsid w:val="21EB7868"/>
    <w:rsid w:val="21EF5B80"/>
    <w:rsid w:val="21F15B0F"/>
    <w:rsid w:val="220637A5"/>
    <w:rsid w:val="224407AF"/>
    <w:rsid w:val="224637A4"/>
    <w:rsid w:val="224A077C"/>
    <w:rsid w:val="22576990"/>
    <w:rsid w:val="227656B5"/>
    <w:rsid w:val="229B38CB"/>
    <w:rsid w:val="22B47310"/>
    <w:rsid w:val="22B95638"/>
    <w:rsid w:val="22BD5DB2"/>
    <w:rsid w:val="22C150BE"/>
    <w:rsid w:val="22D31348"/>
    <w:rsid w:val="22D622C7"/>
    <w:rsid w:val="22E91FFA"/>
    <w:rsid w:val="22EB2BAA"/>
    <w:rsid w:val="22F47480"/>
    <w:rsid w:val="22F526F3"/>
    <w:rsid w:val="22F66BD5"/>
    <w:rsid w:val="234822FE"/>
    <w:rsid w:val="234A5951"/>
    <w:rsid w:val="238D507B"/>
    <w:rsid w:val="23944157"/>
    <w:rsid w:val="23DE1C48"/>
    <w:rsid w:val="23F4256F"/>
    <w:rsid w:val="23F5677C"/>
    <w:rsid w:val="23F67BC9"/>
    <w:rsid w:val="23FE4FA4"/>
    <w:rsid w:val="240210CD"/>
    <w:rsid w:val="242058F1"/>
    <w:rsid w:val="242B4894"/>
    <w:rsid w:val="242D6472"/>
    <w:rsid w:val="245F3466"/>
    <w:rsid w:val="247149ED"/>
    <w:rsid w:val="24743B45"/>
    <w:rsid w:val="24813F11"/>
    <w:rsid w:val="24967F5F"/>
    <w:rsid w:val="24973CD7"/>
    <w:rsid w:val="24A242F9"/>
    <w:rsid w:val="24AD27B3"/>
    <w:rsid w:val="24B973D0"/>
    <w:rsid w:val="24BF09F7"/>
    <w:rsid w:val="24EC5607"/>
    <w:rsid w:val="24FB0CC8"/>
    <w:rsid w:val="24FE7C4F"/>
    <w:rsid w:val="24FF332C"/>
    <w:rsid w:val="2521167B"/>
    <w:rsid w:val="252D53FE"/>
    <w:rsid w:val="2544204B"/>
    <w:rsid w:val="255D6C3D"/>
    <w:rsid w:val="255F3C0C"/>
    <w:rsid w:val="25815675"/>
    <w:rsid w:val="25987D07"/>
    <w:rsid w:val="25B3659B"/>
    <w:rsid w:val="25B6018D"/>
    <w:rsid w:val="25D26264"/>
    <w:rsid w:val="25E55FC3"/>
    <w:rsid w:val="25EC2D81"/>
    <w:rsid w:val="25F275AA"/>
    <w:rsid w:val="260B5A65"/>
    <w:rsid w:val="261D3E53"/>
    <w:rsid w:val="26263A75"/>
    <w:rsid w:val="26467BCB"/>
    <w:rsid w:val="26485289"/>
    <w:rsid w:val="265579A6"/>
    <w:rsid w:val="265B5EA8"/>
    <w:rsid w:val="265B73F3"/>
    <w:rsid w:val="266F6D1B"/>
    <w:rsid w:val="26806335"/>
    <w:rsid w:val="26880A69"/>
    <w:rsid w:val="269B185D"/>
    <w:rsid w:val="26B274D5"/>
    <w:rsid w:val="26B81856"/>
    <w:rsid w:val="26BB1EFF"/>
    <w:rsid w:val="26D34C02"/>
    <w:rsid w:val="26D76022"/>
    <w:rsid w:val="2702368A"/>
    <w:rsid w:val="27140937"/>
    <w:rsid w:val="272E201F"/>
    <w:rsid w:val="27427F2B"/>
    <w:rsid w:val="27475541"/>
    <w:rsid w:val="274C0DA9"/>
    <w:rsid w:val="275F7D5D"/>
    <w:rsid w:val="276A3FD7"/>
    <w:rsid w:val="276E30FB"/>
    <w:rsid w:val="277057A2"/>
    <w:rsid w:val="277707E1"/>
    <w:rsid w:val="27774B8A"/>
    <w:rsid w:val="27776FFF"/>
    <w:rsid w:val="278C49B9"/>
    <w:rsid w:val="27BA6B42"/>
    <w:rsid w:val="27C923FA"/>
    <w:rsid w:val="27CB6172"/>
    <w:rsid w:val="27CB7F20"/>
    <w:rsid w:val="28004365"/>
    <w:rsid w:val="28090A2D"/>
    <w:rsid w:val="28221B0A"/>
    <w:rsid w:val="28225040"/>
    <w:rsid w:val="283F5F78"/>
    <w:rsid w:val="28474701"/>
    <w:rsid w:val="28682A27"/>
    <w:rsid w:val="288709B2"/>
    <w:rsid w:val="288D1679"/>
    <w:rsid w:val="28A075FF"/>
    <w:rsid w:val="28AB7D51"/>
    <w:rsid w:val="28B27332"/>
    <w:rsid w:val="28BF50C6"/>
    <w:rsid w:val="28E62B38"/>
    <w:rsid w:val="28EF1766"/>
    <w:rsid w:val="29010B31"/>
    <w:rsid w:val="290F02E0"/>
    <w:rsid w:val="290F79A5"/>
    <w:rsid w:val="291951C7"/>
    <w:rsid w:val="291D29FD"/>
    <w:rsid w:val="29206085"/>
    <w:rsid w:val="29206EB8"/>
    <w:rsid w:val="292F0982"/>
    <w:rsid w:val="293456B9"/>
    <w:rsid w:val="29457B2D"/>
    <w:rsid w:val="29595666"/>
    <w:rsid w:val="295B06C6"/>
    <w:rsid w:val="29714AF7"/>
    <w:rsid w:val="2979531C"/>
    <w:rsid w:val="297D2B7D"/>
    <w:rsid w:val="2983215C"/>
    <w:rsid w:val="29874881"/>
    <w:rsid w:val="29C27101"/>
    <w:rsid w:val="29E325E0"/>
    <w:rsid w:val="29EA3ED0"/>
    <w:rsid w:val="2A0422E9"/>
    <w:rsid w:val="2A1674DF"/>
    <w:rsid w:val="2A1C2CB5"/>
    <w:rsid w:val="2A2E29E8"/>
    <w:rsid w:val="2A35707C"/>
    <w:rsid w:val="2A4404E2"/>
    <w:rsid w:val="2A452503"/>
    <w:rsid w:val="2A4B5348"/>
    <w:rsid w:val="2A74455A"/>
    <w:rsid w:val="2A8B7E3A"/>
    <w:rsid w:val="2A9767DF"/>
    <w:rsid w:val="2AB31805"/>
    <w:rsid w:val="2AB770D7"/>
    <w:rsid w:val="2ACB541A"/>
    <w:rsid w:val="2AD45542"/>
    <w:rsid w:val="2AEA0C1E"/>
    <w:rsid w:val="2AED470F"/>
    <w:rsid w:val="2B035C23"/>
    <w:rsid w:val="2B1E10A9"/>
    <w:rsid w:val="2B2249E6"/>
    <w:rsid w:val="2B263D1E"/>
    <w:rsid w:val="2B312790"/>
    <w:rsid w:val="2B6A165E"/>
    <w:rsid w:val="2B6D7540"/>
    <w:rsid w:val="2BA936A8"/>
    <w:rsid w:val="2BE96B9C"/>
    <w:rsid w:val="2C083DF9"/>
    <w:rsid w:val="2C315A5A"/>
    <w:rsid w:val="2C3E0125"/>
    <w:rsid w:val="2C4666EF"/>
    <w:rsid w:val="2C4B1C25"/>
    <w:rsid w:val="2C7E34D4"/>
    <w:rsid w:val="2C8469EC"/>
    <w:rsid w:val="2C952D0F"/>
    <w:rsid w:val="2C95584C"/>
    <w:rsid w:val="2C9C2E6F"/>
    <w:rsid w:val="2CA362AC"/>
    <w:rsid w:val="2CAC6A25"/>
    <w:rsid w:val="2CBB2565"/>
    <w:rsid w:val="2D117479"/>
    <w:rsid w:val="2D1F5593"/>
    <w:rsid w:val="2D463E79"/>
    <w:rsid w:val="2D7A456E"/>
    <w:rsid w:val="2D8D47F8"/>
    <w:rsid w:val="2D9E56F5"/>
    <w:rsid w:val="2DAD08F6"/>
    <w:rsid w:val="2DD80468"/>
    <w:rsid w:val="2DE51610"/>
    <w:rsid w:val="2DEE1D2B"/>
    <w:rsid w:val="2E00469C"/>
    <w:rsid w:val="2E667F96"/>
    <w:rsid w:val="2E8226AB"/>
    <w:rsid w:val="2E9F3EB4"/>
    <w:rsid w:val="2EAC0A52"/>
    <w:rsid w:val="2EB559C2"/>
    <w:rsid w:val="2EB81C35"/>
    <w:rsid w:val="2ED64E95"/>
    <w:rsid w:val="2EEC3CE2"/>
    <w:rsid w:val="2F1B6036"/>
    <w:rsid w:val="2F35142F"/>
    <w:rsid w:val="2F497434"/>
    <w:rsid w:val="2F526AE0"/>
    <w:rsid w:val="2F671616"/>
    <w:rsid w:val="2F697837"/>
    <w:rsid w:val="2F794705"/>
    <w:rsid w:val="2F7C14D8"/>
    <w:rsid w:val="2F847563"/>
    <w:rsid w:val="2F961DA5"/>
    <w:rsid w:val="2FD065E6"/>
    <w:rsid w:val="2FD96870"/>
    <w:rsid w:val="2FDD33E1"/>
    <w:rsid w:val="2FE963F6"/>
    <w:rsid w:val="2FF94B6F"/>
    <w:rsid w:val="2FFD70E5"/>
    <w:rsid w:val="30171C19"/>
    <w:rsid w:val="302503E9"/>
    <w:rsid w:val="30332FEE"/>
    <w:rsid w:val="30355113"/>
    <w:rsid w:val="30571724"/>
    <w:rsid w:val="30580BC9"/>
    <w:rsid w:val="30647164"/>
    <w:rsid w:val="30684613"/>
    <w:rsid w:val="30736266"/>
    <w:rsid w:val="3089305D"/>
    <w:rsid w:val="30910313"/>
    <w:rsid w:val="30CF45A6"/>
    <w:rsid w:val="30DD1801"/>
    <w:rsid w:val="30F21B89"/>
    <w:rsid w:val="311E2ED7"/>
    <w:rsid w:val="315619EE"/>
    <w:rsid w:val="31592B75"/>
    <w:rsid w:val="315C449C"/>
    <w:rsid w:val="31973569"/>
    <w:rsid w:val="31A2182B"/>
    <w:rsid w:val="31A917CD"/>
    <w:rsid w:val="31B82709"/>
    <w:rsid w:val="31BB2DB3"/>
    <w:rsid w:val="31BC68AC"/>
    <w:rsid w:val="31BF1404"/>
    <w:rsid w:val="31C86CB5"/>
    <w:rsid w:val="31D05482"/>
    <w:rsid w:val="31E00A6C"/>
    <w:rsid w:val="31E16592"/>
    <w:rsid w:val="31E77D36"/>
    <w:rsid w:val="31F24104"/>
    <w:rsid w:val="320A1249"/>
    <w:rsid w:val="321918D1"/>
    <w:rsid w:val="32400B34"/>
    <w:rsid w:val="32681EDB"/>
    <w:rsid w:val="327F7D8F"/>
    <w:rsid w:val="32810490"/>
    <w:rsid w:val="329B4993"/>
    <w:rsid w:val="329E6876"/>
    <w:rsid w:val="32A60242"/>
    <w:rsid w:val="32A74071"/>
    <w:rsid w:val="32AD579D"/>
    <w:rsid w:val="32B33902"/>
    <w:rsid w:val="32BB4BAE"/>
    <w:rsid w:val="32BD4A42"/>
    <w:rsid w:val="32EC3C99"/>
    <w:rsid w:val="330324ED"/>
    <w:rsid w:val="33077B6E"/>
    <w:rsid w:val="33185FE3"/>
    <w:rsid w:val="33242BDA"/>
    <w:rsid w:val="333015F2"/>
    <w:rsid w:val="33354DE7"/>
    <w:rsid w:val="333C43C8"/>
    <w:rsid w:val="334868C9"/>
    <w:rsid w:val="334B6320"/>
    <w:rsid w:val="33552847"/>
    <w:rsid w:val="335E4DCB"/>
    <w:rsid w:val="33727DEA"/>
    <w:rsid w:val="337C6572"/>
    <w:rsid w:val="33823753"/>
    <w:rsid w:val="33A94C74"/>
    <w:rsid w:val="33B75EAC"/>
    <w:rsid w:val="33D36D0E"/>
    <w:rsid w:val="33D934D4"/>
    <w:rsid w:val="33DE7EF4"/>
    <w:rsid w:val="33FE2F6A"/>
    <w:rsid w:val="340E07E5"/>
    <w:rsid w:val="341A6D83"/>
    <w:rsid w:val="341B3FDD"/>
    <w:rsid w:val="341E6B16"/>
    <w:rsid w:val="34235BF7"/>
    <w:rsid w:val="3428481B"/>
    <w:rsid w:val="34594B05"/>
    <w:rsid w:val="346212E8"/>
    <w:rsid w:val="347D5A86"/>
    <w:rsid w:val="3482761C"/>
    <w:rsid w:val="348E1204"/>
    <w:rsid w:val="349049EA"/>
    <w:rsid w:val="34C226AB"/>
    <w:rsid w:val="34C41423"/>
    <w:rsid w:val="34C957E7"/>
    <w:rsid w:val="34D04DC8"/>
    <w:rsid w:val="34D449DD"/>
    <w:rsid w:val="34DB376C"/>
    <w:rsid w:val="350417E9"/>
    <w:rsid w:val="35104BB8"/>
    <w:rsid w:val="351D1FD7"/>
    <w:rsid w:val="352D4FC3"/>
    <w:rsid w:val="35335357"/>
    <w:rsid w:val="353510CF"/>
    <w:rsid w:val="3535269B"/>
    <w:rsid w:val="35503AA2"/>
    <w:rsid w:val="355C037E"/>
    <w:rsid w:val="35675000"/>
    <w:rsid w:val="35753BC1"/>
    <w:rsid w:val="3586192A"/>
    <w:rsid w:val="358C5FA8"/>
    <w:rsid w:val="35A95619"/>
    <w:rsid w:val="35B3788C"/>
    <w:rsid w:val="35C15DF1"/>
    <w:rsid w:val="35DA0F8B"/>
    <w:rsid w:val="35E2567A"/>
    <w:rsid w:val="35ED4950"/>
    <w:rsid w:val="35EE3D3D"/>
    <w:rsid w:val="36074A7F"/>
    <w:rsid w:val="362A1602"/>
    <w:rsid w:val="36394BEF"/>
    <w:rsid w:val="363A3121"/>
    <w:rsid w:val="36716DCF"/>
    <w:rsid w:val="36923549"/>
    <w:rsid w:val="36A80D01"/>
    <w:rsid w:val="36B67FED"/>
    <w:rsid w:val="36B75FBF"/>
    <w:rsid w:val="36BD0C45"/>
    <w:rsid w:val="36CD163E"/>
    <w:rsid w:val="36EF2CA4"/>
    <w:rsid w:val="36FA5FDD"/>
    <w:rsid w:val="3731408E"/>
    <w:rsid w:val="3768738C"/>
    <w:rsid w:val="377A4BD9"/>
    <w:rsid w:val="377B5E0A"/>
    <w:rsid w:val="37815192"/>
    <w:rsid w:val="379C5435"/>
    <w:rsid w:val="37BA58BB"/>
    <w:rsid w:val="37C64CC7"/>
    <w:rsid w:val="37E00298"/>
    <w:rsid w:val="37E92B87"/>
    <w:rsid w:val="37EF7C5B"/>
    <w:rsid w:val="37F94729"/>
    <w:rsid w:val="38073014"/>
    <w:rsid w:val="38080D1C"/>
    <w:rsid w:val="3810136B"/>
    <w:rsid w:val="381C56D9"/>
    <w:rsid w:val="382611A3"/>
    <w:rsid w:val="38337D49"/>
    <w:rsid w:val="38341B11"/>
    <w:rsid w:val="38390ED6"/>
    <w:rsid w:val="384604A0"/>
    <w:rsid w:val="386A07BD"/>
    <w:rsid w:val="386C0E23"/>
    <w:rsid w:val="386F55A2"/>
    <w:rsid w:val="38800F40"/>
    <w:rsid w:val="38B302F9"/>
    <w:rsid w:val="38BB6843"/>
    <w:rsid w:val="38F12CD3"/>
    <w:rsid w:val="38F604E8"/>
    <w:rsid w:val="38F94775"/>
    <w:rsid w:val="390037E8"/>
    <w:rsid w:val="390A63CE"/>
    <w:rsid w:val="39193FDB"/>
    <w:rsid w:val="392971ED"/>
    <w:rsid w:val="392C3D90"/>
    <w:rsid w:val="39325651"/>
    <w:rsid w:val="394072B0"/>
    <w:rsid w:val="395D2BF8"/>
    <w:rsid w:val="3963596D"/>
    <w:rsid w:val="396B6FBE"/>
    <w:rsid w:val="39706B79"/>
    <w:rsid w:val="397B5283"/>
    <w:rsid w:val="39844988"/>
    <w:rsid w:val="39871949"/>
    <w:rsid w:val="39922A7F"/>
    <w:rsid w:val="39946B51"/>
    <w:rsid w:val="399C72A6"/>
    <w:rsid w:val="39A277BB"/>
    <w:rsid w:val="39B4287C"/>
    <w:rsid w:val="39BC1DBE"/>
    <w:rsid w:val="39BC591B"/>
    <w:rsid w:val="39C106E9"/>
    <w:rsid w:val="39CE7FD9"/>
    <w:rsid w:val="39DA5936"/>
    <w:rsid w:val="3A0816C3"/>
    <w:rsid w:val="3A173499"/>
    <w:rsid w:val="3A1F234D"/>
    <w:rsid w:val="3A4E04F0"/>
    <w:rsid w:val="3A737562"/>
    <w:rsid w:val="3A872856"/>
    <w:rsid w:val="3A8F6648"/>
    <w:rsid w:val="3A944AE9"/>
    <w:rsid w:val="3B0672D5"/>
    <w:rsid w:val="3B0742BD"/>
    <w:rsid w:val="3B0C0B24"/>
    <w:rsid w:val="3B181276"/>
    <w:rsid w:val="3B3763D1"/>
    <w:rsid w:val="3B3D2517"/>
    <w:rsid w:val="3B5B57D7"/>
    <w:rsid w:val="3B671522"/>
    <w:rsid w:val="3B9B5EAD"/>
    <w:rsid w:val="3BA54E53"/>
    <w:rsid w:val="3BAD1A30"/>
    <w:rsid w:val="3BD67E40"/>
    <w:rsid w:val="3C007853"/>
    <w:rsid w:val="3C085DC6"/>
    <w:rsid w:val="3C0F08DA"/>
    <w:rsid w:val="3C2D280D"/>
    <w:rsid w:val="3C2F6E1E"/>
    <w:rsid w:val="3C3A4D34"/>
    <w:rsid w:val="3C3F7F2E"/>
    <w:rsid w:val="3C4F64BA"/>
    <w:rsid w:val="3C522CEE"/>
    <w:rsid w:val="3C8C2438"/>
    <w:rsid w:val="3C9E05CE"/>
    <w:rsid w:val="3CA31014"/>
    <w:rsid w:val="3CC33464"/>
    <w:rsid w:val="3CDA245A"/>
    <w:rsid w:val="3CF54E2F"/>
    <w:rsid w:val="3D002EE0"/>
    <w:rsid w:val="3D0B2914"/>
    <w:rsid w:val="3D0D2931"/>
    <w:rsid w:val="3D1E06B7"/>
    <w:rsid w:val="3D2F7B93"/>
    <w:rsid w:val="3D633920"/>
    <w:rsid w:val="3D9425AC"/>
    <w:rsid w:val="3D9F7FDA"/>
    <w:rsid w:val="3DB82D12"/>
    <w:rsid w:val="3DCB6DA7"/>
    <w:rsid w:val="3DE43E6F"/>
    <w:rsid w:val="3DEC08E1"/>
    <w:rsid w:val="3E104487"/>
    <w:rsid w:val="3E174DA2"/>
    <w:rsid w:val="3E311811"/>
    <w:rsid w:val="3E352501"/>
    <w:rsid w:val="3E3C6EF5"/>
    <w:rsid w:val="3E4263A7"/>
    <w:rsid w:val="3E525B2B"/>
    <w:rsid w:val="3E895FE7"/>
    <w:rsid w:val="3EA41A13"/>
    <w:rsid w:val="3EB8567C"/>
    <w:rsid w:val="3ECA2888"/>
    <w:rsid w:val="3EDA0523"/>
    <w:rsid w:val="3EE015CE"/>
    <w:rsid w:val="3F0D5EAA"/>
    <w:rsid w:val="3F157EE7"/>
    <w:rsid w:val="3F36616F"/>
    <w:rsid w:val="3F375C1F"/>
    <w:rsid w:val="3F5A3C1A"/>
    <w:rsid w:val="3F636838"/>
    <w:rsid w:val="3F900920"/>
    <w:rsid w:val="3FAC6431"/>
    <w:rsid w:val="3FB83028"/>
    <w:rsid w:val="3FBA0B4E"/>
    <w:rsid w:val="3FC43F5C"/>
    <w:rsid w:val="3FD140EA"/>
    <w:rsid w:val="3FD17BAA"/>
    <w:rsid w:val="3FD339BE"/>
    <w:rsid w:val="3FF51B86"/>
    <w:rsid w:val="40041DC9"/>
    <w:rsid w:val="40212B07"/>
    <w:rsid w:val="4024246B"/>
    <w:rsid w:val="402E0D3E"/>
    <w:rsid w:val="404A6670"/>
    <w:rsid w:val="404E5C82"/>
    <w:rsid w:val="40514C69"/>
    <w:rsid w:val="40632F94"/>
    <w:rsid w:val="406D5636"/>
    <w:rsid w:val="407A6407"/>
    <w:rsid w:val="40C03186"/>
    <w:rsid w:val="40C645D8"/>
    <w:rsid w:val="40CF133D"/>
    <w:rsid w:val="40ED0AAF"/>
    <w:rsid w:val="40F260C6"/>
    <w:rsid w:val="411058C0"/>
    <w:rsid w:val="415134A6"/>
    <w:rsid w:val="415649C7"/>
    <w:rsid w:val="41640CF0"/>
    <w:rsid w:val="41823CCA"/>
    <w:rsid w:val="41973C47"/>
    <w:rsid w:val="41C677FD"/>
    <w:rsid w:val="41D05C28"/>
    <w:rsid w:val="41E3713D"/>
    <w:rsid w:val="41FF3CAB"/>
    <w:rsid w:val="4200449D"/>
    <w:rsid w:val="42004812"/>
    <w:rsid w:val="423A3BCC"/>
    <w:rsid w:val="424E57D2"/>
    <w:rsid w:val="425E4C0A"/>
    <w:rsid w:val="426A3716"/>
    <w:rsid w:val="42723962"/>
    <w:rsid w:val="42734FEE"/>
    <w:rsid w:val="428A57E7"/>
    <w:rsid w:val="429621B7"/>
    <w:rsid w:val="42981C30"/>
    <w:rsid w:val="42B26C49"/>
    <w:rsid w:val="42B51FE2"/>
    <w:rsid w:val="42BD4C13"/>
    <w:rsid w:val="42BF46CD"/>
    <w:rsid w:val="42F26851"/>
    <w:rsid w:val="42F500EF"/>
    <w:rsid w:val="430C0D3D"/>
    <w:rsid w:val="43261F06"/>
    <w:rsid w:val="43317379"/>
    <w:rsid w:val="433A6FE6"/>
    <w:rsid w:val="43480868"/>
    <w:rsid w:val="4350713C"/>
    <w:rsid w:val="436653E0"/>
    <w:rsid w:val="43C32BBE"/>
    <w:rsid w:val="43C4431A"/>
    <w:rsid w:val="43CA43F7"/>
    <w:rsid w:val="43FA6252"/>
    <w:rsid w:val="440D7300"/>
    <w:rsid w:val="441706D6"/>
    <w:rsid w:val="44275444"/>
    <w:rsid w:val="443F1DB4"/>
    <w:rsid w:val="444E66A2"/>
    <w:rsid w:val="446D1FD1"/>
    <w:rsid w:val="44B00772"/>
    <w:rsid w:val="44B951CC"/>
    <w:rsid w:val="44CD14E0"/>
    <w:rsid w:val="44D01E4F"/>
    <w:rsid w:val="44F20B0B"/>
    <w:rsid w:val="450068EA"/>
    <w:rsid w:val="45103F56"/>
    <w:rsid w:val="45131C52"/>
    <w:rsid w:val="45241EDD"/>
    <w:rsid w:val="452E5F4C"/>
    <w:rsid w:val="4543346A"/>
    <w:rsid w:val="45480DB3"/>
    <w:rsid w:val="454E486A"/>
    <w:rsid w:val="45612018"/>
    <w:rsid w:val="458946E9"/>
    <w:rsid w:val="458D2861"/>
    <w:rsid w:val="45912351"/>
    <w:rsid w:val="45A25391"/>
    <w:rsid w:val="45A47C0E"/>
    <w:rsid w:val="45B06F1B"/>
    <w:rsid w:val="45B7168C"/>
    <w:rsid w:val="45BF2E72"/>
    <w:rsid w:val="45DF676B"/>
    <w:rsid w:val="45E322B6"/>
    <w:rsid w:val="45E85CE9"/>
    <w:rsid w:val="461A0599"/>
    <w:rsid w:val="461E5346"/>
    <w:rsid w:val="462214CE"/>
    <w:rsid w:val="46353639"/>
    <w:rsid w:val="46366A55"/>
    <w:rsid w:val="46386C71"/>
    <w:rsid w:val="464F72E6"/>
    <w:rsid w:val="46535859"/>
    <w:rsid w:val="46577FD6"/>
    <w:rsid w:val="46753C6B"/>
    <w:rsid w:val="468C5C25"/>
    <w:rsid w:val="468E6891"/>
    <w:rsid w:val="468F4CA2"/>
    <w:rsid w:val="469415A7"/>
    <w:rsid w:val="46972D4E"/>
    <w:rsid w:val="46972DA6"/>
    <w:rsid w:val="46B0766C"/>
    <w:rsid w:val="46BE6AA6"/>
    <w:rsid w:val="46D955A7"/>
    <w:rsid w:val="46DC584E"/>
    <w:rsid w:val="46E62229"/>
    <w:rsid w:val="46EF6468"/>
    <w:rsid w:val="471054F8"/>
    <w:rsid w:val="47133957"/>
    <w:rsid w:val="47183BF0"/>
    <w:rsid w:val="472D60AA"/>
    <w:rsid w:val="47475B50"/>
    <w:rsid w:val="475573AE"/>
    <w:rsid w:val="47905A6E"/>
    <w:rsid w:val="47955B82"/>
    <w:rsid w:val="47A07E0C"/>
    <w:rsid w:val="47A345BE"/>
    <w:rsid w:val="47BC11DC"/>
    <w:rsid w:val="47BC7823"/>
    <w:rsid w:val="47C762E2"/>
    <w:rsid w:val="47F62589"/>
    <w:rsid w:val="47FE1BDC"/>
    <w:rsid w:val="47FF0D25"/>
    <w:rsid w:val="481D6F6E"/>
    <w:rsid w:val="48313978"/>
    <w:rsid w:val="48575BD9"/>
    <w:rsid w:val="48594C7C"/>
    <w:rsid w:val="485D651B"/>
    <w:rsid w:val="48653621"/>
    <w:rsid w:val="486C78B4"/>
    <w:rsid w:val="4870272E"/>
    <w:rsid w:val="487B6ED0"/>
    <w:rsid w:val="48967C7F"/>
    <w:rsid w:val="48A90818"/>
    <w:rsid w:val="48C03FAF"/>
    <w:rsid w:val="48C32BDB"/>
    <w:rsid w:val="48D92A8F"/>
    <w:rsid w:val="48E74BCD"/>
    <w:rsid w:val="48E924A4"/>
    <w:rsid w:val="48FE7566"/>
    <w:rsid w:val="49052B24"/>
    <w:rsid w:val="491D0E2D"/>
    <w:rsid w:val="4926344F"/>
    <w:rsid w:val="493917A1"/>
    <w:rsid w:val="493F3E72"/>
    <w:rsid w:val="49427509"/>
    <w:rsid w:val="49611ABE"/>
    <w:rsid w:val="49804BB7"/>
    <w:rsid w:val="499505C0"/>
    <w:rsid w:val="49BA174B"/>
    <w:rsid w:val="49DC7715"/>
    <w:rsid w:val="49EA0282"/>
    <w:rsid w:val="49F83D29"/>
    <w:rsid w:val="4A023139"/>
    <w:rsid w:val="4A0A5946"/>
    <w:rsid w:val="4A1505F1"/>
    <w:rsid w:val="4A192722"/>
    <w:rsid w:val="4A273284"/>
    <w:rsid w:val="4A3E412A"/>
    <w:rsid w:val="4A496ED6"/>
    <w:rsid w:val="4A6A5750"/>
    <w:rsid w:val="4A7B576F"/>
    <w:rsid w:val="4A963F66"/>
    <w:rsid w:val="4A9A5C89"/>
    <w:rsid w:val="4AAA0B19"/>
    <w:rsid w:val="4AC14A37"/>
    <w:rsid w:val="4AC944E1"/>
    <w:rsid w:val="4ADA0788"/>
    <w:rsid w:val="4AF561A9"/>
    <w:rsid w:val="4B02430B"/>
    <w:rsid w:val="4B156818"/>
    <w:rsid w:val="4B1730BE"/>
    <w:rsid w:val="4B2A4224"/>
    <w:rsid w:val="4B311597"/>
    <w:rsid w:val="4B3E320D"/>
    <w:rsid w:val="4B470C11"/>
    <w:rsid w:val="4B6610F9"/>
    <w:rsid w:val="4B673A6D"/>
    <w:rsid w:val="4BBC5782"/>
    <w:rsid w:val="4BBE7CD4"/>
    <w:rsid w:val="4BE8259F"/>
    <w:rsid w:val="4BEE0130"/>
    <w:rsid w:val="4BF929FE"/>
    <w:rsid w:val="4C24378D"/>
    <w:rsid w:val="4C3C4B09"/>
    <w:rsid w:val="4C4A0649"/>
    <w:rsid w:val="4C63256E"/>
    <w:rsid w:val="4C6C34F6"/>
    <w:rsid w:val="4C7E5ECA"/>
    <w:rsid w:val="4C876AA5"/>
    <w:rsid w:val="4C903F9D"/>
    <w:rsid w:val="4C9411F9"/>
    <w:rsid w:val="4CA927EC"/>
    <w:rsid w:val="4CAF130F"/>
    <w:rsid w:val="4CDD4665"/>
    <w:rsid w:val="4CEE3778"/>
    <w:rsid w:val="4D0362DD"/>
    <w:rsid w:val="4D04165B"/>
    <w:rsid w:val="4D0E00FB"/>
    <w:rsid w:val="4D176606"/>
    <w:rsid w:val="4D19737D"/>
    <w:rsid w:val="4D262ACE"/>
    <w:rsid w:val="4DAE6043"/>
    <w:rsid w:val="4DEC4FB0"/>
    <w:rsid w:val="4DED6593"/>
    <w:rsid w:val="4DF20E48"/>
    <w:rsid w:val="4E075D8A"/>
    <w:rsid w:val="4E193EAD"/>
    <w:rsid w:val="4E43575C"/>
    <w:rsid w:val="4E5144B3"/>
    <w:rsid w:val="4E561CEF"/>
    <w:rsid w:val="4E610A88"/>
    <w:rsid w:val="4E6A567A"/>
    <w:rsid w:val="4E7B11CB"/>
    <w:rsid w:val="4E7C41EA"/>
    <w:rsid w:val="4E8664A5"/>
    <w:rsid w:val="4EB0256D"/>
    <w:rsid w:val="4EB64BD7"/>
    <w:rsid w:val="4EB64E0E"/>
    <w:rsid w:val="4EC00FAD"/>
    <w:rsid w:val="4EC72F40"/>
    <w:rsid w:val="4ECD40F8"/>
    <w:rsid w:val="4ED07DA9"/>
    <w:rsid w:val="4EDF25E9"/>
    <w:rsid w:val="4EE948A2"/>
    <w:rsid w:val="4EF34E17"/>
    <w:rsid w:val="4EF47931"/>
    <w:rsid w:val="4F0F2D1D"/>
    <w:rsid w:val="4F1B0DD3"/>
    <w:rsid w:val="4F294803"/>
    <w:rsid w:val="4F3A7A5A"/>
    <w:rsid w:val="4F622668"/>
    <w:rsid w:val="4F755A20"/>
    <w:rsid w:val="4F7A4209"/>
    <w:rsid w:val="4F914F09"/>
    <w:rsid w:val="4F9843DC"/>
    <w:rsid w:val="4F985536"/>
    <w:rsid w:val="4FA46ACF"/>
    <w:rsid w:val="4FA669F9"/>
    <w:rsid w:val="4FB16A7A"/>
    <w:rsid w:val="4FB260D1"/>
    <w:rsid w:val="4FBA7C64"/>
    <w:rsid w:val="4FC275AB"/>
    <w:rsid w:val="4FC62A8C"/>
    <w:rsid w:val="4FD24FE7"/>
    <w:rsid w:val="4FD74E04"/>
    <w:rsid w:val="4FE20F0D"/>
    <w:rsid w:val="4FE439C5"/>
    <w:rsid w:val="4FE51552"/>
    <w:rsid w:val="4FF95922"/>
    <w:rsid w:val="5006393C"/>
    <w:rsid w:val="501732F3"/>
    <w:rsid w:val="50354221"/>
    <w:rsid w:val="504946D5"/>
    <w:rsid w:val="50504C4B"/>
    <w:rsid w:val="507765E7"/>
    <w:rsid w:val="5099030C"/>
    <w:rsid w:val="509C6E7C"/>
    <w:rsid w:val="509E4EC6"/>
    <w:rsid w:val="509F03AC"/>
    <w:rsid w:val="509F4385"/>
    <w:rsid w:val="50C47040"/>
    <w:rsid w:val="50C54715"/>
    <w:rsid w:val="50D15CF8"/>
    <w:rsid w:val="50F73FDA"/>
    <w:rsid w:val="511170E6"/>
    <w:rsid w:val="512D02E0"/>
    <w:rsid w:val="513822D8"/>
    <w:rsid w:val="51491D32"/>
    <w:rsid w:val="514C537E"/>
    <w:rsid w:val="515E3A87"/>
    <w:rsid w:val="5162104E"/>
    <w:rsid w:val="51AF6E95"/>
    <w:rsid w:val="51BE28E9"/>
    <w:rsid w:val="51BF1FF4"/>
    <w:rsid w:val="51D3167C"/>
    <w:rsid w:val="51E101BC"/>
    <w:rsid w:val="51FA302C"/>
    <w:rsid w:val="520A0A49"/>
    <w:rsid w:val="52340B8B"/>
    <w:rsid w:val="52374AE6"/>
    <w:rsid w:val="524D07B6"/>
    <w:rsid w:val="52582979"/>
    <w:rsid w:val="525C00E5"/>
    <w:rsid w:val="526479F4"/>
    <w:rsid w:val="526A01B2"/>
    <w:rsid w:val="52903990"/>
    <w:rsid w:val="52A10081"/>
    <w:rsid w:val="52A60EA8"/>
    <w:rsid w:val="52A82A88"/>
    <w:rsid w:val="52AD62F0"/>
    <w:rsid w:val="52BB72D5"/>
    <w:rsid w:val="52BF00BF"/>
    <w:rsid w:val="52C110A8"/>
    <w:rsid w:val="52CF6267"/>
    <w:rsid w:val="52D812BD"/>
    <w:rsid w:val="52DE7E51"/>
    <w:rsid w:val="52DF19EB"/>
    <w:rsid w:val="52EE1C4E"/>
    <w:rsid w:val="52F47560"/>
    <w:rsid w:val="52FA1E17"/>
    <w:rsid w:val="531412EF"/>
    <w:rsid w:val="53274F67"/>
    <w:rsid w:val="532F3B45"/>
    <w:rsid w:val="5349426B"/>
    <w:rsid w:val="534C7891"/>
    <w:rsid w:val="535B5D4C"/>
    <w:rsid w:val="53600FF6"/>
    <w:rsid w:val="536E626B"/>
    <w:rsid w:val="53733C18"/>
    <w:rsid w:val="53762B86"/>
    <w:rsid w:val="53780E51"/>
    <w:rsid w:val="5391176E"/>
    <w:rsid w:val="53955134"/>
    <w:rsid w:val="53A039CC"/>
    <w:rsid w:val="53A1505A"/>
    <w:rsid w:val="53C10412"/>
    <w:rsid w:val="53CC0059"/>
    <w:rsid w:val="53D93C00"/>
    <w:rsid w:val="53E312A5"/>
    <w:rsid w:val="53ED1BD9"/>
    <w:rsid w:val="53EF1E8F"/>
    <w:rsid w:val="54063E08"/>
    <w:rsid w:val="54071A30"/>
    <w:rsid w:val="541E7911"/>
    <w:rsid w:val="543437E8"/>
    <w:rsid w:val="543F741C"/>
    <w:rsid w:val="54492049"/>
    <w:rsid w:val="545729B8"/>
    <w:rsid w:val="545874DF"/>
    <w:rsid w:val="545F186C"/>
    <w:rsid w:val="54642DAC"/>
    <w:rsid w:val="54771CAF"/>
    <w:rsid w:val="54941269"/>
    <w:rsid w:val="54B153B7"/>
    <w:rsid w:val="54CD44ED"/>
    <w:rsid w:val="54D51B2F"/>
    <w:rsid w:val="54F73313"/>
    <w:rsid w:val="54F80955"/>
    <w:rsid w:val="54FC70BB"/>
    <w:rsid w:val="554B3938"/>
    <w:rsid w:val="554E6B6F"/>
    <w:rsid w:val="555170A7"/>
    <w:rsid w:val="55855303"/>
    <w:rsid w:val="5587536D"/>
    <w:rsid w:val="559B174B"/>
    <w:rsid w:val="55A35341"/>
    <w:rsid w:val="55A76179"/>
    <w:rsid w:val="55A90FF1"/>
    <w:rsid w:val="55CE0CF4"/>
    <w:rsid w:val="55E529F2"/>
    <w:rsid w:val="55F46582"/>
    <w:rsid w:val="56020CAD"/>
    <w:rsid w:val="560877F8"/>
    <w:rsid w:val="56175BFF"/>
    <w:rsid w:val="5629761B"/>
    <w:rsid w:val="563233BB"/>
    <w:rsid w:val="565622B7"/>
    <w:rsid w:val="56635295"/>
    <w:rsid w:val="5684664B"/>
    <w:rsid w:val="56B22A9C"/>
    <w:rsid w:val="56BF5061"/>
    <w:rsid w:val="56CB1F36"/>
    <w:rsid w:val="56CC10D4"/>
    <w:rsid w:val="56E07715"/>
    <w:rsid w:val="56EC4796"/>
    <w:rsid w:val="56F77A20"/>
    <w:rsid w:val="572C3407"/>
    <w:rsid w:val="572C46CA"/>
    <w:rsid w:val="57391942"/>
    <w:rsid w:val="574540B4"/>
    <w:rsid w:val="57504B65"/>
    <w:rsid w:val="575562E9"/>
    <w:rsid w:val="57692202"/>
    <w:rsid w:val="576B22D6"/>
    <w:rsid w:val="576B2FD2"/>
    <w:rsid w:val="576D09BB"/>
    <w:rsid w:val="577A36AD"/>
    <w:rsid w:val="57967E62"/>
    <w:rsid w:val="579A7A91"/>
    <w:rsid w:val="57B1418D"/>
    <w:rsid w:val="57B72A76"/>
    <w:rsid w:val="57C079CE"/>
    <w:rsid w:val="57C3426C"/>
    <w:rsid w:val="57CE1F93"/>
    <w:rsid w:val="57FD7D0C"/>
    <w:rsid w:val="580A304A"/>
    <w:rsid w:val="580E117B"/>
    <w:rsid w:val="582A4F8F"/>
    <w:rsid w:val="583F3E8F"/>
    <w:rsid w:val="58681830"/>
    <w:rsid w:val="587B6B6D"/>
    <w:rsid w:val="58817494"/>
    <w:rsid w:val="58851DAD"/>
    <w:rsid w:val="588743D1"/>
    <w:rsid w:val="5887701A"/>
    <w:rsid w:val="588D1B81"/>
    <w:rsid w:val="589C1EE4"/>
    <w:rsid w:val="589D2963"/>
    <w:rsid w:val="58A82F2D"/>
    <w:rsid w:val="58A957AC"/>
    <w:rsid w:val="58D00F8B"/>
    <w:rsid w:val="58DF14D8"/>
    <w:rsid w:val="58EC74CB"/>
    <w:rsid w:val="58ED666D"/>
    <w:rsid w:val="590F7792"/>
    <w:rsid w:val="59156235"/>
    <w:rsid w:val="59486D73"/>
    <w:rsid w:val="594E12F6"/>
    <w:rsid w:val="59712206"/>
    <w:rsid w:val="5979506E"/>
    <w:rsid w:val="59863045"/>
    <w:rsid w:val="59C0439F"/>
    <w:rsid w:val="59D12EFB"/>
    <w:rsid w:val="59D536C8"/>
    <w:rsid w:val="59DA2457"/>
    <w:rsid w:val="5A056A12"/>
    <w:rsid w:val="5A2244EE"/>
    <w:rsid w:val="5A2374A4"/>
    <w:rsid w:val="5A287CB3"/>
    <w:rsid w:val="5A427C66"/>
    <w:rsid w:val="5A5F25C6"/>
    <w:rsid w:val="5A622972"/>
    <w:rsid w:val="5A74108A"/>
    <w:rsid w:val="5A7E1C06"/>
    <w:rsid w:val="5A902780"/>
    <w:rsid w:val="5A9F0C15"/>
    <w:rsid w:val="5AB40D0C"/>
    <w:rsid w:val="5ABE2233"/>
    <w:rsid w:val="5AC05DBE"/>
    <w:rsid w:val="5ACA7BE1"/>
    <w:rsid w:val="5AD846F1"/>
    <w:rsid w:val="5AE05378"/>
    <w:rsid w:val="5AF56D86"/>
    <w:rsid w:val="5B03007A"/>
    <w:rsid w:val="5B041DA3"/>
    <w:rsid w:val="5B062A42"/>
    <w:rsid w:val="5B296730"/>
    <w:rsid w:val="5B522493"/>
    <w:rsid w:val="5B7B5DD4"/>
    <w:rsid w:val="5BA83AF8"/>
    <w:rsid w:val="5BBA733C"/>
    <w:rsid w:val="5BDF5D95"/>
    <w:rsid w:val="5BF1122A"/>
    <w:rsid w:val="5BF73BE8"/>
    <w:rsid w:val="5BFC5D6A"/>
    <w:rsid w:val="5BFE5E0F"/>
    <w:rsid w:val="5BFE7528"/>
    <w:rsid w:val="5C013209"/>
    <w:rsid w:val="5C042EE3"/>
    <w:rsid w:val="5C095DBB"/>
    <w:rsid w:val="5C0D7128"/>
    <w:rsid w:val="5C0F1DCA"/>
    <w:rsid w:val="5C1604A3"/>
    <w:rsid w:val="5C215294"/>
    <w:rsid w:val="5C232B3F"/>
    <w:rsid w:val="5C2B1BAD"/>
    <w:rsid w:val="5C2F4DFE"/>
    <w:rsid w:val="5C3F2A84"/>
    <w:rsid w:val="5C57184B"/>
    <w:rsid w:val="5C602013"/>
    <w:rsid w:val="5C715561"/>
    <w:rsid w:val="5C7378EC"/>
    <w:rsid w:val="5CAC022B"/>
    <w:rsid w:val="5CC33CC5"/>
    <w:rsid w:val="5CC774DF"/>
    <w:rsid w:val="5CC83530"/>
    <w:rsid w:val="5CD47269"/>
    <w:rsid w:val="5CD7381F"/>
    <w:rsid w:val="5CEB086E"/>
    <w:rsid w:val="5D2A3A35"/>
    <w:rsid w:val="5D3529AA"/>
    <w:rsid w:val="5D4A130C"/>
    <w:rsid w:val="5D573A29"/>
    <w:rsid w:val="5D75540A"/>
    <w:rsid w:val="5D942442"/>
    <w:rsid w:val="5DF056F8"/>
    <w:rsid w:val="5DFC2281"/>
    <w:rsid w:val="5E056619"/>
    <w:rsid w:val="5E084196"/>
    <w:rsid w:val="5E084D23"/>
    <w:rsid w:val="5E0E058B"/>
    <w:rsid w:val="5E1048BB"/>
    <w:rsid w:val="5E2467F1"/>
    <w:rsid w:val="5E31592E"/>
    <w:rsid w:val="5E331DA0"/>
    <w:rsid w:val="5E341E80"/>
    <w:rsid w:val="5E3B0C54"/>
    <w:rsid w:val="5E572ADA"/>
    <w:rsid w:val="5E791613"/>
    <w:rsid w:val="5E824AD5"/>
    <w:rsid w:val="5E851CC4"/>
    <w:rsid w:val="5E8D03BA"/>
    <w:rsid w:val="5E9465B6"/>
    <w:rsid w:val="5EE70DDC"/>
    <w:rsid w:val="5EE77D0C"/>
    <w:rsid w:val="5EFF5E4C"/>
    <w:rsid w:val="5F056413"/>
    <w:rsid w:val="5F070A1C"/>
    <w:rsid w:val="5F155949"/>
    <w:rsid w:val="5F180F96"/>
    <w:rsid w:val="5F1A2B43"/>
    <w:rsid w:val="5F4678B1"/>
    <w:rsid w:val="5F541F16"/>
    <w:rsid w:val="5F610B8F"/>
    <w:rsid w:val="5F681F1D"/>
    <w:rsid w:val="5F773F0E"/>
    <w:rsid w:val="5F833DC3"/>
    <w:rsid w:val="5F88611B"/>
    <w:rsid w:val="5FB837BB"/>
    <w:rsid w:val="5FCC24AC"/>
    <w:rsid w:val="5FD70E51"/>
    <w:rsid w:val="5FE4013D"/>
    <w:rsid w:val="6011729D"/>
    <w:rsid w:val="60397415"/>
    <w:rsid w:val="60682A43"/>
    <w:rsid w:val="606F4BE5"/>
    <w:rsid w:val="608D150F"/>
    <w:rsid w:val="608D56CD"/>
    <w:rsid w:val="609A4358"/>
    <w:rsid w:val="60A056E7"/>
    <w:rsid w:val="60AF087D"/>
    <w:rsid w:val="60B80BFB"/>
    <w:rsid w:val="60CC405A"/>
    <w:rsid w:val="60D47DFD"/>
    <w:rsid w:val="60D858A8"/>
    <w:rsid w:val="60DF7FBD"/>
    <w:rsid w:val="60E42F5E"/>
    <w:rsid w:val="60F1593E"/>
    <w:rsid w:val="60FB0B6F"/>
    <w:rsid w:val="611539DF"/>
    <w:rsid w:val="61377DF9"/>
    <w:rsid w:val="614007DA"/>
    <w:rsid w:val="614C6207"/>
    <w:rsid w:val="61745368"/>
    <w:rsid w:val="61774699"/>
    <w:rsid w:val="617A3B83"/>
    <w:rsid w:val="61A52BE4"/>
    <w:rsid w:val="61B579C8"/>
    <w:rsid w:val="61BB6DE5"/>
    <w:rsid w:val="61C80397"/>
    <w:rsid w:val="61CB5DAE"/>
    <w:rsid w:val="61DA5EC6"/>
    <w:rsid w:val="61E215D8"/>
    <w:rsid w:val="620D2F09"/>
    <w:rsid w:val="621B3775"/>
    <w:rsid w:val="62257C51"/>
    <w:rsid w:val="62364782"/>
    <w:rsid w:val="62562501"/>
    <w:rsid w:val="626970D8"/>
    <w:rsid w:val="62712238"/>
    <w:rsid w:val="62762066"/>
    <w:rsid w:val="6292675A"/>
    <w:rsid w:val="629409C4"/>
    <w:rsid w:val="62A274F4"/>
    <w:rsid w:val="62AD42B0"/>
    <w:rsid w:val="62B00076"/>
    <w:rsid w:val="62B35947"/>
    <w:rsid w:val="62BD1A6B"/>
    <w:rsid w:val="62CE653B"/>
    <w:rsid w:val="62D67479"/>
    <w:rsid w:val="62DA53DF"/>
    <w:rsid w:val="62E45891"/>
    <w:rsid w:val="62EE2885"/>
    <w:rsid w:val="62F82F7B"/>
    <w:rsid w:val="6302146D"/>
    <w:rsid w:val="63133D3B"/>
    <w:rsid w:val="632E547F"/>
    <w:rsid w:val="635A0DEA"/>
    <w:rsid w:val="637320DB"/>
    <w:rsid w:val="6394356A"/>
    <w:rsid w:val="63955021"/>
    <w:rsid w:val="63A24AEE"/>
    <w:rsid w:val="63A70B3A"/>
    <w:rsid w:val="63A850AF"/>
    <w:rsid w:val="63BA4B07"/>
    <w:rsid w:val="63C61B2C"/>
    <w:rsid w:val="63CC0145"/>
    <w:rsid w:val="63CC0BBF"/>
    <w:rsid w:val="63CF3A4E"/>
    <w:rsid w:val="63D40BE9"/>
    <w:rsid w:val="63DA3699"/>
    <w:rsid w:val="63E540FC"/>
    <w:rsid w:val="63F43D7F"/>
    <w:rsid w:val="64013788"/>
    <w:rsid w:val="64015BB5"/>
    <w:rsid w:val="64047D3A"/>
    <w:rsid w:val="64102431"/>
    <w:rsid w:val="641305C7"/>
    <w:rsid w:val="64227A6E"/>
    <w:rsid w:val="64431672"/>
    <w:rsid w:val="64524F4A"/>
    <w:rsid w:val="6459249E"/>
    <w:rsid w:val="64744EC0"/>
    <w:rsid w:val="647A57A9"/>
    <w:rsid w:val="647F1B80"/>
    <w:rsid w:val="64813139"/>
    <w:rsid w:val="64A5243A"/>
    <w:rsid w:val="64B21544"/>
    <w:rsid w:val="64C86D93"/>
    <w:rsid w:val="64F531DE"/>
    <w:rsid w:val="65257148"/>
    <w:rsid w:val="652E1513"/>
    <w:rsid w:val="65373578"/>
    <w:rsid w:val="653D27E6"/>
    <w:rsid w:val="655403F9"/>
    <w:rsid w:val="6554126D"/>
    <w:rsid w:val="6588697A"/>
    <w:rsid w:val="659155FE"/>
    <w:rsid w:val="65951961"/>
    <w:rsid w:val="65A35F8B"/>
    <w:rsid w:val="65AA62EA"/>
    <w:rsid w:val="65AD0356"/>
    <w:rsid w:val="65AE7B78"/>
    <w:rsid w:val="65BB7992"/>
    <w:rsid w:val="65ED6CD8"/>
    <w:rsid w:val="65FE7137"/>
    <w:rsid w:val="660265CF"/>
    <w:rsid w:val="66061B48"/>
    <w:rsid w:val="661C22B8"/>
    <w:rsid w:val="66292E88"/>
    <w:rsid w:val="6629565E"/>
    <w:rsid w:val="66530AC3"/>
    <w:rsid w:val="6680456F"/>
    <w:rsid w:val="668C7530"/>
    <w:rsid w:val="668D1142"/>
    <w:rsid w:val="668E4FFB"/>
    <w:rsid w:val="66925102"/>
    <w:rsid w:val="66C676A3"/>
    <w:rsid w:val="66DC7598"/>
    <w:rsid w:val="66E81298"/>
    <w:rsid w:val="67084C64"/>
    <w:rsid w:val="671F124A"/>
    <w:rsid w:val="672A7AB8"/>
    <w:rsid w:val="6731330C"/>
    <w:rsid w:val="67383CE2"/>
    <w:rsid w:val="674212A6"/>
    <w:rsid w:val="67656D42"/>
    <w:rsid w:val="677A33C6"/>
    <w:rsid w:val="67874F0A"/>
    <w:rsid w:val="679317B0"/>
    <w:rsid w:val="67951260"/>
    <w:rsid w:val="67994DEA"/>
    <w:rsid w:val="67A77ED6"/>
    <w:rsid w:val="67CC0B6F"/>
    <w:rsid w:val="67D070E2"/>
    <w:rsid w:val="6804655B"/>
    <w:rsid w:val="68092B81"/>
    <w:rsid w:val="68194B9B"/>
    <w:rsid w:val="681F6961"/>
    <w:rsid w:val="68242759"/>
    <w:rsid w:val="68610A2F"/>
    <w:rsid w:val="68686D63"/>
    <w:rsid w:val="68805514"/>
    <w:rsid w:val="68826505"/>
    <w:rsid w:val="6898468B"/>
    <w:rsid w:val="689C2A34"/>
    <w:rsid w:val="68CA77A4"/>
    <w:rsid w:val="68DA4848"/>
    <w:rsid w:val="68DE4FFE"/>
    <w:rsid w:val="68E02B24"/>
    <w:rsid w:val="69316E2F"/>
    <w:rsid w:val="694E2071"/>
    <w:rsid w:val="69561364"/>
    <w:rsid w:val="695E2538"/>
    <w:rsid w:val="69692B1A"/>
    <w:rsid w:val="697274F4"/>
    <w:rsid w:val="69766163"/>
    <w:rsid w:val="697A3B33"/>
    <w:rsid w:val="698379B0"/>
    <w:rsid w:val="698A4D40"/>
    <w:rsid w:val="698C10F6"/>
    <w:rsid w:val="698D01CC"/>
    <w:rsid w:val="699452D3"/>
    <w:rsid w:val="699B26F6"/>
    <w:rsid w:val="69B07B41"/>
    <w:rsid w:val="69D24B82"/>
    <w:rsid w:val="69D44760"/>
    <w:rsid w:val="69DB4015"/>
    <w:rsid w:val="6A367FA4"/>
    <w:rsid w:val="6A493ECB"/>
    <w:rsid w:val="6A501918"/>
    <w:rsid w:val="6A520EC7"/>
    <w:rsid w:val="6A561706"/>
    <w:rsid w:val="6A5B3BCD"/>
    <w:rsid w:val="6A6B735D"/>
    <w:rsid w:val="6A6F0D85"/>
    <w:rsid w:val="6A70612A"/>
    <w:rsid w:val="6A784B78"/>
    <w:rsid w:val="6A7F011B"/>
    <w:rsid w:val="6A8B2F63"/>
    <w:rsid w:val="6AB04087"/>
    <w:rsid w:val="6AC72B33"/>
    <w:rsid w:val="6ACC43B5"/>
    <w:rsid w:val="6ADA6662"/>
    <w:rsid w:val="6AF74155"/>
    <w:rsid w:val="6AF87E20"/>
    <w:rsid w:val="6AFA68FF"/>
    <w:rsid w:val="6B053B87"/>
    <w:rsid w:val="6B1467E8"/>
    <w:rsid w:val="6B187176"/>
    <w:rsid w:val="6B2119DF"/>
    <w:rsid w:val="6B217424"/>
    <w:rsid w:val="6B322639"/>
    <w:rsid w:val="6B3F6016"/>
    <w:rsid w:val="6B4F4FBE"/>
    <w:rsid w:val="6B587E5E"/>
    <w:rsid w:val="6B6E053D"/>
    <w:rsid w:val="6B72159A"/>
    <w:rsid w:val="6B7E5E0A"/>
    <w:rsid w:val="6B9A452E"/>
    <w:rsid w:val="6B9B3C3C"/>
    <w:rsid w:val="6BC06C3D"/>
    <w:rsid w:val="6BC56001"/>
    <w:rsid w:val="6BEE4A3F"/>
    <w:rsid w:val="6BF2734A"/>
    <w:rsid w:val="6BFB1A30"/>
    <w:rsid w:val="6C276528"/>
    <w:rsid w:val="6C3422BE"/>
    <w:rsid w:val="6C636C38"/>
    <w:rsid w:val="6C783E95"/>
    <w:rsid w:val="6C8E5198"/>
    <w:rsid w:val="6CEF77DA"/>
    <w:rsid w:val="6CF453D3"/>
    <w:rsid w:val="6D065160"/>
    <w:rsid w:val="6D147A66"/>
    <w:rsid w:val="6D1B0F0A"/>
    <w:rsid w:val="6D53392F"/>
    <w:rsid w:val="6D663D98"/>
    <w:rsid w:val="6D8F2D6B"/>
    <w:rsid w:val="6D9263B7"/>
    <w:rsid w:val="6D9C177A"/>
    <w:rsid w:val="6DA00AD4"/>
    <w:rsid w:val="6DB1146A"/>
    <w:rsid w:val="6DB34098"/>
    <w:rsid w:val="6DB545B6"/>
    <w:rsid w:val="6DB633B9"/>
    <w:rsid w:val="6DCE5641"/>
    <w:rsid w:val="6DE02FB4"/>
    <w:rsid w:val="6DF154B9"/>
    <w:rsid w:val="6DF20B60"/>
    <w:rsid w:val="6E112C4A"/>
    <w:rsid w:val="6E2B2A93"/>
    <w:rsid w:val="6E2F32A7"/>
    <w:rsid w:val="6E303A1F"/>
    <w:rsid w:val="6E4879B6"/>
    <w:rsid w:val="6E514CED"/>
    <w:rsid w:val="6E520722"/>
    <w:rsid w:val="6E567BA8"/>
    <w:rsid w:val="6E580931"/>
    <w:rsid w:val="6E85402C"/>
    <w:rsid w:val="6E98278F"/>
    <w:rsid w:val="6EAE4DD3"/>
    <w:rsid w:val="6EAF6C69"/>
    <w:rsid w:val="6EB563D5"/>
    <w:rsid w:val="6ECA2A55"/>
    <w:rsid w:val="6ED52B8A"/>
    <w:rsid w:val="6ED92677"/>
    <w:rsid w:val="6EF74B77"/>
    <w:rsid w:val="6F0641DA"/>
    <w:rsid w:val="6F0B6421"/>
    <w:rsid w:val="6F0F4663"/>
    <w:rsid w:val="6F1F2811"/>
    <w:rsid w:val="6F225983"/>
    <w:rsid w:val="6F3239AE"/>
    <w:rsid w:val="6F4A2275"/>
    <w:rsid w:val="6F543924"/>
    <w:rsid w:val="6F54601A"/>
    <w:rsid w:val="6F5900FF"/>
    <w:rsid w:val="6F5E14B0"/>
    <w:rsid w:val="6F6B3891"/>
    <w:rsid w:val="6F8D13B3"/>
    <w:rsid w:val="6FD43B21"/>
    <w:rsid w:val="6FEF7AF1"/>
    <w:rsid w:val="6FFC5590"/>
    <w:rsid w:val="700B2CF6"/>
    <w:rsid w:val="701E2C7A"/>
    <w:rsid w:val="70273DFF"/>
    <w:rsid w:val="703F45D4"/>
    <w:rsid w:val="70490379"/>
    <w:rsid w:val="705D0EFE"/>
    <w:rsid w:val="706D1DD0"/>
    <w:rsid w:val="707238AD"/>
    <w:rsid w:val="708238A0"/>
    <w:rsid w:val="70827064"/>
    <w:rsid w:val="70856B87"/>
    <w:rsid w:val="70AC33F3"/>
    <w:rsid w:val="70CC1FF2"/>
    <w:rsid w:val="70D527EE"/>
    <w:rsid w:val="70E872EC"/>
    <w:rsid w:val="70EF5CA0"/>
    <w:rsid w:val="71067748"/>
    <w:rsid w:val="711171A4"/>
    <w:rsid w:val="711B541D"/>
    <w:rsid w:val="71237A52"/>
    <w:rsid w:val="713C6D66"/>
    <w:rsid w:val="715B5300"/>
    <w:rsid w:val="71632544"/>
    <w:rsid w:val="71665B90"/>
    <w:rsid w:val="71775FF0"/>
    <w:rsid w:val="717F6C52"/>
    <w:rsid w:val="719351DF"/>
    <w:rsid w:val="71D27F8A"/>
    <w:rsid w:val="71DB032D"/>
    <w:rsid w:val="71E0083E"/>
    <w:rsid w:val="71E75ACC"/>
    <w:rsid w:val="7202582C"/>
    <w:rsid w:val="72155289"/>
    <w:rsid w:val="723632AC"/>
    <w:rsid w:val="72500704"/>
    <w:rsid w:val="72514749"/>
    <w:rsid w:val="72541E8D"/>
    <w:rsid w:val="72553024"/>
    <w:rsid w:val="72892A86"/>
    <w:rsid w:val="7298446F"/>
    <w:rsid w:val="72AE3C93"/>
    <w:rsid w:val="72B91ACC"/>
    <w:rsid w:val="72CE714F"/>
    <w:rsid w:val="730B31AA"/>
    <w:rsid w:val="73122968"/>
    <w:rsid w:val="73190F98"/>
    <w:rsid w:val="731F5D5E"/>
    <w:rsid w:val="73305F3D"/>
    <w:rsid w:val="733270DF"/>
    <w:rsid w:val="736A39E4"/>
    <w:rsid w:val="73966568"/>
    <w:rsid w:val="73A3126C"/>
    <w:rsid w:val="73A53F8B"/>
    <w:rsid w:val="73AD5CF9"/>
    <w:rsid w:val="73C51AD5"/>
    <w:rsid w:val="73CD6B4D"/>
    <w:rsid w:val="73FB5CCA"/>
    <w:rsid w:val="74104ED2"/>
    <w:rsid w:val="74161F1E"/>
    <w:rsid w:val="741C1865"/>
    <w:rsid w:val="741E793C"/>
    <w:rsid w:val="742C1313"/>
    <w:rsid w:val="742E4C46"/>
    <w:rsid w:val="74391FC0"/>
    <w:rsid w:val="743F2553"/>
    <w:rsid w:val="74484563"/>
    <w:rsid w:val="744D0C29"/>
    <w:rsid w:val="745931AE"/>
    <w:rsid w:val="745A2B98"/>
    <w:rsid w:val="745E3944"/>
    <w:rsid w:val="746E165D"/>
    <w:rsid w:val="749A2EE6"/>
    <w:rsid w:val="74A0585D"/>
    <w:rsid w:val="74A57B2F"/>
    <w:rsid w:val="74AA19A1"/>
    <w:rsid w:val="74BA61F9"/>
    <w:rsid w:val="74CA602C"/>
    <w:rsid w:val="74DB01DB"/>
    <w:rsid w:val="74E77FFF"/>
    <w:rsid w:val="74E80C90"/>
    <w:rsid w:val="74EE4F75"/>
    <w:rsid w:val="74FE5D55"/>
    <w:rsid w:val="7511774C"/>
    <w:rsid w:val="751218F1"/>
    <w:rsid w:val="751468AE"/>
    <w:rsid w:val="751D1218"/>
    <w:rsid w:val="752060F6"/>
    <w:rsid w:val="752C7710"/>
    <w:rsid w:val="75323015"/>
    <w:rsid w:val="756401B5"/>
    <w:rsid w:val="75742F72"/>
    <w:rsid w:val="75837B5B"/>
    <w:rsid w:val="75901382"/>
    <w:rsid w:val="75954C96"/>
    <w:rsid w:val="75B92E0A"/>
    <w:rsid w:val="75BA294F"/>
    <w:rsid w:val="75DA6B4D"/>
    <w:rsid w:val="75E83020"/>
    <w:rsid w:val="75F93477"/>
    <w:rsid w:val="76053626"/>
    <w:rsid w:val="761E2EDE"/>
    <w:rsid w:val="7635099D"/>
    <w:rsid w:val="764114CA"/>
    <w:rsid w:val="764D37C3"/>
    <w:rsid w:val="765936B8"/>
    <w:rsid w:val="765C71D1"/>
    <w:rsid w:val="76650BFD"/>
    <w:rsid w:val="76745F78"/>
    <w:rsid w:val="76993344"/>
    <w:rsid w:val="76A86940"/>
    <w:rsid w:val="76B455F0"/>
    <w:rsid w:val="76B5183D"/>
    <w:rsid w:val="76C9244D"/>
    <w:rsid w:val="76DB03B4"/>
    <w:rsid w:val="76FA290F"/>
    <w:rsid w:val="7706686D"/>
    <w:rsid w:val="77180088"/>
    <w:rsid w:val="7719689D"/>
    <w:rsid w:val="772F5FDF"/>
    <w:rsid w:val="775A1A49"/>
    <w:rsid w:val="775F37AE"/>
    <w:rsid w:val="7772528F"/>
    <w:rsid w:val="77762421"/>
    <w:rsid w:val="77796CDC"/>
    <w:rsid w:val="77B36FA3"/>
    <w:rsid w:val="77B43962"/>
    <w:rsid w:val="77B506B7"/>
    <w:rsid w:val="77B56B1F"/>
    <w:rsid w:val="77B92EBE"/>
    <w:rsid w:val="77CD0717"/>
    <w:rsid w:val="77DE029E"/>
    <w:rsid w:val="780F09F4"/>
    <w:rsid w:val="787C3EEC"/>
    <w:rsid w:val="789D523F"/>
    <w:rsid w:val="78A90480"/>
    <w:rsid w:val="78D12489"/>
    <w:rsid w:val="78EB1B3F"/>
    <w:rsid w:val="78F8494D"/>
    <w:rsid w:val="7900271C"/>
    <w:rsid w:val="792C5912"/>
    <w:rsid w:val="793A1F57"/>
    <w:rsid w:val="794E3ADA"/>
    <w:rsid w:val="795232F7"/>
    <w:rsid w:val="7959391B"/>
    <w:rsid w:val="797D1D55"/>
    <w:rsid w:val="798064F1"/>
    <w:rsid w:val="798662DF"/>
    <w:rsid w:val="7987445D"/>
    <w:rsid w:val="79991131"/>
    <w:rsid w:val="79D71CA5"/>
    <w:rsid w:val="7A0348C4"/>
    <w:rsid w:val="7A066163"/>
    <w:rsid w:val="7A1268B5"/>
    <w:rsid w:val="7A206D05"/>
    <w:rsid w:val="7A2860D9"/>
    <w:rsid w:val="7A2B0049"/>
    <w:rsid w:val="7A364017"/>
    <w:rsid w:val="7A385137"/>
    <w:rsid w:val="7A476F99"/>
    <w:rsid w:val="7A5F7287"/>
    <w:rsid w:val="7A6D61E2"/>
    <w:rsid w:val="7A74512D"/>
    <w:rsid w:val="7A7C219B"/>
    <w:rsid w:val="7A8265E1"/>
    <w:rsid w:val="7A9814B1"/>
    <w:rsid w:val="7ABE4517"/>
    <w:rsid w:val="7ABF4D83"/>
    <w:rsid w:val="7B0A7ECC"/>
    <w:rsid w:val="7B11446E"/>
    <w:rsid w:val="7B47086A"/>
    <w:rsid w:val="7B4F1915"/>
    <w:rsid w:val="7B553885"/>
    <w:rsid w:val="7B5B2589"/>
    <w:rsid w:val="7B686D42"/>
    <w:rsid w:val="7B6A6F46"/>
    <w:rsid w:val="7B8214F8"/>
    <w:rsid w:val="7B841746"/>
    <w:rsid w:val="7B8F1213"/>
    <w:rsid w:val="7BF24BF0"/>
    <w:rsid w:val="7C065A61"/>
    <w:rsid w:val="7C2F0D15"/>
    <w:rsid w:val="7C39281F"/>
    <w:rsid w:val="7C39681C"/>
    <w:rsid w:val="7C42265A"/>
    <w:rsid w:val="7C6C5AC7"/>
    <w:rsid w:val="7C706EED"/>
    <w:rsid w:val="7C8C2675"/>
    <w:rsid w:val="7C995899"/>
    <w:rsid w:val="7CC6544B"/>
    <w:rsid w:val="7CD5125C"/>
    <w:rsid w:val="7CDB1B9E"/>
    <w:rsid w:val="7CDB2A38"/>
    <w:rsid w:val="7CE331FC"/>
    <w:rsid w:val="7CE65DD7"/>
    <w:rsid w:val="7CEA3A9B"/>
    <w:rsid w:val="7D0239FF"/>
    <w:rsid w:val="7D4115BD"/>
    <w:rsid w:val="7D5E40CD"/>
    <w:rsid w:val="7D672730"/>
    <w:rsid w:val="7D7716B7"/>
    <w:rsid w:val="7D9760D5"/>
    <w:rsid w:val="7DC73E5B"/>
    <w:rsid w:val="7DCD56F2"/>
    <w:rsid w:val="7DD316B3"/>
    <w:rsid w:val="7DD32800"/>
    <w:rsid w:val="7DF82266"/>
    <w:rsid w:val="7E475032"/>
    <w:rsid w:val="7E4E074A"/>
    <w:rsid w:val="7E6625C2"/>
    <w:rsid w:val="7E7861C6"/>
    <w:rsid w:val="7E790DDD"/>
    <w:rsid w:val="7EAE7B95"/>
    <w:rsid w:val="7EB609D3"/>
    <w:rsid w:val="7EDE1ECA"/>
    <w:rsid w:val="7EFE29D0"/>
    <w:rsid w:val="7F001CE7"/>
    <w:rsid w:val="7F0F5AB9"/>
    <w:rsid w:val="7F160BF6"/>
    <w:rsid w:val="7F472CC0"/>
    <w:rsid w:val="7F4B7C41"/>
    <w:rsid w:val="7F5E259D"/>
    <w:rsid w:val="7F706EE9"/>
    <w:rsid w:val="7F7832CB"/>
    <w:rsid w:val="7F9164CE"/>
    <w:rsid w:val="7F981C72"/>
    <w:rsid w:val="7FA05272"/>
    <w:rsid w:val="7FA060F0"/>
    <w:rsid w:val="7FA2692E"/>
    <w:rsid w:val="7FA62CC2"/>
    <w:rsid w:val="7FAD723D"/>
    <w:rsid w:val="7FBE71A1"/>
    <w:rsid w:val="7FC965A7"/>
    <w:rsid w:val="7FE47E50"/>
    <w:rsid w:val="7FF670BB"/>
    <w:rsid w:val="7FFC2E4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1"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2"/>
    <w:next w:val="1"/>
    <w:qFormat/>
    <w:locked/>
    <w:uiPriority w:val="0"/>
    <w:pPr>
      <w:keepNext/>
      <w:keepLines/>
      <w:spacing w:before="260" w:after="260" w:line="416" w:lineRule="auto"/>
      <w:outlineLvl w:val="1"/>
    </w:pPr>
    <w:rPr>
      <w:rFonts w:ascii="Arial" w:hAnsi="Arial" w:eastAsia="黑体"/>
      <w:b w:val="0"/>
      <w:sz w:val="32"/>
      <w:szCs w:val="32"/>
    </w:rPr>
  </w:style>
  <w:style w:type="paragraph" w:styleId="4">
    <w:name w:val="heading 3"/>
    <w:basedOn w:val="1"/>
    <w:next w:val="1"/>
    <w:qFormat/>
    <w:locked/>
    <w:uiPriority w:val="1"/>
    <w:pPr>
      <w:ind w:left="240"/>
      <w:outlineLvl w:val="3"/>
    </w:pPr>
    <w:rPr>
      <w:rFonts w:ascii="宋体" w:hAnsi="宋体" w:eastAsia="宋体"/>
      <w:b/>
      <w:bCs/>
      <w:sz w:val="24"/>
      <w:szCs w:val="24"/>
    </w:rPr>
  </w:style>
  <w:style w:type="paragraph" w:styleId="5">
    <w:name w:val="heading 4"/>
    <w:basedOn w:val="1"/>
    <w:next w:val="1"/>
    <w:qFormat/>
    <w:locked/>
    <w:uiPriority w:val="0"/>
    <w:pPr>
      <w:keepNext/>
      <w:keepLines/>
      <w:spacing w:before="280" w:beforeLines="0" w:after="290" w:afterLines="0" w:line="374" w:lineRule="auto"/>
      <w:outlineLvl w:val="3"/>
    </w:pPr>
    <w:rPr>
      <w:rFonts w:ascii="Arial" w:hAnsi="Arial" w:eastAsia="黑体"/>
      <w:b/>
      <w:bCs/>
      <w:sz w:val="28"/>
      <w:szCs w:val="28"/>
    </w:rPr>
  </w:style>
  <w:style w:type="character" w:default="1" w:styleId="32">
    <w:name w:val="Default Paragraph Font"/>
    <w:semiHidden/>
    <w:qFormat/>
    <w:uiPriority w:val="0"/>
  </w:style>
  <w:style w:type="table" w:default="1" w:styleId="30">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1"/>
    <w:autoRedefine/>
    <w:qFormat/>
    <w:locked/>
    <w:uiPriority w:val="0"/>
    <w:pPr>
      <w:spacing w:before="120" w:line="312" w:lineRule="auto"/>
      <w:ind w:firstLine="420" w:firstLineChars="200"/>
    </w:pPr>
    <w:rPr>
      <w:rFonts w:ascii="Times New Roman" w:hAnsi="Times New Roman"/>
      <w:kern w:val="24"/>
      <w:sz w:val="28"/>
      <w:szCs w:val="20"/>
    </w:rPr>
  </w:style>
  <w:style w:type="paragraph" w:styleId="7">
    <w:name w:val="annotation text"/>
    <w:basedOn w:val="1"/>
    <w:link w:val="56"/>
    <w:autoRedefine/>
    <w:semiHidden/>
    <w:qFormat/>
    <w:uiPriority w:val="0"/>
    <w:pPr>
      <w:jc w:val="left"/>
    </w:pPr>
    <w:rPr>
      <w:kern w:val="0"/>
      <w:sz w:val="24"/>
      <w:szCs w:val="20"/>
    </w:rPr>
  </w:style>
  <w:style w:type="paragraph" w:styleId="8">
    <w:name w:val="Salutation"/>
    <w:basedOn w:val="1"/>
    <w:next w:val="1"/>
    <w:autoRedefine/>
    <w:qFormat/>
    <w:locked/>
    <w:uiPriority w:val="0"/>
  </w:style>
  <w:style w:type="paragraph" w:styleId="9">
    <w:name w:val="Body Text"/>
    <w:basedOn w:val="1"/>
    <w:next w:val="10"/>
    <w:link w:val="37"/>
    <w:autoRedefine/>
    <w:qFormat/>
    <w:uiPriority w:val="0"/>
    <w:pPr>
      <w:widowControl/>
      <w:snapToGrid w:val="0"/>
      <w:spacing w:before="60" w:after="160" w:line="259" w:lineRule="auto"/>
      <w:ind w:right="113"/>
    </w:pPr>
    <w:rPr>
      <w:kern w:val="0"/>
      <w:sz w:val="18"/>
      <w:szCs w:val="20"/>
    </w:rPr>
  </w:style>
  <w:style w:type="paragraph" w:customStyle="1" w:styleId="10">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1">
    <w:name w:val="Body Text Indent"/>
    <w:basedOn w:val="1"/>
    <w:next w:val="6"/>
    <w:link w:val="53"/>
    <w:autoRedefine/>
    <w:qFormat/>
    <w:uiPriority w:val="0"/>
    <w:pPr>
      <w:spacing w:after="120"/>
      <w:ind w:left="420" w:leftChars="200"/>
    </w:pPr>
    <w:rPr>
      <w:kern w:val="0"/>
      <w:sz w:val="24"/>
      <w:szCs w:val="20"/>
    </w:rPr>
  </w:style>
  <w:style w:type="paragraph" w:styleId="12">
    <w:name w:val="Block Text"/>
    <w:basedOn w:val="1"/>
    <w:autoRedefine/>
    <w:qFormat/>
    <w:locked/>
    <w:uiPriority w:val="0"/>
    <w:pPr>
      <w:spacing w:after="120"/>
      <w:ind w:left="1440" w:leftChars="700" w:right="1440" w:rightChars="700"/>
    </w:pPr>
  </w:style>
  <w:style w:type="paragraph" w:styleId="13">
    <w:name w:val="Plain Text"/>
    <w:basedOn w:val="1"/>
    <w:next w:val="14"/>
    <w:autoRedefine/>
    <w:qFormat/>
    <w:locked/>
    <w:uiPriority w:val="99"/>
    <w:rPr>
      <w:rFonts w:ascii="宋体" w:hAnsi="Courier New"/>
      <w:kern w:val="0"/>
      <w:szCs w:val="21"/>
    </w:rPr>
  </w:style>
  <w:style w:type="paragraph" w:customStyle="1" w:styleId="14">
    <w:name w:val="Default"/>
    <w:basedOn w:val="15"/>
    <w:next w:val="16"/>
    <w:autoRedefine/>
    <w:qFormat/>
    <w:uiPriority w:val="0"/>
    <w:pPr>
      <w:autoSpaceDE w:val="0"/>
      <w:autoSpaceDN w:val="0"/>
    </w:pPr>
    <w:rPr>
      <w:rFonts w:ascii="Times New Roman" w:hAnsi="Times New Roman"/>
      <w:color w:val="000000"/>
      <w:sz w:val="24"/>
      <w:szCs w:val="24"/>
    </w:rPr>
  </w:style>
  <w:style w:type="paragraph" w:customStyle="1" w:styleId="15">
    <w:name w:val="纯文本1"/>
    <w:basedOn w:val="1"/>
    <w:autoRedefine/>
    <w:qFormat/>
    <w:uiPriority w:val="0"/>
    <w:pPr>
      <w:adjustRightInd w:val="0"/>
      <w:textAlignment w:val="baseline"/>
    </w:pPr>
    <w:rPr>
      <w:rFonts w:ascii="宋体" w:hAnsi="Courier New"/>
      <w:szCs w:val="20"/>
    </w:rPr>
  </w:style>
  <w:style w:type="paragraph" w:styleId="16">
    <w:name w:val="Body Text First Indent 2"/>
    <w:basedOn w:val="11"/>
    <w:next w:val="17"/>
    <w:autoRedefine/>
    <w:qFormat/>
    <w:locked/>
    <w:uiPriority w:val="0"/>
    <w:pPr>
      <w:ind w:firstLine="420" w:firstLineChars="200"/>
    </w:pPr>
  </w:style>
  <w:style w:type="paragraph" w:styleId="17">
    <w:name w:val="Body Text First Indent"/>
    <w:basedOn w:val="9"/>
    <w:next w:val="1"/>
    <w:autoRedefine/>
    <w:qFormat/>
    <w:locked/>
    <w:uiPriority w:val="0"/>
    <w:pPr>
      <w:ind w:firstLine="420" w:firstLineChars="100"/>
    </w:pPr>
    <w:rPr>
      <w:sz w:val="24"/>
    </w:rPr>
  </w:style>
  <w:style w:type="paragraph" w:styleId="18">
    <w:name w:val="List Bullet 5"/>
    <w:basedOn w:val="1"/>
    <w:autoRedefine/>
    <w:qFormat/>
    <w:locked/>
    <w:uiPriority w:val="0"/>
    <w:pPr>
      <w:numPr>
        <w:ilvl w:val="0"/>
        <w:numId w:val="1"/>
      </w:numPr>
    </w:pPr>
  </w:style>
  <w:style w:type="paragraph" w:styleId="19">
    <w:name w:val="Date"/>
    <w:basedOn w:val="1"/>
    <w:next w:val="1"/>
    <w:link w:val="58"/>
    <w:autoRedefine/>
    <w:qFormat/>
    <w:uiPriority w:val="0"/>
    <w:pPr>
      <w:ind w:left="100" w:leftChars="2500"/>
    </w:pPr>
    <w:rPr>
      <w:kern w:val="0"/>
      <w:sz w:val="24"/>
      <w:szCs w:val="20"/>
    </w:rPr>
  </w:style>
  <w:style w:type="paragraph" w:styleId="20">
    <w:name w:val="Body Text Indent 2"/>
    <w:basedOn w:val="1"/>
    <w:autoRedefine/>
    <w:qFormat/>
    <w:locked/>
    <w:uiPriority w:val="0"/>
    <w:pPr>
      <w:spacing w:after="120" w:afterLines="0" w:line="480" w:lineRule="auto"/>
      <w:ind w:leftChars="200"/>
    </w:pPr>
    <w:rPr>
      <w:sz w:val="24"/>
    </w:rPr>
  </w:style>
  <w:style w:type="paragraph" w:styleId="21">
    <w:name w:val="Balloon Text"/>
    <w:basedOn w:val="1"/>
    <w:link w:val="59"/>
    <w:autoRedefine/>
    <w:semiHidden/>
    <w:qFormat/>
    <w:uiPriority w:val="0"/>
    <w:rPr>
      <w:kern w:val="0"/>
      <w:sz w:val="18"/>
      <w:szCs w:val="20"/>
    </w:rPr>
  </w:style>
  <w:style w:type="paragraph" w:styleId="22">
    <w:name w:val="footer"/>
    <w:basedOn w:val="1"/>
    <w:link w:val="54"/>
    <w:qFormat/>
    <w:uiPriority w:val="99"/>
    <w:pPr>
      <w:tabs>
        <w:tab w:val="center" w:pos="4153"/>
        <w:tab w:val="right" w:pos="8306"/>
      </w:tabs>
      <w:snapToGrid w:val="0"/>
      <w:jc w:val="left"/>
    </w:pPr>
    <w:rPr>
      <w:kern w:val="0"/>
      <w:sz w:val="18"/>
      <w:szCs w:val="20"/>
    </w:rPr>
  </w:style>
  <w:style w:type="paragraph" w:styleId="23">
    <w:name w:val="header"/>
    <w:basedOn w:val="1"/>
    <w:next w:val="9"/>
    <w:link w:val="6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autoRedefine/>
    <w:qFormat/>
    <w:locked/>
    <w:uiPriority w:val="0"/>
  </w:style>
  <w:style w:type="paragraph" w:styleId="25">
    <w:name w:val="index heading"/>
    <w:basedOn w:val="1"/>
    <w:next w:val="26"/>
    <w:qFormat/>
    <w:locked/>
    <w:uiPriority w:val="0"/>
    <w:rPr>
      <w:rFonts w:ascii="Arial" w:hAnsi="Arial"/>
      <w:b/>
    </w:rPr>
  </w:style>
  <w:style w:type="paragraph" w:styleId="26">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27">
    <w:name w:val="Body Text Indent 3"/>
    <w:basedOn w:val="1"/>
    <w:qFormat/>
    <w:locked/>
    <w:uiPriority w:val="0"/>
    <w:pPr>
      <w:spacing w:after="120" w:afterLines="0"/>
      <w:ind w:left="420" w:leftChars="200"/>
    </w:pPr>
    <w:rPr>
      <w:sz w:val="16"/>
      <w:szCs w:val="16"/>
    </w:rPr>
  </w:style>
  <w:style w:type="paragraph" w:styleId="28">
    <w:name w:val="Normal (Web)"/>
    <w:basedOn w:val="1"/>
    <w:link w:val="57"/>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7"/>
    <w:next w:val="7"/>
    <w:link w:val="51"/>
    <w:autoRedefine/>
    <w:semiHidden/>
    <w:qFormat/>
    <w:uiPriority w:val="0"/>
    <w:rPr>
      <w:b/>
      <w:sz w:val="24"/>
      <w:szCs w:val="20"/>
    </w:rPr>
  </w:style>
  <w:style w:type="table" w:styleId="31">
    <w:name w:val="Table Grid"/>
    <w:basedOn w:val="30"/>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basedOn w:val="32"/>
    <w:qFormat/>
    <w:locked/>
    <w:uiPriority w:val="0"/>
  </w:style>
  <w:style w:type="character" w:styleId="35">
    <w:name w:val="Hyperlink"/>
    <w:basedOn w:val="32"/>
    <w:qFormat/>
    <w:locked/>
    <w:uiPriority w:val="0"/>
    <w:rPr>
      <w:color w:val="0000FF"/>
      <w:u w:val="single"/>
    </w:rPr>
  </w:style>
  <w:style w:type="character" w:styleId="36">
    <w:name w:val="annotation reference"/>
    <w:basedOn w:val="32"/>
    <w:autoRedefine/>
    <w:semiHidden/>
    <w:qFormat/>
    <w:uiPriority w:val="0"/>
    <w:rPr>
      <w:sz w:val="21"/>
    </w:rPr>
  </w:style>
  <w:style w:type="character" w:customStyle="1" w:styleId="37">
    <w:name w:val="正文文本 Char"/>
    <w:basedOn w:val="32"/>
    <w:link w:val="9"/>
    <w:qFormat/>
    <w:locked/>
    <w:uiPriority w:val="0"/>
    <w:rPr>
      <w:sz w:val="18"/>
    </w:rPr>
  </w:style>
  <w:style w:type="paragraph" w:customStyle="1" w:styleId="38">
    <w:name w:val="样式 标题 1 + 四号 段前: 0 磅 段后: 0 磅 行距: 1.5 倍行距"/>
    <w:basedOn w:val="39"/>
    <w:next w:val="41"/>
    <w:autoRedefine/>
    <w:qFormat/>
    <w:uiPriority w:val="0"/>
    <w:pPr>
      <w:spacing w:line="360" w:lineRule="auto"/>
      <w:jc w:val="center"/>
    </w:pPr>
    <w:rPr>
      <w:rFonts w:hAnsi="黑体" w:eastAsia="宋体"/>
      <w:sz w:val="21"/>
    </w:rPr>
  </w:style>
  <w:style w:type="paragraph" w:customStyle="1" w:styleId="39">
    <w:name w:val="报告表正文"/>
    <w:basedOn w:val="1"/>
    <w:next w:val="40"/>
    <w:autoRedefine/>
    <w:qFormat/>
    <w:uiPriority w:val="0"/>
    <w:pPr>
      <w:adjustRightInd w:val="0"/>
      <w:spacing w:line="312" w:lineRule="auto"/>
      <w:ind w:left="113" w:right="113" w:firstLine="482"/>
      <w:jc w:val="left"/>
      <w:textAlignment w:val="baseline"/>
    </w:pPr>
    <w:rPr>
      <w:kern w:val="0"/>
      <w:sz w:val="24"/>
    </w:rPr>
  </w:style>
  <w:style w:type="paragraph" w:customStyle="1" w:styleId="40">
    <w:name w:val="报告表正文（首行缩进）"/>
    <w:basedOn w:val="39"/>
    <w:autoRedefine/>
    <w:qFormat/>
    <w:uiPriority w:val="0"/>
    <w:pPr>
      <w:wordWrap w:val="0"/>
      <w:ind w:firstLine="562" w:firstLineChars="200"/>
    </w:pPr>
  </w:style>
  <w:style w:type="paragraph" w:customStyle="1" w:styleId="41">
    <w:name w:val="文本正文"/>
    <w:basedOn w:val="1"/>
    <w:qFormat/>
    <w:uiPriority w:val="0"/>
    <w:pPr>
      <w:keepNext w:val="0"/>
      <w:keepLines w:val="0"/>
      <w:widowControl w:val="0"/>
      <w:suppressLineNumbers w:val="0"/>
      <w:snapToGrid w:val="0"/>
      <w:spacing w:before="0" w:beforeAutospacing="0" w:after="0" w:afterAutospacing="0" w:line="360" w:lineRule="auto"/>
      <w:ind w:left="0" w:right="0" w:firstLine="510"/>
      <w:jc w:val="left"/>
    </w:pPr>
    <w:rPr>
      <w:rFonts w:hint="default" w:ascii="Calibri" w:hAnsi="Calibri" w:eastAsia="宋体" w:cs="Times New Roman"/>
      <w:spacing w:val="4"/>
      <w:kern w:val="24"/>
      <w:sz w:val="21"/>
      <w:szCs w:val="24"/>
      <w:lang w:val="en-US" w:eastAsia="zh-CN" w:bidi="ar"/>
    </w:rPr>
  </w:style>
  <w:style w:type="paragraph" w:customStyle="1" w:styleId="42">
    <w:name w:val="1正文"/>
    <w:basedOn w:val="1"/>
    <w:autoRedefine/>
    <w:qFormat/>
    <w:uiPriority w:val="0"/>
    <w:pPr>
      <w:spacing w:line="500" w:lineRule="exact"/>
      <w:ind w:firstLine="588" w:firstLineChars="196"/>
    </w:pPr>
    <w:rPr>
      <w:rFonts w:eastAsia="楷体_GB2312"/>
      <w:sz w:val="30"/>
      <w:szCs w:val="30"/>
    </w:rPr>
  </w:style>
  <w:style w:type="paragraph" w:customStyle="1" w:styleId="43">
    <w:name w:val="样式 黑色 行距: 最小值 26 磅"/>
    <w:basedOn w:val="1"/>
    <w:autoRedefine/>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4">
    <w:name w:val="自定义正文"/>
    <w:basedOn w:val="1"/>
    <w:autoRedefine/>
    <w:qFormat/>
    <w:uiPriority w:val="0"/>
    <w:pPr>
      <w:adjustRightInd w:val="0"/>
      <w:spacing w:line="360" w:lineRule="auto"/>
      <w:ind w:firstLine="560"/>
    </w:pPr>
    <w:rPr>
      <w:kern w:val="0"/>
      <w:sz w:val="28"/>
      <w:szCs w:val="20"/>
    </w:rPr>
  </w:style>
  <w:style w:type="paragraph" w:customStyle="1" w:styleId="45">
    <w:name w:val="Table Paragraph"/>
    <w:basedOn w:val="1"/>
    <w:autoRedefine/>
    <w:qFormat/>
    <w:uiPriority w:val="1"/>
  </w:style>
  <w:style w:type="paragraph" w:customStyle="1" w:styleId="4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8">
    <w:name w:val="表格"/>
    <w:basedOn w:val="49"/>
    <w:next w:val="1"/>
    <w:link w:val="52"/>
    <w:autoRedefine/>
    <w:qFormat/>
    <w:uiPriority w:val="0"/>
    <w:pPr>
      <w:adjustRightInd w:val="0"/>
      <w:snapToGrid w:val="0"/>
      <w:spacing w:beforeLines="10" w:afterLines="10" w:line="259" w:lineRule="auto"/>
      <w:jc w:val="center"/>
    </w:pPr>
    <w:rPr>
      <w:rFonts w:ascii="宋体"/>
      <w:kern w:val="0"/>
      <w:szCs w:val="20"/>
    </w:rPr>
  </w:style>
  <w:style w:type="paragraph" w:customStyle="1" w:styleId="49">
    <w:name w:val="表头"/>
    <w:basedOn w:val="50"/>
    <w:next w:val="1"/>
    <w:autoRedefine/>
    <w:qFormat/>
    <w:uiPriority w:val="0"/>
    <w:pPr>
      <w:spacing w:before="156" w:beforeLines="50"/>
      <w:jc w:val="center"/>
    </w:pPr>
    <w:rPr>
      <w:rFonts w:ascii="宋体" w:hAnsi="宋体"/>
      <w:kern w:val="0"/>
      <w:sz w:val="24"/>
    </w:rPr>
  </w:style>
  <w:style w:type="paragraph" w:customStyle="1" w:styleId="50">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character" w:customStyle="1" w:styleId="51">
    <w:name w:val="批注主题 Char"/>
    <w:link w:val="29"/>
    <w:autoRedefine/>
    <w:semiHidden/>
    <w:qFormat/>
    <w:locked/>
    <w:uiPriority w:val="0"/>
    <w:rPr>
      <w:rFonts w:ascii="Times New Roman" w:hAnsi="Times New Roman" w:eastAsia="宋体"/>
      <w:b/>
      <w:kern w:val="2"/>
      <w:sz w:val="24"/>
    </w:rPr>
  </w:style>
  <w:style w:type="character" w:customStyle="1" w:styleId="52">
    <w:name w:val="表格 Char"/>
    <w:link w:val="48"/>
    <w:qFormat/>
    <w:locked/>
    <w:uiPriority w:val="0"/>
    <w:rPr>
      <w:rFonts w:ascii="宋体"/>
      <w:sz w:val="21"/>
    </w:rPr>
  </w:style>
  <w:style w:type="character" w:customStyle="1" w:styleId="53">
    <w:name w:val="正文文本缩进 Char"/>
    <w:link w:val="11"/>
    <w:autoRedefine/>
    <w:semiHidden/>
    <w:qFormat/>
    <w:locked/>
    <w:uiPriority w:val="0"/>
    <w:rPr>
      <w:rFonts w:ascii="Times New Roman" w:hAnsi="Times New Roman" w:eastAsia="宋体"/>
      <w:sz w:val="24"/>
    </w:rPr>
  </w:style>
  <w:style w:type="character" w:customStyle="1" w:styleId="54">
    <w:name w:val="页脚 Char"/>
    <w:link w:val="22"/>
    <w:qFormat/>
    <w:locked/>
    <w:uiPriority w:val="99"/>
    <w:rPr>
      <w:sz w:val="18"/>
    </w:rPr>
  </w:style>
  <w:style w:type="character" w:customStyle="1" w:styleId="55">
    <w:name w:val="批注文字 字符1"/>
    <w:autoRedefine/>
    <w:semiHidden/>
    <w:qFormat/>
    <w:uiPriority w:val="0"/>
    <w:rPr>
      <w:rFonts w:ascii="Times New Roman" w:hAnsi="Times New Roman" w:eastAsia="宋体"/>
      <w:sz w:val="24"/>
    </w:rPr>
  </w:style>
  <w:style w:type="character" w:customStyle="1" w:styleId="56">
    <w:name w:val="批注文字 Char"/>
    <w:link w:val="7"/>
    <w:autoRedefine/>
    <w:qFormat/>
    <w:locked/>
    <w:uiPriority w:val="0"/>
    <w:rPr>
      <w:rFonts w:ascii="Times New Roman" w:hAnsi="Times New Roman" w:eastAsia="宋体"/>
      <w:sz w:val="24"/>
    </w:rPr>
  </w:style>
  <w:style w:type="character" w:customStyle="1" w:styleId="57">
    <w:name w:val="普通(网站) Char"/>
    <w:link w:val="28"/>
    <w:qFormat/>
    <w:locked/>
    <w:uiPriority w:val="0"/>
    <w:rPr>
      <w:rFonts w:ascii="宋体" w:hAnsi="宋体" w:eastAsia="宋体"/>
      <w:sz w:val="24"/>
    </w:rPr>
  </w:style>
  <w:style w:type="character" w:customStyle="1" w:styleId="58">
    <w:name w:val="日期 Char"/>
    <w:link w:val="19"/>
    <w:qFormat/>
    <w:locked/>
    <w:uiPriority w:val="0"/>
    <w:rPr>
      <w:rFonts w:ascii="Times New Roman" w:hAnsi="Times New Roman" w:eastAsia="宋体"/>
      <w:sz w:val="24"/>
    </w:rPr>
  </w:style>
  <w:style w:type="character" w:customStyle="1" w:styleId="59">
    <w:name w:val="批注框文本 Char"/>
    <w:link w:val="21"/>
    <w:autoRedefine/>
    <w:semiHidden/>
    <w:qFormat/>
    <w:locked/>
    <w:uiPriority w:val="0"/>
    <w:rPr>
      <w:rFonts w:ascii="Times New Roman" w:hAnsi="Times New Roman" w:eastAsia="宋体"/>
      <w:sz w:val="18"/>
    </w:rPr>
  </w:style>
  <w:style w:type="character" w:customStyle="1" w:styleId="60">
    <w:name w:val="日期 字符"/>
    <w:semiHidden/>
    <w:qFormat/>
    <w:uiPriority w:val="0"/>
    <w:rPr>
      <w:rFonts w:ascii="Times New Roman" w:hAnsi="Times New Roman" w:eastAsia="宋体"/>
      <w:sz w:val="24"/>
    </w:rPr>
  </w:style>
  <w:style w:type="character" w:customStyle="1" w:styleId="61">
    <w:name w:val="页眉 Char"/>
    <w:link w:val="23"/>
    <w:autoRedefine/>
    <w:qFormat/>
    <w:locked/>
    <w:uiPriority w:val="0"/>
    <w:rPr>
      <w:sz w:val="18"/>
    </w:rPr>
  </w:style>
  <w:style w:type="character" w:customStyle="1" w:styleId="62">
    <w:name w:val="页脚 字符"/>
    <w:basedOn w:val="32"/>
    <w:qFormat/>
    <w:uiPriority w:val="99"/>
  </w:style>
  <w:style w:type="character" w:customStyle="1" w:styleId="63">
    <w:name w:val="正文文本 字符1"/>
    <w:autoRedefine/>
    <w:semiHidden/>
    <w:qFormat/>
    <w:uiPriority w:val="0"/>
    <w:rPr>
      <w:rFonts w:ascii="Times New Roman" w:hAnsi="Times New Roman" w:eastAsia="宋体"/>
      <w:sz w:val="24"/>
    </w:rPr>
  </w:style>
  <w:style w:type="paragraph" w:customStyle="1" w:styleId="64">
    <w:name w:val="11"/>
    <w:basedOn w:val="9"/>
    <w:next w:val="12"/>
    <w:autoRedefine/>
    <w:qFormat/>
    <w:uiPriority w:val="0"/>
    <w:pPr>
      <w:autoSpaceDE w:val="0"/>
      <w:autoSpaceDN w:val="0"/>
      <w:adjustRightInd w:val="0"/>
      <w:spacing w:after="0"/>
      <w:ind w:firstLine="472" w:firstLineChars="196"/>
      <w:jc w:val="left"/>
    </w:pPr>
  </w:style>
  <w:style w:type="paragraph" w:customStyle="1" w:styleId="65">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6">
    <w:name w:val="正 文"/>
    <w:qFormat/>
    <w:uiPriority w:val="0"/>
    <w:pPr>
      <w:widowControl w:val="0"/>
      <w:spacing w:line="360" w:lineRule="auto"/>
      <w:ind w:firstLine="480" w:firstLineChars="200"/>
    </w:pPr>
    <w:rPr>
      <w:rFonts w:ascii="Times New Roman" w:hAnsi="Times New Roman" w:eastAsia="宋体" w:cs="宋体"/>
      <w:kern w:val="2"/>
      <w:sz w:val="24"/>
      <w:szCs w:val="24"/>
      <w:lang w:val="en-US" w:eastAsia="zh-CN" w:bidi="ar-SA"/>
    </w:rPr>
  </w:style>
  <w:style w:type="paragraph" w:customStyle="1" w:styleId="67">
    <w:name w:val="制表格"/>
    <w:basedOn w:val="1"/>
    <w:autoRedefine/>
    <w:qFormat/>
    <w:uiPriority w:val="0"/>
    <w:pPr>
      <w:jc w:val="center"/>
    </w:pPr>
    <w:rPr>
      <w:rFonts w:ascii="Times New Roman" w:hAnsi="Times New Roman"/>
      <w:snapToGrid w:val="0"/>
      <w:kern w:val="0"/>
      <w:szCs w:val="28"/>
    </w:rPr>
  </w:style>
  <w:style w:type="character" w:customStyle="1" w:styleId="68">
    <w:name w:val="ggzbt011"/>
    <w:basedOn w:val="32"/>
    <w:autoRedefine/>
    <w:qFormat/>
    <w:uiPriority w:val="0"/>
  </w:style>
  <w:style w:type="paragraph" w:customStyle="1" w:styleId="69">
    <w:name w:val="WPSOffice手动目录 1"/>
    <w:qFormat/>
    <w:uiPriority w:val="0"/>
    <w:pPr>
      <w:ind w:leftChars="0"/>
    </w:pPr>
    <w:rPr>
      <w:rFonts w:ascii="Times New Roman" w:hAnsi="Times New Roman" w:eastAsia="宋体" w:cs="Times New Roman"/>
      <w:sz w:val="20"/>
      <w:szCs w:val="20"/>
    </w:rPr>
  </w:style>
  <w:style w:type="character" w:customStyle="1" w:styleId="70">
    <w:name w:val="正文（首行缩进两字） Char"/>
    <w:autoRedefine/>
    <w:qFormat/>
    <w:uiPriority w:val="0"/>
    <w:rPr>
      <w:rFonts w:eastAsia="宋体"/>
      <w:kern w:val="2"/>
      <w:sz w:val="24"/>
      <w:lang w:val="en-US" w:eastAsia="zh-CN"/>
    </w:rPr>
  </w:style>
  <w:style w:type="paragraph" w:customStyle="1" w:styleId="71">
    <w:name w:val="三级标题"/>
    <w:basedOn w:val="72"/>
    <w:qFormat/>
    <w:uiPriority w:val="0"/>
    <w:rPr>
      <w:sz w:val="24"/>
    </w:rPr>
  </w:style>
  <w:style w:type="paragraph" w:customStyle="1" w:styleId="72">
    <w:name w:val="一级标题"/>
    <w:basedOn w:val="1"/>
    <w:autoRedefine/>
    <w:qFormat/>
    <w:uiPriority w:val="0"/>
    <w:pPr>
      <w:ind w:firstLine="0" w:firstLineChars="0"/>
      <w:jc w:val="left"/>
    </w:pPr>
    <w:rPr>
      <w:b/>
      <w:sz w:val="30"/>
    </w:rPr>
  </w:style>
  <w:style w:type="paragraph" w:customStyle="1" w:styleId="73">
    <w:name w:val="文本22"/>
    <w:basedOn w:val="1"/>
    <w:autoRedefine/>
    <w:qFormat/>
    <w:uiPriority w:val="0"/>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paragraph" w:customStyle="1" w:styleId="74">
    <w:name w:val="正文内容"/>
    <w:autoRedefine/>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5">
    <w:name w:val="表格内文字"/>
    <w:semiHidden/>
    <w:qFormat/>
    <w:uiPriority w:val="0"/>
    <w:pPr>
      <w:keepNext/>
      <w:widowControl w:val="0"/>
      <w:spacing w:line="240" w:lineRule="atLeast"/>
      <w:jc w:val="center"/>
    </w:pPr>
    <w:rPr>
      <w:rFonts w:ascii="宋体" w:hAnsi="宋体" w:eastAsia="宋体" w:cs="Times New Roman"/>
      <w:w w:val="90"/>
      <w:sz w:val="21"/>
      <w:szCs w:val="22"/>
      <w:lang w:val="en-US" w:eastAsia="zh-CN" w:bidi="ar-SA"/>
    </w:rPr>
  </w:style>
  <w:style w:type="paragraph" w:customStyle="1" w:styleId="76">
    <w:name w:val=" Char Char Char Char"/>
    <w:basedOn w:val="1"/>
    <w:autoRedefine/>
    <w:qFormat/>
    <w:uiPriority w:val="0"/>
    <w:pPr>
      <w:snapToGrid w:val="0"/>
      <w:spacing w:line="360" w:lineRule="auto"/>
      <w:ind w:firstLine="200" w:firstLineChars="200"/>
    </w:pPr>
    <w:rPr>
      <w:szCs w:val="20"/>
    </w:rPr>
  </w:style>
  <w:style w:type="paragraph" w:customStyle="1" w:styleId="77">
    <w:name w:val="标题5"/>
    <w:basedOn w:val="1"/>
    <w:autoRedefine/>
    <w:qFormat/>
    <w:uiPriority w:val="0"/>
    <w:pPr>
      <w:adjustRightInd w:val="0"/>
      <w:spacing w:line="520" w:lineRule="atLeast"/>
      <w:ind w:firstLine="480" w:firstLineChars="200"/>
    </w:pPr>
    <w:rPr>
      <w:rFonts w:ascii="宋体" w:hAnsi="宋体"/>
      <w:color w:val="000000"/>
      <w:sz w:val="24"/>
      <w:szCs w:val="24"/>
    </w:rPr>
  </w:style>
  <w:style w:type="paragraph" w:customStyle="1" w:styleId="78">
    <w:name w:val="表内容"/>
    <w:basedOn w:val="1"/>
    <w:autoRedefine/>
    <w:qFormat/>
    <w:uiPriority w:val="0"/>
    <w:pPr>
      <w:jc w:val="center"/>
    </w:pPr>
    <w:rPr>
      <w:rFonts w:ascii="Times New Roman" w:hAnsi="Times New Roman" w:eastAsia="仿宋" w:cstheme="minorBidi"/>
    </w:rPr>
  </w:style>
  <w:style w:type="paragraph" w:customStyle="1" w:styleId="79">
    <w:name w:val="样式 正文 行距: 固定值 25 磅"/>
    <w:basedOn w:val="1"/>
    <w:autoRedefine/>
    <w:qFormat/>
    <w:uiPriority w:val="0"/>
    <w:pPr>
      <w:adjustRightInd w:val="0"/>
      <w:spacing w:line="500" w:lineRule="exact"/>
      <w:ind w:firstLine="200" w:firstLineChars="200"/>
      <w:jc w:val="left"/>
    </w:pPr>
    <w:rPr>
      <w:rFonts w:ascii="Times New Roman" w:hAnsi="Times New Roman" w:cs="宋体"/>
      <w:sz w:val="24"/>
      <w:szCs w:val="24"/>
    </w:rPr>
  </w:style>
  <w:style w:type="paragraph" w:customStyle="1" w:styleId="80">
    <w:name w:val="Char1"/>
    <w:basedOn w:val="1"/>
    <w:qFormat/>
    <w:uiPriority w:val="0"/>
    <w:rPr>
      <w:rFonts w:ascii="Times New Roman" w:hAnsi="Times New Roman"/>
      <w:szCs w:val="21"/>
    </w:rPr>
  </w:style>
  <w:style w:type="paragraph" w:customStyle="1" w:styleId="81">
    <w:name w:val="文本"/>
    <w:basedOn w:val="1"/>
    <w:qFormat/>
    <w:uiPriority w:val="0"/>
    <w:pPr>
      <w:spacing w:line="360" w:lineRule="auto"/>
      <w:ind w:firstLine="480" w:firstLineChars="200"/>
    </w:pPr>
    <w:rPr>
      <w:rFonts w:ascii="Times New Roman" w:hAnsi="Times New Roman"/>
      <w:sz w:val="24"/>
      <w:szCs w:val="24"/>
    </w:rPr>
  </w:style>
  <w:style w:type="paragraph" w:customStyle="1" w:styleId="82">
    <w:name w:val="F正文"/>
    <w:basedOn w:val="1"/>
    <w:qFormat/>
    <w:uiPriority w:val="0"/>
    <w:pPr>
      <w:framePr w:wrap="notBeside" w:vAnchor="text" w:hAnchor="text" w:y="1"/>
      <w:spacing w:line="360" w:lineRule="auto"/>
      <w:ind w:firstLine="200" w:firstLineChars="200"/>
    </w:pPr>
    <w:rPr>
      <w:rFonts w:ascii="Times New Roman" w:hAnsi="Times New Roman"/>
      <w:color w:val="000000"/>
      <w:kern w:val="0"/>
      <w:sz w:val="24"/>
      <w:szCs w:val="20"/>
      <w:lang w:val="zh-CN"/>
    </w:rPr>
  </w:style>
  <w:style w:type="character" w:customStyle="1" w:styleId="83">
    <w:name w:val="NormalCharacter"/>
    <w:autoRedefine/>
    <w:semiHidden/>
    <w:qFormat/>
    <w:uiPriority w:val="0"/>
  </w:style>
  <w:style w:type="paragraph" w:customStyle="1" w:styleId="84">
    <w:name w:val="1正文段落"/>
    <w:basedOn w:val="1"/>
    <w:autoRedefine/>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character" w:customStyle="1" w:styleId="85">
    <w:name w:val="正文文本 Char1"/>
    <w:autoRedefine/>
    <w:qFormat/>
    <w:uiPriority w:val="0"/>
    <w:rPr>
      <w:rFonts w:eastAsia="宋体"/>
      <w:kern w:val="2"/>
      <w:sz w:val="28"/>
      <w:szCs w:val="24"/>
      <w:lang w:val="en-US" w:eastAsia="zh-CN" w:bidi="ar-SA"/>
    </w:rPr>
  </w:style>
  <w:style w:type="paragraph" w:customStyle="1" w:styleId="86">
    <w:name w:val="中文报告书样式"/>
    <w:basedOn w:val="1"/>
    <w:autoRedefine/>
    <w:qFormat/>
    <w:uiPriority w:val="0"/>
    <w:pPr>
      <w:adjustRightInd w:val="0"/>
      <w:spacing w:line="480" w:lineRule="atLeast"/>
      <w:ind w:firstLine="482"/>
    </w:pPr>
    <w:rPr>
      <w:rFonts w:hint="default" w:ascii="Arial" w:hAnsi="Arial" w:eastAsia="Times New Roman" w:cs="Verdana"/>
      <w:b/>
      <w:kern w:val="24"/>
      <w:szCs w:val="24"/>
      <w:lang w:eastAsia="en-US"/>
    </w:rPr>
  </w:style>
  <w:style w:type="paragraph" w:customStyle="1" w:styleId="87">
    <w:name w:val="自定义2"/>
    <w:basedOn w:val="1"/>
    <w:autoRedefine/>
    <w:qFormat/>
    <w:uiPriority w:val="0"/>
    <w:pPr>
      <w:spacing w:line="360" w:lineRule="auto"/>
      <w:ind w:firstLine="480" w:firstLineChars="200"/>
    </w:pPr>
    <w:rPr>
      <w:rFonts w:hAnsi="宋体"/>
      <w:sz w:val="24"/>
      <w:szCs w:val="22"/>
    </w:rPr>
  </w:style>
  <w:style w:type="paragraph" w:customStyle="1" w:styleId="88">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9">
    <w:name w:val="样式 (西文) Times New Roman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90">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91">
    <w:name w:val="样式1"/>
    <w:basedOn w:val="1"/>
    <w:qFormat/>
    <w:uiPriority w:val="0"/>
    <w:pPr>
      <w:adjustRightInd w:val="0"/>
      <w:spacing w:line="480" w:lineRule="atLeast"/>
      <w:ind w:firstLine="539"/>
    </w:pPr>
    <w:rPr>
      <w:rFonts w:eastAsia="仿宋_GB2312"/>
      <w:kern w:val="0"/>
      <w:sz w:val="28"/>
    </w:rPr>
  </w:style>
  <w:style w:type="paragraph" w:customStyle="1" w:styleId="92">
    <w:name w:val="_Style 11"/>
    <w:basedOn w:val="1"/>
    <w:next w:val="93"/>
    <w:qFormat/>
    <w:uiPriority w:val="99"/>
    <w:pPr>
      <w:ind w:firstLine="420"/>
    </w:pPr>
  </w:style>
  <w:style w:type="paragraph" w:styleId="93">
    <w:name w:val="List Paragraph"/>
    <w:basedOn w:val="1"/>
    <w:qFormat/>
    <w:uiPriority w:val="34"/>
    <w:pPr>
      <w:ind w:firstLine="420"/>
    </w:pPr>
  </w:style>
  <w:style w:type="character" w:customStyle="1" w:styleId="94">
    <w:name w:val="fontstyle01"/>
    <w:qFormat/>
    <w:uiPriority w:val="0"/>
    <w:rPr>
      <w:rFonts w:hint="eastAsia" w:ascii="宋体" w:hAnsi="宋体" w:eastAsia="宋体"/>
      <w:color w:val="000000"/>
      <w:sz w:val="24"/>
      <w:szCs w:val="24"/>
    </w:rPr>
  </w:style>
  <w:style w:type="paragraph" w:customStyle="1" w:styleId="95">
    <w:name w:val="表格 32"/>
    <w:basedOn w:val="1"/>
    <w:autoRedefine/>
    <w:qFormat/>
    <w:uiPriority w:val="0"/>
    <w:pPr>
      <w:autoSpaceDE w:val="0"/>
      <w:autoSpaceDN w:val="0"/>
      <w:adjustRightInd w:val="0"/>
      <w:jc w:val="center"/>
      <w:textAlignment w:val="baseline"/>
    </w:pPr>
    <w:rPr>
      <w:rFonts w:ascii="宋体" w:hAnsi="Impact"/>
      <w:kern w:val="24"/>
    </w:rPr>
  </w:style>
  <w:style w:type="paragraph" w:customStyle="1" w:styleId="96">
    <w:name w:val="表格标题"/>
    <w:basedOn w:val="1"/>
    <w:autoRedefine/>
    <w:qFormat/>
    <w:uiPriority w:val="0"/>
    <w:pPr>
      <w:spacing w:line="240" w:lineRule="auto"/>
      <w:ind w:firstLine="0" w:firstLineChars="0"/>
      <w:jc w:val="center"/>
    </w:pPr>
    <w:rPr>
      <w:b/>
    </w:rPr>
  </w:style>
  <w:style w:type="paragraph" w:customStyle="1" w:styleId="97">
    <w:name w:val="表格文"/>
    <w:basedOn w:val="1"/>
    <w:autoRedefine/>
    <w:qFormat/>
    <w:uiPriority w:val="0"/>
    <w:pPr>
      <w:widowControl/>
      <w:spacing w:line="240" w:lineRule="auto"/>
      <w:ind w:firstLine="0" w:firstLineChars="0"/>
      <w:jc w:val="center"/>
    </w:pPr>
    <w:rPr>
      <w:rFonts w:cs="宋体"/>
      <w:kern w:val="0"/>
      <w:sz w:val="21"/>
      <w:szCs w:val="21"/>
    </w:rPr>
  </w:style>
  <w:style w:type="table" w:customStyle="1" w:styleId="9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87</Pages>
  <Words>564</Words>
  <Characters>627</Characters>
  <Lines>13</Lines>
  <Paragraphs>3</Paragraphs>
  <TotalTime>8</TotalTime>
  <ScaleCrop>false</ScaleCrop>
  <LinksUpToDate>false</LinksUpToDate>
  <CharactersWithSpaces>666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听潮</cp:lastModifiedBy>
  <cp:lastPrinted>2023-09-08T02:39:00Z</cp:lastPrinted>
  <dcterms:modified xsi:type="dcterms:W3CDTF">2024-12-10T06:38:33Z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FBDCDC49F9B34DBC86067F5A9CE6EC13_13</vt:lpwstr>
  </property>
</Properties>
</file>